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jc w:val="center"/>
        <w:rPr>
          <w:rFonts w:ascii="Times New Roman" w:hAnsi="Times New Roman" w:eastAsiaTheme="minorEastAsia"/>
          <w:b/>
          <w:sz w:val="36"/>
          <w:szCs w:val="36"/>
        </w:rPr>
      </w:pPr>
      <w:r>
        <w:rPr>
          <w:rFonts w:hint="eastAsia" w:ascii="Times New Roman" w:hAnsi="Times New Roman" w:eastAsiaTheme="minorEastAsia"/>
          <w:b/>
          <w:sz w:val="36"/>
          <w:szCs w:val="36"/>
        </w:rPr>
        <w:t>华能岳阳电厂码头2#泊位提质改造工程</w:t>
      </w:r>
      <w:r>
        <w:rPr>
          <w:rFonts w:ascii="Times New Roman" w:hAnsi="Times New Roman" w:eastAsiaTheme="minorEastAsia"/>
          <w:b/>
          <w:sz w:val="36"/>
          <w:szCs w:val="36"/>
        </w:rPr>
        <w:t>环境影响报告书</w:t>
      </w:r>
    </w:p>
    <w:p>
      <w:pPr>
        <w:spacing w:line="360" w:lineRule="auto"/>
        <w:jc w:val="center"/>
        <w:rPr>
          <w:rFonts w:ascii="Times New Roman" w:hAnsi="Times New Roman" w:eastAsiaTheme="minorEastAsia"/>
          <w:sz w:val="36"/>
          <w:szCs w:val="36"/>
        </w:rPr>
      </w:pPr>
      <w:r>
        <w:rPr>
          <w:rFonts w:ascii="Times New Roman" w:hAnsi="Times New Roman" w:eastAsiaTheme="minorEastAsia"/>
          <w:b/>
          <w:sz w:val="36"/>
          <w:szCs w:val="36"/>
        </w:rPr>
        <w:t>（</w:t>
      </w:r>
      <w:r>
        <w:rPr>
          <w:rFonts w:hint="eastAsia" w:ascii="Times New Roman" w:hAnsi="Times New Roman" w:eastAsiaTheme="minorEastAsia"/>
          <w:b/>
          <w:sz w:val="36"/>
          <w:szCs w:val="36"/>
          <w:lang w:eastAsia="zh-CN"/>
        </w:rPr>
        <w:t>报批</w:t>
      </w:r>
      <w:r>
        <w:rPr>
          <w:rFonts w:ascii="Times New Roman" w:hAnsi="Times New Roman" w:eastAsiaTheme="minorEastAsia"/>
          <w:b/>
          <w:sz w:val="36"/>
          <w:szCs w:val="36"/>
        </w:rPr>
        <w:t>稿）</w:t>
      </w: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rPr>
          <w:rFonts w:ascii="Times New Roman" w:hAnsi="Times New Roman" w:eastAsiaTheme="minorEastAsia"/>
          <w:sz w:val="24"/>
          <w:szCs w:val="24"/>
        </w:rPr>
      </w:pPr>
    </w:p>
    <w:p>
      <w:pPr>
        <w:spacing w:line="360" w:lineRule="auto"/>
        <w:jc w:val="center"/>
        <w:rPr>
          <w:rFonts w:ascii="Times New Roman" w:hAnsi="Times New Roman" w:eastAsiaTheme="minorEastAsia"/>
          <w:sz w:val="32"/>
          <w:szCs w:val="32"/>
        </w:rPr>
      </w:pPr>
      <w:r>
        <w:rPr>
          <w:rFonts w:ascii="Times New Roman" w:hAnsi="Times New Roman" w:eastAsiaTheme="minorEastAsia"/>
          <w:sz w:val="32"/>
          <w:szCs w:val="32"/>
        </w:rPr>
        <w:t>湖南葆华环保有限公司</w:t>
      </w:r>
    </w:p>
    <w:p>
      <w:pPr>
        <w:spacing w:line="360" w:lineRule="auto"/>
        <w:jc w:val="center"/>
        <w:rPr>
          <w:rFonts w:ascii="Times New Roman" w:hAnsi="Times New Roman" w:eastAsiaTheme="minorEastAsia"/>
          <w:sz w:val="32"/>
          <w:szCs w:val="32"/>
        </w:rPr>
      </w:pPr>
      <w:r>
        <w:rPr>
          <w:rFonts w:ascii="Times New Roman" w:hAnsi="Times New Roman" w:eastAsiaTheme="minorEastAsia"/>
          <w:sz w:val="32"/>
          <w:szCs w:val="32"/>
        </w:rPr>
        <w:t xml:space="preserve">2020年 </w:t>
      </w:r>
      <w:r>
        <w:rPr>
          <w:rFonts w:hint="eastAsia" w:ascii="Times New Roman" w:hAnsi="Times New Roman" w:eastAsiaTheme="minorEastAsia"/>
          <w:sz w:val="32"/>
          <w:szCs w:val="32"/>
          <w:lang w:val="en-US" w:eastAsia="zh-CN"/>
        </w:rPr>
        <w:t>12</w:t>
      </w:r>
      <w:r>
        <w:rPr>
          <w:rFonts w:ascii="Times New Roman" w:hAnsi="Times New Roman" w:eastAsiaTheme="minorEastAsia"/>
          <w:sz w:val="32"/>
          <w:szCs w:val="32"/>
        </w:rPr>
        <w:t>月</w:t>
      </w:r>
    </w:p>
    <w:p>
      <w:pPr>
        <w:spacing w:line="360" w:lineRule="auto"/>
        <w:rPr>
          <w:rFonts w:ascii="Times New Roman" w:hAnsi="Times New Roman" w:eastAsiaTheme="minorEastAsia"/>
          <w:sz w:val="36"/>
          <w:szCs w:val="36"/>
        </w:rPr>
      </w:pPr>
    </w:p>
    <w:p>
      <w:pPr>
        <w:rPr>
          <w:rFonts w:ascii="Times New Roman" w:hAnsi="Times New Roman" w:eastAsiaTheme="minorEastAsia"/>
          <w:sz w:val="24"/>
          <w:szCs w:val="24"/>
        </w:rPr>
        <w:sectPr>
          <w:footerReference r:id="rId3" w:type="even"/>
          <w:pgSz w:w="11906" w:h="16838"/>
          <w:pgMar w:top="1418" w:right="1418" w:bottom="1418" w:left="1418" w:header="1021" w:footer="851" w:gutter="0"/>
          <w:pgBorders>
            <w:top w:val="none" w:sz="0" w:space="0"/>
            <w:left w:val="none" w:sz="0" w:space="0"/>
            <w:bottom w:val="none" w:sz="0" w:space="0"/>
            <w:right w:val="none" w:sz="0" w:space="0"/>
          </w:pgBorders>
          <w:pgNumType w:fmt="upperRoman" w:start="1"/>
          <w:cols w:space="720" w:num="1"/>
          <w:docGrid w:type="lines" w:linePitch="312" w:charSpace="0"/>
        </w:sectPr>
      </w:pPr>
    </w:p>
    <w:p>
      <w:pPr>
        <w:pStyle w:val="128"/>
        <w:adjustRightInd w:val="0"/>
        <w:snapToGrid w:val="0"/>
        <w:spacing w:before="0" w:beforeAutospacing="0" w:after="0" w:afterAutospacing="0" w:line="360" w:lineRule="auto"/>
        <w:jc w:val="center"/>
        <w:rPr>
          <w:rFonts w:ascii="Times New Roman" w:hAnsi="Times New Roman" w:eastAsiaTheme="minorEastAsia"/>
          <w:b/>
          <w:sz w:val="38"/>
          <w:szCs w:val="38"/>
        </w:rPr>
      </w:pPr>
      <w:r>
        <w:rPr>
          <w:rFonts w:ascii="Times New Roman" w:hAnsi="Times New Roman" w:eastAsiaTheme="minorEastAsia"/>
          <w:b/>
          <w:sz w:val="38"/>
          <w:szCs w:val="38"/>
        </w:rPr>
        <w:t>编制单位和编制人员情况表</w:t>
      </w:r>
    </w:p>
    <w:p>
      <w:pPr>
        <w:pStyle w:val="65"/>
        <w:adjustRightInd w:val="0"/>
        <w:snapToGrid w:val="0"/>
        <w:spacing w:before="0" w:beforeAutospacing="0" w:after="0" w:afterAutospacing="0" w:line="408" w:lineRule="auto"/>
        <w:rPr>
          <w:rFonts w:ascii="Times New Roman" w:hAnsi="Times New Roman" w:cs="Times New Roman" w:eastAsiaTheme="minorEastAsia"/>
          <w:snapToGrid w:val="0"/>
          <w:sz w:val="32"/>
          <w:szCs w:val="32"/>
        </w:rPr>
      </w:pPr>
    </w:p>
    <w:tbl>
      <w:tblPr>
        <w:tblStyle w:val="7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2385"/>
        <w:gridCol w:w="1905"/>
        <w:gridCol w:w="2234"/>
        <w:gridCol w:w="13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20" w:type="pct"/>
            <w:gridSpan w:val="2"/>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项目编号</w:t>
            </w:r>
          </w:p>
        </w:tc>
        <w:tc>
          <w:tcPr>
            <w:tcW w:w="2980" w:type="pct"/>
            <w:gridSpan w:val="3"/>
            <w:vAlign w:val="center"/>
          </w:tcPr>
          <w:p>
            <w:pPr>
              <w:pStyle w:val="65"/>
              <w:widowControl w:val="0"/>
              <w:adjustRightInd w:val="0"/>
              <w:snapToGrid w:val="0"/>
              <w:spacing w:before="0" w:beforeAutospacing="0" w:after="0" w:afterAutospacing="0"/>
              <w:jc w:val="both"/>
              <w:rPr>
                <w:rFonts w:ascii="Times New Roman" w:hAnsi="Times New Roman" w:cs="Times New Roman" w:eastAsiaTheme="minorEastAsia"/>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20" w:type="pct"/>
            <w:gridSpan w:val="2"/>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建设项目名称</w:t>
            </w:r>
          </w:p>
        </w:tc>
        <w:tc>
          <w:tcPr>
            <w:tcW w:w="2980" w:type="pct"/>
            <w:gridSpan w:val="3"/>
            <w:vAlign w:val="center"/>
          </w:tcPr>
          <w:p>
            <w:pPr>
              <w:pStyle w:val="65"/>
              <w:widowControl w:val="0"/>
              <w:adjustRightInd w:val="0"/>
              <w:snapToGrid w:val="0"/>
              <w:spacing w:before="0" w:beforeAutospacing="0" w:after="0" w:afterAutospacing="0"/>
              <w:jc w:val="both"/>
              <w:rPr>
                <w:rFonts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rPr>
              <w:t>华能岳阳电厂码头2#泊位提质改造工程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20" w:type="pct"/>
            <w:gridSpan w:val="2"/>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建设项目类别</w:t>
            </w:r>
          </w:p>
        </w:tc>
        <w:tc>
          <w:tcPr>
            <w:tcW w:w="2980" w:type="pct"/>
            <w:gridSpan w:val="3"/>
            <w:vAlign w:val="center"/>
          </w:tcPr>
          <w:p>
            <w:pPr>
              <w:pStyle w:val="65"/>
              <w:widowControl w:val="0"/>
              <w:adjustRightInd w:val="0"/>
              <w:snapToGrid w:val="0"/>
              <w:spacing w:before="0" w:beforeAutospacing="0" w:after="0" w:afterAutospacing="0"/>
              <w:jc w:val="both"/>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四十九、交通运输业、管道运输业和仓储业 164 干散货（含煤炭、矿石）、件杂、多用途、通用码头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20" w:type="pct"/>
            <w:gridSpan w:val="2"/>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环境影响评价文件类型</w:t>
            </w:r>
          </w:p>
        </w:tc>
        <w:tc>
          <w:tcPr>
            <w:tcW w:w="2980" w:type="pct"/>
            <w:gridSpan w:val="3"/>
            <w:vAlign w:val="center"/>
          </w:tcPr>
          <w:p>
            <w:pPr>
              <w:pStyle w:val="65"/>
              <w:widowControl w:val="0"/>
              <w:adjustRightInd w:val="0"/>
              <w:snapToGrid w:val="0"/>
              <w:spacing w:before="0" w:beforeAutospacing="0" w:after="0" w:afterAutospacing="0"/>
              <w:jc w:val="both"/>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环境影响报告书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00" w:type="pct"/>
            <w:gridSpan w:val="5"/>
            <w:vAlign w:val="center"/>
          </w:tcPr>
          <w:p>
            <w:pPr>
              <w:pStyle w:val="65"/>
              <w:widowControl w:val="0"/>
              <w:adjustRightInd w:val="0"/>
              <w:snapToGrid w:val="0"/>
              <w:spacing w:before="0" w:beforeAutospacing="0" w:after="0" w:afterAutospacing="0"/>
              <w:jc w:val="both"/>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一、建设单位情况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20" w:type="pct"/>
            <w:gridSpan w:val="2"/>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单位名称（盖章）</w:t>
            </w:r>
          </w:p>
        </w:tc>
        <w:tc>
          <w:tcPr>
            <w:tcW w:w="2980" w:type="pct"/>
            <w:gridSpan w:val="3"/>
            <w:vAlign w:val="center"/>
          </w:tcPr>
          <w:p>
            <w:pPr>
              <w:pStyle w:val="65"/>
              <w:widowControl w:val="0"/>
              <w:adjustRightInd w:val="0"/>
              <w:snapToGrid w:val="0"/>
              <w:spacing w:before="0" w:beforeAutospacing="0" w:after="0" w:afterAutospacing="0"/>
              <w:jc w:val="both"/>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华能湖南岳阳发电有限责任公司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20" w:type="pct"/>
            <w:gridSpan w:val="2"/>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统一社会信用代码</w:t>
            </w:r>
          </w:p>
        </w:tc>
        <w:tc>
          <w:tcPr>
            <w:tcW w:w="2980" w:type="pct"/>
            <w:gridSpan w:val="3"/>
            <w:vAlign w:val="center"/>
          </w:tcPr>
          <w:p>
            <w:pPr>
              <w:pStyle w:val="65"/>
              <w:widowControl w:val="0"/>
              <w:adjustRightInd w:val="0"/>
              <w:snapToGrid w:val="0"/>
              <w:spacing w:before="0" w:beforeAutospacing="0" w:after="0" w:afterAutospacing="0"/>
              <w:jc w:val="both"/>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91430600616650239M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20" w:type="pct"/>
            <w:gridSpan w:val="2"/>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法定代表人（签章）</w:t>
            </w:r>
          </w:p>
        </w:tc>
        <w:tc>
          <w:tcPr>
            <w:tcW w:w="2980" w:type="pct"/>
            <w:gridSpan w:val="3"/>
            <w:vAlign w:val="center"/>
          </w:tcPr>
          <w:p>
            <w:pPr>
              <w:pStyle w:val="65"/>
              <w:widowControl w:val="0"/>
              <w:adjustRightInd w:val="0"/>
              <w:snapToGrid w:val="0"/>
              <w:spacing w:before="0" w:beforeAutospacing="0" w:after="0" w:afterAutospacing="0"/>
              <w:jc w:val="both"/>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傅启阳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20" w:type="pct"/>
            <w:gridSpan w:val="2"/>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主要负责人（签字）</w:t>
            </w:r>
          </w:p>
        </w:tc>
        <w:tc>
          <w:tcPr>
            <w:tcW w:w="2980" w:type="pct"/>
            <w:gridSpan w:val="3"/>
            <w:vAlign w:val="center"/>
          </w:tcPr>
          <w:p>
            <w:pPr>
              <w:pStyle w:val="65"/>
              <w:widowControl w:val="0"/>
              <w:adjustRightInd w:val="0"/>
              <w:snapToGrid w:val="0"/>
              <w:spacing w:before="0" w:beforeAutospacing="0" w:after="0" w:afterAutospacing="0"/>
              <w:jc w:val="both"/>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黄诚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20" w:type="pct"/>
            <w:gridSpan w:val="2"/>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直接负责的主管人员（签字）</w:t>
            </w:r>
          </w:p>
        </w:tc>
        <w:tc>
          <w:tcPr>
            <w:tcW w:w="2980" w:type="pct"/>
            <w:gridSpan w:val="3"/>
            <w:vAlign w:val="center"/>
          </w:tcPr>
          <w:p>
            <w:pPr>
              <w:pStyle w:val="65"/>
              <w:widowControl w:val="0"/>
              <w:adjustRightInd w:val="0"/>
              <w:snapToGrid w:val="0"/>
              <w:spacing w:before="0" w:beforeAutospacing="0" w:after="0" w:afterAutospacing="0"/>
              <w:jc w:val="both"/>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何阳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00" w:type="pct"/>
            <w:gridSpan w:val="5"/>
            <w:vAlign w:val="center"/>
          </w:tcPr>
          <w:p>
            <w:pPr>
              <w:pStyle w:val="65"/>
              <w:widowControl w:val="0"/>
              <w:adjustRightInd w:val="0"/>
              <w:snapToGrid w:val="0"/>
              <w:spacing w:before="0" w:beforeAutospacing="0" w:after="0" w:afterAutospacing="0"/>
              <w:jc w:val="both"/>
              <w:rPr>
                <w:rFonts w:ascii="Times New Roman" w:hAnsi="Times New Roman" w:cs="Times New Roman" w:eastAsiaTheme="minorEastAsia"/>
                <w:b/>
                <w:color w:val="000000"/>
                <w:sz w:val="21"/>
                <w:szCs w:val="21"/>
              </w:rPr>
            </w:pPr>
            <w:r>
              <w:rPr>
                <w:rFonts w:ascii="Times New Roman" w:hAnsi="Times New Roman" w:cs="Times New Roman" w:eastAsiaTheme="minorEastAsia"/>
                <w:color w:val="000000"/>
                <w:sz w:val="21"/>
                <w:szCs w:val="21"/>
              </w:rPr>
              <w:t>二、编制单位情况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20" w:type="pct"/>
            <w:gridSpan w:val="2"/>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单位名称（盖章）</w:t>
            </w:r>
          </w:p>
        </w:tc>
        <w:tc>
          <w:tcPr>
            <w:tcW w:w="2980" w:type="pct"/>
            <w:gridSpan w:val="3"/>
            <w:vAlign w:val="center"/>
          </w:tcPr>
          <w:p>
            <w:pPr>
              <w:pStyle w:val="65"/>
              <w:widowControl w:val="0"/>
              <w:adjustRightInd w:val="0"/>
              <w:snapToGrid w:val="0"/>
              <w:spacing w:before="0" w:beforeAutospacing="0" w:after="0" w:afterAutospacing="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湖南葆华环保有限公司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20" w:type="pct"/>
            <w:gridSpan w:val="2"/>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统一社会信用代码</w:t>
            </w:r>
          </w:p>
        </w:tc>
        <w:tc>
          <w:tcPr>
            <w:tcW w:w="2980" w:type="pct"/>
            <w:gridSpan w:val="3"/>
            <w:vAlign w:val="center"/>
          </w:tcPr>
          <w:p>
            <w:pPr>
              <w:pStyle w:val="65"/>
              <w:widowControl w:val="0"/>
              <w:adjustRightInd w:val="0"/>
              <w:snapToGrid w:val="0"/>
              <w:spacing w:before="0" w:beforeAutospacing="0" w:after="0" w:afterAutospacing="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91430111MA4L25905K</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00" w:type="pct"/>
            <w:gridSpan w:val="5"/>
            <w:vAlign w:val="center"/>
          </w:tcPr>
          <w:p>
            <w:pPr>
              <w:pStyle w:val="65"/>
              <w:widowControl w:val="0"/>
              <w:adjustRightInd w:val="0"/>
              <w:snapToGrid w:val="0"/>
              <w:spacing w:before="0" w:beforeAutospacing="0" w:after="0" w:afterAutospacing="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三、编制人员情况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00" w:type="pct"/>
            <w:gridSpan w:val="5"/>
            <w:vAlign w:val="center"/>
          </w:tcPr>
          <w:p>
            <w:pPr>
              <w:pStyle w:val="65"/>
              <w:widowControl w:val="0"/>
              <w:adjustRightInd w:val="0"/>
              <w:snapToGrid w:val="0"/>
              <w:spacing w:before="0" w:beforeAutospacing="0" w:after="0" w:afterAutospacing="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1.编制主持人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36" w:type="pct"/>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姓名</w:t>
            </w:r>
          </w:p>
        </w:tc>
        <w:tc>
          <w:tcPr>
            <w:tcW w:w="2310" w:type="pct"/>
            <w:gridSpan w:val="2"/>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职业资格证书管理号</w:t>
            </w:r>
          </w:p>
        </w:tc>
        <w:tc>
          <w:tcPr>
            <w:tcW w:w="1203" w:type="pct"/>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信用编号</w:t>
            </w:r>
          </w:p>
        </w:tc>
        <w:tc>
          <w:tcPr>
            <w:tcW w:w="751" w:type="pct"/>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签字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36" w:type="pct"/>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赵瑰施</w:t>
            </w:r>
          </w:p>
        </w:tc>
        <w:tc>
          <w:tcPr>
            <w:tcW w:w="2310" w:type="pct"/>
            <w:gridSpan w:val="2"/>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201905035430000008</w:t>
            </w:r>
          </w:p>
        </w:tc>
        <w:tc>
          <w:tcPr>
            <w:tcW w:w="1203" w:type="pct"/>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BH012770</w:t>
            </w:r>
          </w:p>
        </w:tc>
        <w:tc>
          <w:tcPr>
            <w:tcW w:w="751" w:type="pct"/>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00" w:type="pct"/>
            <w:gridSpan w:val="5"/>
            <w:vAlign w:val="center"/>
          </w:tcPr>
          <w:p>
            <w:pPr>
              <w:pStyle w:val="65"/>
              <w:widowControl w:val="0"/>
              <w:adjustRightInd w:val="0"/>
              <w:snapToGrid w:val="0"/>
              <w:spacing w:before="0" w:beforeAutospacing="0" w:after="0" w:afterAutospacing="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2.主要编制人员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36" w:type="pct"/>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姓名</w:t>
            </w:r>
          </w:p>
        </w:tc>
        <w:tc>
          <w:tcPr>
            <w:tcW w:w="2310" w:type="pct"/>
            <w:gridSpan w:val="2"/>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主要编写内容</w:t>
            </w:r>
          </w:p>
        </w:tc>
        <w:tc>
          <w:tcPr>
            <w:tcW w:w="1203" w:type="pct"/>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信用编号</w:t>
            </w:r>
          </w:p>
        </w:tc>
        <w:tc>
          <w:tcPr>
            <w:tcW w:w="751" w:type="pct"/>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签字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36" w:type="pct"/>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肖  杰</w:t>
            </w:r>
          </w:p>
        </w:tc>
        <w:tc>
          <w:tcPr>
            <w:tcW w:w="2310" w:type="pct"/>
            <w:gridSpan w:val="2"/>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概述、总则、环境质量现状调查与评价、环境可行性分析、水产种质资源保护区环境影响评价及保护措施、评价结论与建议</w:t>
            </w:r>
          </w:p>
        </w:tc>
        <w:tc>
          <w:tcPr>
            <w:tcW w:w="1203" w:type="pct"/>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BH004860</w:t>
            </w:r>
          </w:p>
        </w:tc>
        <w:tc>
          <w:tcPr>
            <w:tcW w:w="751" w:type="pct"/>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36" w:type="pct"/>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highlight w:val="yellow"/>
              </w:rPr>
            </w:pPr>
            <w:r>
              <w:rPr>
                <w:rFonts w:ascii="Times New Roman" w:hAnsi="Times New Roman" w:cs="Times New Roman" w:eastAsiaTheme="minorEastAsia"/>
                <w:color w:val="000000"/>
                <w:sz w:val="21"/>
                <w:szCs w:val="21"/>
              </w:rPr>
              <w:t>赵瑰施</w:t>
            </w:r>
          </w:p>
        </w:tc>
        <w:tc>
          <w:tcPr>
            <w:tcW w:w="2310" w:type="pct"/>
            <w:gridSpan w:val="2"/>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工程概况及工程环境影响分析、环境经济损益分析、环境保护管理与监测计划</w:t>
            </w:r>
          </w:p>
        </w:tc>
        <w:tc>
          <w:tcPr>
            <w:tcW w:w="1203" w:type="pct"/>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BH012770</w:t>
            </w:r>
          </w:p>
        </w:tc>
        <w:tc>
          <w:tcPr>
            <w:tcW w:w="751" w:type="pct"/>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736" w:type="pct"/>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刘  庆</w:t>
            </w:r>
          </w:p>
        </w:tc>
        <w:tc>
          <w:tcPr>
            <w:tcW w:w="2310" w:type="pct"/>
            <w:gridSpan w:val="2"/>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环境影响预测与评价、环境影响减缓措施及技术经济论证</w:t>
            </w:r>
          </w:p>
        </w:tc>
        <w:tc>
          <w:tcPr>
            <w:tcW w:w="1203" w:type="pct"/>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BH004850</w:t>
            </w:r>
          </w:p>
        </w:tc>
        <w:tc>
          <w:tcPr>
            <w:tcW w:w="751" w:type="pct"/>
            <w:vAlign w:val="center"/>
          </w:tcPr>
          <w:p>
            <w:pPr>
              <w:pStyle w:val="65"/>
              <w:widowControl w:val="0"/>
              <w:adjustRightInd w:val="0"/>
              <w:snapToGrid w:val="0"/>
              <w:spacing w:before="0" w:beforeAutospacing="0" w:after="0" w:afterAutospacing="0"/>
              <w:jc w:val="center"/>
              <w:rPr>
                <w:rFonts w:ascii="Times New Roman" w:hAnsi="Times New Roman" w:cs="Times New Roman" w:eastAsiaTheme="minorEastAsia"/>
                <w:color w:val="000000"/>
                <w:sz w:val="21"/>
                <w:szCs w:val="21"/>
              </w:rPr>
            </w:pPr>
          </w:p>
        </w:tc>
      </w:tr>
    </w:tbl>
    <w:p>
      <w:pPr>
        <w:rPr>
          <w:rFonts w:ascii="Times New Roman" w:hAnsi="Times New Roman" w:eastAsiaTheme="minorEastAsia"/>
          <w:sz w:val="24"/>
          <w:szCs w:val="24"/>
        </w:rPr>
      </w:pPr>
    </w:p>
    <w:p>
      <w:pPr>
        <w:rPr>
          <w:rFonts w:ascii="Times New Roman" w:hAnsi="Times New Roman" w:eastAsiaTheme="minorEastAsia"/>
          <w:sz w:val="24"/>
          <w:szCs w:val="24"/>
        </w:rPr>
        <w:sectPr>
          <w:headerReference r:id="rId4" w:type="even"/>
          <w:footerReference r:id="rId5" w:type="even"/>
          <w:pgSz w:w="11906" w:h="16838"/>
          <w:pgMar w:top="1418" w:right="1418" w:bottom="1418" w:left="1418" w:header="1021" w:footer="851" w:gutter="0"/>
          <w:pgBorders>
            <w:top w:val="none" w:sz="0" w:space="0"/>
            <w:left w:val="none" w:sz="0" w:space="0"/>
            <w:bottom w:val="none" w:sz="0" w:space="0"/>
            <w:right w:val="none" w:sz="0" w:space="0"/>
          </w:pgBorders>
          <w:pgNumType w:fmt="upperRoman" w:start="1"/>
          <w:cols w:space="720" w:num="1"/>
          <w:docGrid w:type="lines" w:linePitch="312" w:charSpace="0"/>
        </w:sectPr>
      </w:pPr>
    </w:p>
    <w:p>
      <w:pPr>
        <w:jc w:val="center"/>
        <w:rPr>
          <w:rFonts w:ascii="Times New Roman" w:hAnsi="Times New Roman" w:eastAsiaTheme="minorEastAsia"/>
          <w:b/>
          <w:sz w:val="36"/>
          <w:szCs w:val="36"/>
        </w:rPr>
      </w:pPr>
      <w:r>
        <w:rPr>
          <w:rFonts w:ascii="Times New Roman" w:hAnsi="Times New Roman" w:eastAsiaTheme="minorEastAsia"/>
          <w:b/>
          <w:sz w:val="36"/>
          <w:szCs w:val="36"/>
        </w:rPr>
        <w:t>目  录</w:t>
      </w:r>
    </w:p>
    <w:p>
      <w:pPr>
        <w:pStyle w:val="45"/>
        <w:tabs>
          <w:tab w:val="right" w:leader="dot" w:pos="9070"/>
        </w:tabs>
        <w:rPr>
          <w:rFonts w:hint="default" w:ascii="Times New Roman" w:hAnsi="Times New Roman" w:cs="Times New Roman"/>
          <w:sz w:val="24"/>
          <w:szCs w:val="24"/>
        </w:rPr>
      </w:pPr>
      <w:r>
        <w:rPr>
          <w:rFonts w:hint="default" w:ascii="Times New Roman" w:hAnsi="Times New Roman" w:cs="Times New Roman"/>
          <w:b w:val="0"/>
          <w:bCs w:val="0"/>
          <w:caps w:val="0"/>
          <w:sz w:val="24"/>
          <w:szCs w:val="24"/>
          <w:highlight w:val="yellow"/>
        </w:rPr>
        <w:fldChar w:fldCharType="begin"/>
      </w:r>
      <w:r>
        <w:rPr>
          <w:rFonts w:hint="default" w:ascii="Times New Roman" w:hAnsi="Times New Roman" w:cs="Times New Roman"/>
          <w:b w:val="0"/>
          <w:sz w:val="24"/>
          <w:szCs w:val="24"/>
          <w:highlight w:val="yellow"/>
        </w:rPr>
        <w:instrText xml:space="preserve">TOC \o "1-2" \h \z \u</w:instrText>
      </w:r>
      <w:r>
        <w:rPr>
          <w:rFonts w:hint="default" w:ascii="Times New Roman" w:hAnsi="Times New Roman" w:cs="Times New Roman"/>
          <w:b w:val="0"/>
          <w:bCs w:val="0"/>
          <w:caps w:val="0"/>
          <w:sz w:val="24"/>
          <w:szCs w:val="24"/>
          <w:highlight w:val="yellow"/>
        </w:rPr>
        <w:fldChar w:fldCharType="separate"/>
      </w:r>
      <w:r>
        <w:rPr>
          <w:rFonts w:hint="default" w:ascii="Times New Roman" w:hAnsi="Times New Roman" w:cs="Times New Roman"/>
          <w:bCs w:val="0"/>
          <w:caps w:val="0"/>
          <w:sz w:val="24"/>
          <w:szCs w:val="24"/>
          <w:highlight w:val="yellow"/>
        </w:rPr>
        <w:fldChar w:fldCharType="begin"/>
      </w:r>
      <w:r>
        <w:rPr>
          <w:rFonts w:hint="default" w:ascii="Times New Roman" w:hAnsi="Times New Roman" w:cs="Times New Roman"/>
          <w:bCs w:val="0"/>
          <w:caps w:val="0"/>
          <w:sz w:val="24"/>
          <w:szCs w:val="24"/>
          <w:highlight w:val="yellow"/>
        </w:rPr>
        <w:instrText xml:space="preserve"> HYPERLINK \l _Toc14630 </w:instrText>
      </w:r>
      <w:r>
        <w:rPr>
          <w:rFonts w:hint="default" w:ascii="Times New Roman" w:hAnsi="Times New Roman" w:cs="Times New Roman"/>
          <w:bCs w:val="0"/>
          <w:caps w:val="0"/>
          <w:sz w:val="24"/>
          <w:szCs w:val="24"/>
          <w:highlight w:val="yellow"/>
        </w:rPr>
        <w:fldChar w:fldCharType="separate"/>
      </w:r>
      <w:r>
        <w:rPr>
          <w:rFonts w:hint="default" w:ascii="Times New Roman" w:hAnsi="Times New Roman" w:cs="Times New Roman" w:eastAsiaTheme="minorEastAsia"/>
          <w:sz w:val="24"/>
          <w:szCs w:val="24"/>
        </w:rPr>
        <w:t>1 概  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_Toc14630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bCs w:val="0"/>
          <w:caps w:val="0"/>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_Toc30047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1.1 项目由来</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_Toc30047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_Toc23941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1.2 项目特点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_Toc23941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_Toc29842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1.3 环境影响评价工作过程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_Toc29842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_Toc3871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1.4 分析判定相关情况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_Toc3871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_Toc30149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1.5 项目关注的主要环境问题</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_Toc30149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_Toc24224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1.6 环评主要结论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_Toc24224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45"/>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_Toc20124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2 总  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_Toc20124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_Toc15408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2.1 评价目的及原则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_Toc15408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_Toc17229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2.2 编制依据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_Toc17229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_Toc25881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2.3 环境影响因素识别及评价因子筛选</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_Toc25881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_Toc9789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2.4 评价工作重点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_Toc9789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_Toc19302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2.5 评价工作等级及范围</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_Toc19302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_Toc19869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lang w:bidi="ar"/>
        </w:rPr>
        <w:t xml:space="preserve">2.6 </w:t>
      </w:r>
      <w:r>
        <w:rPr>
          <w:rFonts w:hint="default" w:ascii="Times New Roman" w:hAnsi="Times New Roman" w:cs="Times New Roman" w:eastAsiaTheme="minorEastAsia"/>
          <w:sz w:val="24"/>
          <w:szCs w:val="24"/>
        </w:rPr>
        <w:t>环境功能区划与评价标准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_Toc19869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18</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_Toc12174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2.7 主要环境保护目标调查</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_Toc12174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_Toc22253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2.8 评价工作程序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_Toc22253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28</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45"/>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_Toc9324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3 工程概况及工程环境影响分析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_Toc9324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30</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_Toc12168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3.1 现有工程概况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_Toc12168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30</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_Toc14362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3.2 提质改造工程概况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_Toc14362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34</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_Toc21161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bCs w:val="0"/>
          <w:sz w:val="24"/>
          <w:szCs w:val="24"/>
          <w:lang w:val="zh-CN"/>
        </w:rPr>
        <w:t>3.3 施工工艺流程及施工方法</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_Toc21161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54</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_Toc4188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3.4 工程分析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_Toc4188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66</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45"/>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_Toc28813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4 环境质量现状调查与评价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_Toc28813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83</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_Toc32714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4.1 自然环境概况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_Toc32714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83</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_Toc3990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4.2 生态敏感区环境概况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_Toc3990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93</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_Toc213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4.3 区域污染源调查</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100</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_Toc32672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4.4 地表水环境现状调查与评价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_Toc32672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101</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_Toc11861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4.5 河流底泥现状监测及评价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_Toc11861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109</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_Toc30952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4.6 环境空气现状调查与评价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_Toc30952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111</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_Toc19790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4.7 声环境现状调查与评价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_Toc19790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113</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_Toc19246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4.8 生态环境现状调查与评价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_Toc19246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115</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45"/>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_Toc23047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5 环境可行性分析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_Toc23047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134</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_Toc26370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5.1 项目建设必要性</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_Toc26370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134</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_Toc23210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kern w:val="2"/>
          <w:sz w:val="24"/>
          <w:szCs w:val="24"/>
        </w:rPr>
        <w:t xml:space="preserve">5.2 </w:t>
      </w:r>
      <w:r>
        <w:rPr>
          <w:rFonts w:hint="default" w:ascii="Times New Roman" w:hAnsi="Times New Roman" w:cs="Times New Roman" w:eastAsiaTheme="minorEastAsia"/>
          <w:sz w:val="24"/>
          <w:szCs w:val="24"/>
        </w:rPr>
        <w:t>产业政策符合性分析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_Toc23210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135</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_Toc6747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5.3 相关规划符合性分析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_Toc6747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136</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_Toc3071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5.4 与“三线一单”的符合性分析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_Toc3071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145</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_Toc25310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5.5 选址的可行性</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_Toc25310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146</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_Toc24844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5.6 平面布置的合理性</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_Toc24844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147</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_Toc2958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5.7 环境制约因素及解决方案</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_Toc2958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148</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45"/>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_Toc21658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6 环境影响预测与评价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_Toc21658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150</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_Toc14512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6.1 地表水环境影响影响评价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_Toc14512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150</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_Toc17388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6.2 地下水环境影响评价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_Toc17388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154</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_Toc23599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6.3 环境空气影响评价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_Toc23599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157</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_Toc1071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6.4 声环境影响评价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_Toc1071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167</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_Toc7622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6.5 固体废物环境影响评价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_Toc7622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171</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_Toc12395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6.6 生态环境影响评价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_Toc12395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172</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_Toc23983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6.7 环境风险影响评价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_Toc23983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182</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_Toc23549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6.8 相关专题影响分析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_Toc23549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201</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45"/>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_Toc28083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7 水产种质资源保护区环境影响评价及保护措施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_Toc28083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203</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_Toc30179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7.1 对水生生物资源及保护区生态结构和功能的影响预测与评价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_Toc30179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203</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_Toc15305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7.2 保护及补偿措施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_Toc15305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213</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45"/>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_Toc19297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8 环境影响减缓措施及技术经济论证</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_Toc19297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220</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_Toc17068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8.1 施工期污染物防治措施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_Toc17068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220</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_Toc19651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8.2 营运期污染防治措施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_Toc19651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223</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_Toc30728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8.3 项目环保投资及“三同时”验收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_Toc30728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231</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45"/>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_Toc3405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bCs/>
          <w:kern w:val="44"/>
          <w:sz w:val="24"/>
          <w:szCs w:val="24"/>
        </w:rPr>
        <w:t>9 环境经济损益分析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_Toc3405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234</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_Toc27954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9.1 环保投资估算</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_Toc27954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234</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_Toc32666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9.2 经济损益分析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_Toc32666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235</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_Toc16010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9.3 环境效益</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_Toc16010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236</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_Toc14837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9.4 社会效益分析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_Toc14837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236</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45"/>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_Toc3826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10 环境保护管理及监测计划</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_Toc3826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237</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_Toc10865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10.1 环境管理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_Toc10865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237</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_Toc30723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10.2 环境监测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_Toc30723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243</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_Toc8395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10.3 排污口规范化管理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_Toc8395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245</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45"/>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_Toc23785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11 评价结论与建议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_Toc23785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247</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_Toc1118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11.1 项目概况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_Toc1118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247</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_Toc15620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11.2 环境质量现状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_Toc15620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247</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_Toc32430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11.3 环境影响评价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_Toc32430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248</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_Toc19659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11.4 主要环境保护措施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_Toc19659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251</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_Toc26454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11.5 环境风险达到可控水平</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_Toc26454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253</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_Toc3710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11.6 环境可行性分析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_Toc3710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254</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_Toc25694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11.7 公众参与</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_Toc25694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254</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_Toc12710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11.8 总结论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_Toc12710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254</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59"/>
        <w:tabs>
          <w:tab w:val="right" w:leader="dot" w:pos="9070"/>
        </w:tabs>
        <w:rPr>
          <w:rFonts w:hint="default" w:ascii="Times New Roman" w:hAnsi="Times New Roman" w:cs="Times New Roman"/>
          <w:sz w:val="24"/>
          <w:szCs w:val="24"/>
        </w:rPr>
      </w:pPr>
      <w:r>
        <w:rPr>
          <w:rFonts w:hint="default" w:ascii="Times New Roman" w:hAnsi="Times New Roman" w:cs="Times New Roman"/>
          <w:sz w:val="24"/>
          <w:szCs w:val="24"/>
          <w:highlight w:val="yellow"/>
        </w:rPr>
        <w:fldChar w:fldCharType="begin"/>
      </w:r>
      <w:r>
        <w:rPr>
          <w:rFonts w:hint="default" w:ascii="Times New Roman" w:hAnsi="Times New Roman" w:cs="Times New Roman"/>
          <w:sz w:val="24"/>
          <w:szCs w:val="24"/>
          <w:highlight w:val="yellow"/>
        </w:rPr>
        <w:instrText xml:space="preserve"> HYPERLINK \l _Toc2627 </w:instrText>
      </w:r>
      <w:r>
        <w:rPr>
          <w:rFonts w:hint="default" w:ascii="Times New Roman" w:hAnsi="Times New Roman" w:cs="Times New Roman"/>
          <w:sz w:val="24"/>
          <w:szCs w:val="24"/>
          <w:highlight w:val="yellow"/>
        </w:rPr>
        <w:fldChar w:fldCharType="separate"/>
      </w:r>
      <w:r>
        <w:rPr>
          <w:rFonts w:hint="default" w:ascii="Times New Roman" w:hAnsi="Times New Roman" w:cs="Times New Roman" w:eastAsiaTheme="minorEastAsia"/>
          <w:sz w:val="24"/>
          <w:szCs w:val="24"/>
        </w:rPr>
        <w:t>11.9 建议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_Toc2627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254</w:t>
      </w:r>
      <w:r>
        <w:rPr>
          <w:rFonts w:hint="default" w:ascii="Times New Roman" w:hAnsi="Times New Roman" w:cs="Times New Roman"/>
          <w:sz w:val="24"/>
          <w:szCs w:val="24"/>
        </w:rPr>
        <w:fldChar w:fldCharType="end"/>
      </w:r>
      <w:r>
        <w:rPr>
          <w:rFonts w:hint="default" w:ascii="Times New Roman" w:hAnsi="Times New Roman" w:cs="Times New Roman"/>
          <w:sz w:val="24"/>
          <w:szCs w:val="24"/>
          <w:highlight w:val="yellow"/>
        </w:rPr>
        <w:fldChar w:fldCharType="end"/>
      </w:r>
    </w:p>
    <w:p>
      <w:pPr>
        <w:pStyle w:val="124"/>
        <w:spacing w:line="240" w:lineRule="auto"/>
        <w:ind w:firstLine="0" w:firstLineChars="0"/>
        <w:rPr>
          <w:rFonts w:ascii="Times New Roman" w:hAnsi="Times New Roman" w:cs="Times New Roman"/>
        </w:rPr>
      </w:pPr>
      <w:r>
        <w:rPr>
          <w:rFonts w:hint="default" w:ascii="Times New Roman" w:hAnsi="Times New Roman" w:cs="Times New Roman"/>
          <w:sz w:val="24"/>
          <w:szCs w:val="24"/>
          <w:highlight w:val="yellow"/>
        </w:rPr>
        <w:fldChar w:fldCharType="end"/>
      </w:r>
    </w:p>
    <w:tbl>
      <w:tblPr>
        <w:tblStyle w:val="71"/>
        <w:tblW w:w="9070" w:type="dxa"/>
        <w:jc w:val="center"/>
        <w:tblLayout w:type="fixed"/>
        <w:tblCellMar>
          <w:top w:w="0" w:type="dxa"/>
          <w:left w:w="108" w:type="dxa"/>
          <w:bottom w:w="0" w:type="dxa"/>
          <w:right w:w="108" w:type="dxa"/>
        </w:tblCellMar>
      </w:tblPr>
      <w:tblGrid>
        <w:gridCol w:w="1105"/>
        <w:gridCol w:w="7965"/>
      </w:tblGrid>
      <w:tr>
        <w:tblPrEx>
          <w:tblCellMar>
            <w:top w:w="0" w:type="dxa"/>
            <w:left w:w="108" w:type="dxa"/>
            <w:bottom w:w="0" w:type="dxa"/>
            <w:right w:w="108" w:type="dxa"/>
          </w:tblCellMar>
        </w:tblPrEx>
        <w:trPr>
          <w:trHeight w:val="340" w:hRule="atLeast"/>
          <w:jc w:val="center"/>
        </w:trPr>
        <w:tc>
          <w:tcPr>
            <w:tcW w:w="9070" w:type="dxa"/>
            <w:gridSpan w:val="2"/>
            <w:vAlign w:val="center"/>
          </w:tcPr>
          <w:p>
            <w:pPr>
              <w:pStyle w:val="124"/>
              <w:spacing w:line="240" w:lineRule="auto"/>
              <w:ind w:firstLine="0" w:firstLineChars="0"/>
              <w:rPr>
                <w:rFonts w:ascii="Times New Roman" w:hAnsi="Times New Roman" w:cs="Times New Roman"/>
                <w:b/>
                <w:bCs/>
                <w:caps/>
              </w:rPr>
            </w:pPr>
            <w:r>
              <w:rPr>
                <w:rFonts w:ascii="Times New Roman" w:hAnsi="Times New Roman" w:cs="Times New Roman"/>
                <w:b/>
              </w:rPr>
              <w:t>附表：</w:t>
            </w:r>
          </w:p>
        </w:tc>
      </w:tr>
      <w:tr>
        <w:tblPrEx>
          <w:tblCellMar>
            <w:top w:w="0" w:type="dxa"/>
            <w:left w:w="108" w:type="dxa"/>
            <w:bottom w:w="0" w:type="dxa"/>
            <w:right w:w="108" w:type="dxa"/>
          </w:tblCellMar>
        </w:tblPrEx>
        <w:trPr>
          <w:trHeight w:val="340" w:hRule="atLeast"/>
          <w:jc w:val="center"/>
        </w:trPr>
        <w:tc>
          <w:tcPr>
            <w:tcW w:w="1105" w:type="dxa"/>
            <w:vAlign w:val="center"/>
          </w:tcPr>
          <w:p>
            <w:pPr>
              <w:pStyle w:val="124"/>
              <w:spacing w:line="240" w:lineRule="auto"/>
              <w:ind w:firstLine="0" w:firstLineChars="0"/>
              <w:rPr>
                <w:rFonts w:ascii="Times New Roman" w:hAnsi="Times New Roman" w:cs="Times New Roman"/>
                <w:b/>
                <w:bCs/>
                <w:caps/>
              </w:rPr>
            </w:pPr>
            <w:r>
              <w:rPr>
                <w:rFonts w:ascii="Times New Roman" w:hAnsi="Times New Roman" w:cs="Times New Roman"/>
              </w:rPr>
              <w:t>附表1</w:t>
            </w:r>
          </w:p>
        </w:tc>
        <w:tc>
          <w:tcPr>
            <w:tcW w:w="7965" w:type="dxa"/>
            <w:vAlign w:val="center"/>
          </w:tcPr>
          <w:p>
            <w:pPr>
              <w:pStyle w:val="124"/>
              <w:spacing w:line="240" w:lineRule="auto"/>
              <w:ind w:firstLine="0" w:firstLineChars="0"/>
              <w:rPr>
                <w:rFonts w:ascii="Times New Roman" w:hAnsi="Times New Roman" w:cs="Times New Roman"/>
                <w:b/>
                <w:bCs/>
                <w:caps/>
              </w:rPr>
            </w:pPr>
            <w:r>
              <w:rPr>
                <w:rFonts w:ascii="Times New Roman" w:hAnsi="Times New Roman" w:cs="Times New Roman"/>
              </w:rPr>
              <w:t>建设项目环评审批基础信息表；</w:t>
            </w:r>
          </w:p>
        </w:tc>
      </w:tr>
      <w:tr>
        <w:tblPrEx>
          <w:tblCellMar>
            <w:top w:w="0" w:type="dxa"/>
            <w:left w:w="108" w:type="dxa"/>
            <w:bottom w:w="0" w:type="dxa"/>
            <w:right w:w="108" w:type="dxa"/>
          </w:tblCellMar>
        </w:tblPrEx>
        <w:trPr>
          <w:trHeight w:val="340" w:hRule="atLeast"/>
          <w:jc w:val="center"/>
        </w:trPr>
        <w:tc>
          <w:tcPr>
            <w:tcW w:w="1105" w:type="dxa"/>
            <w:vAlign w:val="center"/>
          </w:tcPr>
          <w:p>
            <w:pPr>
              <w:pStyle w:val="124"/>
              <w:spacing w:line="240" w:lineRule="auto"/>
              <w:ind w:firstLine="0" w:firstLineChars="0"/>
              <w:rPr>
                <w:rFonts w:ascii="Times New Roman" w:hAnsi="Times New Roman" w:cs="Times New Roman"/>
              </w:rPr>
            </w:pPr>
            <w:r>
              <w:rPr>
                <w:rFonts w:ascii="Times New Roman" w:hAnsi="Times New Roman" w:cs="Times New Roman"/>
              </w:rPr>
              <w:t>附表2</w:t>
            </w:r>
          </w:p>
        </w:tc>
        <w:tc>
          <w:tcPr>
            <w:tcW w:w="7965" w:type="dxa"/>
            <w:vAlign w:val="center"/>
          </w:tcPr>
          <w:p>
            <w:pPr>
              <w:autoSpaceDE w:val="0"/>
              <w:autoSpaceDN w:val="0"/>
              <w:adjustRightInd w:val="0"/>
              <w:snapToGrid w:val="0"/>
              <w:jc w:val="left"/>
              <w:rPr>
                <w:rFonts w:ascii="Times New Roman" w:hAnsi="Times New Roman" w:eastAsiaTheme="minorEastAsia"/>
                <w:sz w:val="24"/>
                <w:szCs w:val="24"/>
              </w:rPr>
            </w:pPr>
            <w:r>
              <w:rPr>
                <w:rFonts w:ascii="Times New Roman" w:hAnsi="Times New Roman" w:eastAsiaTheme="minorEastAsia"/>
                <w:sz w:val="24"/>
                <w:szCs w:val="24"/>
              </w:rPr>
              <w:t>建设项目地表水环境影响评价自查表；</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ascii="Times New Roman" w:hAnsi="Times New Roman" w:cs="Times New Roman"/>
              </w:rPr>
            </w:pPr>
            <w:r>
              <w:rPr>
                <w:rFonts w:ascii="Times New Roman" w:hAnsi="Times New Roman" w:cs="Times New Roman"/>
              </w:rPr>
              <w:t>附表3</w:t>
            </w:r>
          </w:p>
        </w:tc>
        <w:tc>
          <w:tcPr>
            <w:tcW w:w="7965" w:type="dxa"/>
            <w:vAlign w:val="center"/>
          </w:tcPr>
          <w:p>
            <w:pPr>
              <w:autoSpaceDE w:val="0"/>
              <w:autoSpaceDN w:val="0"/>
              <w:adjustRightInd w:val="0"/>
              <w:snapToGrid w:val="0"/>
              <w:jc w:val="left"/>
              <w:rPr>
                <w:rFonts w:ascii="Times New Roman" w:hAnsi="Times New Roman" w:eastAsiaTheme="minorEastAsia"/>
                <w:sz w:val="24"/>
                <w:szCs w:val="24"/>
              </w:rPr>
            </w:pPr>
            <w:r>
              <w:rPr>
                <w:rFonts w:ascii="Times New Roman" w:hAnsi="Times New Roman" w:eastAsiaTheme="minorEastAsia"/>
                <w:sz w:val="24"/>
                <w:szCs w:val="24"/>
              </w:rPr>
              <w:t>建设项目大气环境影响评价自查表；</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ascii="Times New Roman" w:hAnsi="Times New Roman" w:cs="Times New Roman"/>
              </w:rPr>
            </w:pPr>
            <w:r>
              <w:rPr>
                <w:rFonts w:ascii="Times New Roman" w:hAnsi="Times New Roman" w:cs="Times New Roman"/>
              </w:rPr>
              <w:t>附表4</w:t>
            </w:r>
          </w:p>
        </w:tc>
        <w:tc>
          <w:tcPr>
            <w:tcW w:w="7965" w:type="dxa"/>
            <w:vAlign w:val="center"/>
          </w:tcPr>
          <w:p>
            <w:pPr>
              <w:autoSpaceDE w:val="0"/>
              <w:autoSpaceDN w:val="0"/>
              <w:adjustRightInd w:val="0"/>
              <w:snapToGrid w:val="0"/>
              <w:jc w:val="left"/>
              <w:rPr>
                <w:rFonts w:ascii="Times New Roman" w:hAnsi="Times New Roman" w:eastAsiaTheme="minorEastAsia"/>
                <w:sz w:val="24"/>
                <w:szCs w:val="24"/>
              </w:rPr>
            </w:pPr>
            <w:r>
              <w:rPr>
                <w:rFonts w:ascii="Times New Roman" w:hAnsi="Times New Roman" w:eastAsiaTheme="minorEastAsia"/>
                <w:sz w:val="24"/>
                <w:szCs w:val="24"/>
              </w:rPr>
              <w:t>环境风险评价自查表；</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ascii="Times New Roman" w:hAnsi="Times New Roman" w:cs="Times New Roman"/>
              </w:rPr>
            </w:pPr>
            <w:r>
              <w:rPr>
                <w:rFonts w:ascii="Times New Roman" w:hAnsi="Times New Roman" w:cs="Times New Roman"/>
              </w:rPr>
              <w:t>附表5</w:t>
            </w:r>
          </w:p>
        </w:tc>
        <w:tc>
          <w:tcPr>
            <w:tcW w:w="7965" w:type="dxa"/>
            <w:vAlign w:val="center"/>
          </w:tcPr>
          <w:p>
            <w:pPr>
              <w:autoSpaceDE w:val="0"/>
              <w:autoSpaceDN w:val="0"/>
              <w:adjustRightInd w:val="0"/>
              <w:snapToGrid w:val="0"/>
              <w:jc w:val="left"/>
              <w:rPr>
                <w:rFonts w:ascii="Times New Roman" w:hAnsi="Times New Roman" w:eastAsiaTheme="minorEastAsia"/>
                <w:sz w:val="24"/>
                <w:szCs w:val="24"/>
              </w:rPr>
            </w:pPr>
            <w:r>
              <w:rPr>
                <w:rFonts w:ascii="Times New Roman" w:hAnsi="Times New Roman" w:eastAsiaTheme="minorEastAsia"/>
                <w:sz w:val="24"/>
                <w:szCs w:val="24"/>
              </w:rPr>
              <w:t>土壤环境影响评价自查表；</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ascii="Times New Roman" w:hAnsi="Times New Roman" w:cs="Times New Roman"/>
                <w:color w:val="FF0000"/>
              </w:rPr>
            </w:pPr>
          </w:p>
        </w:tc>
        <w:tc>
          <w:tcPr>
            <w:tcW w:w="7965" w:type="dxa"/>
            <w:vAlign w:val="center"/>
          </w:tcPr>
          <w:p>
            <w:pPr>
              <w:autoSpaceDE w:val="0"/>
              <w:autoSpaceDN w:val="0"/>
              <w:adjustRightInd w:val="0"/>
              <w:snapToGrid w:val="0"/>
              <w:jc w:val="left"/>
              <w:rPr>
                <w:rFonts w:ascii="Times New Roman" w:hAnsi="Times New Roman" w:eastAsiaTheme="minorEastAsia"/>
                <w:color w:val="FF0000"/>
                <w:sz w:val="24"/>
                <w:szCs w:val="24"/>
              </w:rPr>
            </w:pPr>
          </w:p>
        </w:tc>
      </w:tr>
      <w:tr>
        <w:tblPrEx>
          <w:tblCellMar>
            <w:top w:w="0" w:type="dxa"/>
            <w:left w:w="108" w:type="dxa"/>
            <w:bottom w:w="0" w:type="dxa"/>
            <w:right w:w="108" w:type="dxa"/>
          </w:tblCellMar>
        </w:tblPrEx>
        <w:trPr>
          <w:trHeight w:val="340" w:hRule="atLeast"/>
          <w:jc w:val="center"/>
        </w:trPr>
        <w:tc>
          <w:tcPr>
            <w:tcW w:w="9070" w:type="dxa"/>
            <w:gridSpan w:val="2"/>
            <w:vAlign w:val="bottom"/>
          </w:tcPr>
          <w:p>
            <w:pPr>
              <w:pStyle w:val="124"/>
              <w:spacing w:line="240" w:lineRule="auto"/>
              <w:ind w:firstLine="0" w:firstLineChars="0"/>
              <w:rPr>
                <w:rFonts w:ascii="Times New Roman" w:hAnsi="Times New Roman" w:cs="Times New Roman"/>
                <w:b/>
              </w:rPr>
            </w:pPr>
            <w:r>
              <w:rPr>
                <w:rFonts w:ascii="Times New Roman" w:hAnsi="Times New Roman" w:cs="Times New Roman"/>
                <w:b/>
              </w:rPr>
              <w:t>附件：</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ascii="Times New Roman" w:hAnsi="Times New Roman" w:cs="Times New Roman"/>
                <w:b/>
                <w:bCs/>
                <w:caps/>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附件1</w:t>
            </w:r>
          </w:p>
        </w:tc>
        <w:tc>
          <w:tcPr>
            <w:tcW w:w="7965" w:type="dxa"/>
          </w:tcPr>
          <w:p>
            <w:pPr>
              <w:pStyle w:val="124"/>
              <w:spacing w:line="240" w:lineRule="auto"/>
              <w:ind w:firstLine="0" w:firstLineChars="0"/>
              <w:rPr>
                <w:rFonts w:ascii="Times New Roman" w:hAnsi="Times New Roman" w:cs="Times New Roman"/>
                <w:color w:val="000000" w:themeColor="text1"/>
                <w:highlight w:val="yellow"/>
                <w14:textFill>
                  <w14:solidFill>
                    <w14:schemeClr w14:val="tx1"/>
                  </w14:solidFill>
                </w14:textFill>
              </w:rPr>
            </w:pPr>
            <w:r>
              <w:rPr>
                <w:rFonts w:ascii="Times New Roman" w:hAnsi="Times New Roman" w:cs="Times New Roman"/>
              </w:rPr>
              <w:t>关于开展华能岳阳电厂码头及岸线综合利用工程环境影响评价工作的委托函</w:t>
            </w:r>
            <w:r>
              <w:rPr>
                <w:rFonts w:ascii="Times New Roman" w:hAnsi="Times New Roman" w:cs="Times New Roman"/>
                <w:kern w:val="0"/>
              </w:rPr>
              <w:t>；</w:t>
            </w:r>
          </w:p>
        </w:tc>
      </w:tr>
      <w:tr>
        <w:tblPrEx>
          <w:tblCellMar>
            <w:top w:w="0" w:type="dxa"/>
            <w:left w:w="108" w:type="dxa"/>
            <w:bottom w:w="0" w:type="dxa"/>
            <w:right w:w="108" w:type="dxa"/>
          </w:tblCellMar>
        </w:tblPrEx>
        <w:trPr>
          <w:trHeight w:val="640" w:hRule="atLeast"/>
          <w:jc w:val="center"/>
        </w:trPr>
        <w:tc>
          <w:tcPr>
            <w:tcW w:w="1105" w:type="dxa"/>
          </w:tcPr>
          <w:p>
            <w:pPr>
              <w:pStyle w:val="124"/>
              <w:spacing w:line="240" w:lineRule="auto"/>
              <w:ind w:firstLine="0" w:firstLineChars="0"/>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附件2</w:t>
            </w:r>
          </w:p>
        </w:tc>
        <w:tc>
          <w:tcPr>
            <w:tcW w:w="7965" w:type="dxa"/>
          </w:tcPr>
          <w:p>
            <w:pPr>
              <w:pStyle w:val="124"/>
              <w:spacing w:line="240" w:lineRule="auto"/>
              <w:ind w:firstLine="0" w:firstLineChars="0"/>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关于华能岳阳电厂码头及岸线综合利用工程、全厂节水与废水综合治理等两个资本性支出项目立项的批复  华能湖南安生函〔2019〕47号；</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附件3</w:t>
            </w:r>
          </w:p>
        </w:tc>
        <w:tc>
          <w:tcPr>
            <w:tcW w:w="7965" w:type="dxa"/>
          </w:tcPr>
          <w:p>
            <w:pPr>
              <w:pStyle w:val="124"/>
              <w:spacing w:line="240" w:lineRule="auto"/>
              <w:ind w:firstLine="0" w:firstLineChars="0"/>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检测报告及质量保证单；</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附件4</w:t>
            </w:r>
          </w:p>
        </w:tc>
        <w:tc>
          <w:tcPr>
            <w:tcW w:w="7965" w:type="dxa"/>
          </w:tcPr>
          <w:p>
            <w:pPr>
              <w:pStyle w:val="124"/>
              <w:spacing w:line="240" w:lineRule="auto"/>
              <w:ind w:firstLine="0" w:firstLineChars="0"/>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湖南省人民政府 关于推进长江岸线湖南段港口码头专项整治工作的会议纪要  湘府阅〔2018〕28号；</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附件5</w:t>
            </w:r>
          </w:p>
        </w:tc>
        <w:tc>
          <w:tcPr>
            <w:tcW w:w="7965" w:type="dxa"/>
          </w:tcPr>
          <w:p>
            <w:pPr>
              <w:pStyle w:val="124"/>
              <w:spacing w:line="240" w:lineRule="auto"/>
              <w:ind w:firstLine="0" w:firstLineChars="0"/>
              <w:jc w:val="left"/>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湖南省人民政府 关于推进长江岸线湖南段港口码头专项整治工作的第二次会议纪要  湘府阅〔2018〕33号；</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附件6</w:t>
            </w:r>
          </w:p>
        </w:tc>
        <w:tc>
          <w:tcPr>
            <w:tcW w:w="7965" w:type="dxa"/>
          </w:tcPr>
          <w:p>
            <w:pPr>
              <w:pStyle w:val="124"/>
              <w:spacing w:line="240" w:lineRule="auto"/>
              <w:ind w:firstLine="0" w:firstLineChars="0"/>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湖南省人民政府 关于推进长江岸线湖南段港口码头专项整治工作第三次会议暨长江湖南段“河长制”工作会议纪要  湘府阅〔2018〕48号；</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附件7</w:t>
            </w:r>
          </w:p>
        </w:tc>
        <w:tc>
          <w:tcPr>
            <w:tcW w:w="7965" w:type="dxa"/>
            <w:vAlign w:val="top"/>
          </w:tcPr>
          <w:p>
            <w:pPr>
              <w:pStyle w:val="124"/>
              <w:spacing w:line="240" w:lineRule="auto"/>
              <w:ind w:firstLine="0" w:firstLineChars="0"/>
              <w:rPr>
                <w:rFonts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关于《华能岳阳电厂码头2#泊位提质改造方案》的批复  岳地海〔2019〕52号；</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附件8</w:t>
            </w:r>
          </w:p>
        </w:tc>
        <w:tc>
          <w:tcPr>
            <w:tcW w:w="7965" w:type="dxa"/>
            <w:vAlign w:val="top"/>
          </w:tcPr>
          <w:p>
            <w:pPr>
              <w:pStyle w:val="124"/>
              <w:spacing w:line="240" w:lineRule="auto"/>
              <w:ind w:firstLine="0" w:firstLineChars="0"/>
              <w:rPr>
                <w:rFonts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岳阳市洞庭湖江豚保护中心关于《华能岳阳电厂码头及岸线综合利用工程涉及洞庭湖铜鱼短颌鲚国家级水产种质资源保护区的函》的复函  岳豚保函〔2020〕3号；</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ascii="Times New Roman" w:hAnsi="Times New Roman" w:cs="Times New Roman"/>
                <w:color w:val="FF0000"/>
                <w:u w:val="single"/>
              </w:rPr>
            </w:pPr>
            <w:r>
              <w:rPr>
                <w:rFonts w:ascii="Times New Roman" w:hAnsi="Times New Roman" w:cs="Times New Roman"/>
                <w:color w:val="FF0000"/>
                <w:u w:val="single"/>
              </w:rPr>
              <w:t>附件9</w:t>
            </w:r>
          </w:p>
        </w:tc>
        <w:tc>
          <w:tcPr>
            <w:tcW w:w="7965" w:type="dxa"/>
            <w:vAlign w:val="top"/>
          </w:tcPr>
          <w:p>
            <w:pPr>
              <w:pStyle w:val="124"/>
              <w:spacing w:line="240" w:lineRule="auto"/>
              <w:ind w:firstLine="0" w:firstLineChars="0"/>
              <w:rPr>
                <w:rFonts w:hint="eastAsia" w:ascii="Times New Roman" w:hAnsi="Times New Roman" w:cs="Times New Roman" w:eastAsiaTheme="minorEastAsia"/>
                <w:color w:val="FF0000"/>
                <w:kern w:val="0"/>
                <w:sz w:val="24"/>
                <w:szCs w:val="24"/>
                <w:u w:val="single"/>
                <w:lang w:val="en-US" w:eastAsia="zh-CN" w:bidi="ar-SA"/>
              </w:rPr>
            </w:pPr>
            <w:r>
              <w:rPr>
                <w:rFonts w:hint="eastAsia" w:ascii="Times New Roman" w:hAnsi="Times New Roman" w:cs="Times New Roman"/>
                <w:color w:val="FF0000"/>
                <w:kern w:val="0"/>
                <w:u w:val="single"/>
              </w:rPr>
              <w:t>《华能岳阳电厂码头2#泊位提质改造工程对洞庭湖口铜鱼短颌鲚国家级水产种质资源保护区影响专题论证报告》专家初审意见</w:t>
            </w:r>
            <w:r>
              <w:rPr>
                <w:rFonts w:hint="eastAsia" w:ascii="Times New Roman" w:hAnsi="Times New Roman" w:cs="Times New Roman"/>
                <w:color w:val="FF0000"/>
                <w:kern w:val="0"/>
                <w:u w:val="single"/>
                <w:lang w:eastAsia="zh-CN"/>
              </w:rPr>
              <w:t>；</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附件10</w:t>
            </w:r>
          </w:p>
        </w:tc>
        <w:tc>
          <w:tcPr>
            <w:tcW w:w="7965" w:type="dxa"/>
            <w:vAlign w:val="top"/>
          </w:tcPr>
          <w:p>
            <w:pPr>
              <w:pStyle w:val="124"/>
              <w:spacing w:line="240" w:lineRule="auto"/>
              <w:ind w:firstLine="0" w:firstLineChars="0"/>
              <w:rPr>
                <w:rFonts w:hint="eastAsia"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关于“关于确认华能岳阳电厂码头及岸线综合利用工程与湖南东洞庭湖国家级自然保护区位置关系的请示函”的复函  东洞保函〔2020〕10号；</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hint="eastAsia" w:ascii="Times New Roman" w:hAnsi="Times New Roman" w:cs="Times New Roman" w:eastAsiaTheme="minorEastAsia"/>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附件1</w:t>
            </w:r>
            <w:r>
              <w:rPr>
                <w:rFonts w:hint="eastAsia" w:ascii="Times New Roman" w:hAnsi="Times New Roman" w:cs="Times New Roman"/>
                <w:color w:val="000000" w:themeColor="text1"/>
                <w:lang w:val="en-US" w:eastAsia="zh-CN"/>
                <w14:textFill>
                  <w14:solidFill>
                    <w14:schemeClr w14:val="tx1"/>
                  </w14:solidFill>
                </w14:textFill>
              </w:rPr>
              <w:t>1</w:t>
            </w:r>
          </w:p>
        </w:tc>
        <w:tc>
          <w:tcPr>
            <w:tcW w:w="7965" w:type="dxa"/>
            <w:vAlign w:val="top"/>
          </w:tcPr>
          <w:p>
            <w:pPr>
              <w:pStyle w:val="124"/>
              <w:spacing w:line="240" w:lineRule="auto"/>
              <w:ind w:firstLine="0" w:firstLineChars="0"/>
              <w:rPr>
                <w:rFonts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 xml:space="preserve">交通运输部办公厅湖南省人民政府办公厅 </w:t>
            </w:r>
            <w:r>
              <w:rPr>
                <w:rFonts w:hint="default" w:ascii="Times New Roman" w:hAnsi="Times New Roman" w:cs="Times New Roman"/>
                <w:color w:val="000000" w:themeColor="text1"/>
                <w:kern w:val="0"/>
                <w:lang w:val="en-US" w:eastAsia="zh-CN"/>
                <w14:textFill>
                  <w14:solidFill>
                    <w14:schemeClr w14:val="tx1"/>
                  </w14:solidFill>
                </w14:textFill>
              </w:rPr>
              <w:t xml:space="preserve"> </w:t>
            </w:r>
            <w:r>
              <w:rPr>
                <w:rFonts w:hint="default" w:ascii="Times New Roman" w:hAnsi="Times New Roman" w:cs="Times New Roman"/>
                <w:color w:val="000000" w:themeColor="text1"/>
                <w:kern w:val="0"/>
                <w14:textFill>
                  <w14:solidFill>
                    <w14:schemeClr w14:val="tx1"/>
                  </w14:solidFill>
                </w14:textFill>
              </w:rPr>
              <w:t>关于岳阳港总体规划的审查意见  交办规划函〔2019〕218号；</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hint="eastAsia" w:ascii="Times New Roman" w:hAnsi="Times New Roman" w:cs="Times New Roman" w:eastAsiaTheme="minorEastAsia"/>
                <w:color w:val="000000" w:themeColor="text1"/>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附件1</w:t>
            </w:r>
            <w:r>
              <w:rPr>
                <w:rFonts w:hint="eastAsia" w:ascii="Times New Roman" w:hAnsi="Times New Roman" w:cs="Times New Roman"/>
                <w:color w:val="000000" w:themeColor="text1"/>
                <w:lang w:val="en-US" w:eastAsia="zh-CN"/>
                <w14:textFill>
                  <w14:solidFill>
                    <w14:schemeClr w14:val="tx1"/>
                  </w14:solidFill>
                </w14:textFill>
              </w:rPr>
              <w:t>2</w:t>
            </w:r>
          </w:p>
        </w:tc>
        <w:tc>
          <w:tcPr>
            <w:tcW w:w="7965" w:type="dxa"/>
            <w:vAlign w:val="top"/>
          </w:tcPr>
          <w:p>
            <w:pPr>
              <w:pStyle w:val="124"/>
              <w:spacing w:line="240" w:lineRule="auto"/>
              <w:ind w:firstLine="0" w:firstLineChars="0"/>
              <w:rPr>
                <w:rFonts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 xml:space="preserve">中华人民共和国生态环境部 </w:t>
            </w:r>
            <w:r>
              <w:rPr>
                <w:rFonts w:hint="default" w:ascii="Times New Roman" w:hAnsi="Times New Roman" w:cs="Times New Roman"/>
                <w:color w:val="000000" w:themeColor="text1"/>
                <w:kern w:val="0"/>
                <w:lang w:val="en-US" w:eastAsia="zh-CN"/>
                <w14:textFill>
                  <w14:solidFill>
                    <w14:schemeClr w14:val="tx1"/>
                  </w14:solidFill>
                </w14:textFill>
              </w:rPr>
              <w:t xml:space="preserve"> </w:t>
            </w:r>
            <w:r>
              <w:rPr>
                <w:rFonts w:hint="default" w:ascii="Times New Roman" w:hAnsi="Times New Roman" w:cs="Times New Roman"/>
                <w:color w:val="000000" w:themeColor="text1"/>
                <w:kern w:val="0"/>
                <w14:textFill>
                  <w14:solidFill>
                    <w14:schemeClr w14:val="tx1"/>
                  </w14:solidFill>
                </w14:textFill>
              </w:rPr>
              <w:t>关于《岳阳港总体规划（2017-2035年）环境影响报告书》的审查意见  环审〔2020〕65号；</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hint="eastAsia" w:ascii="Times New Roman" w:hAnsi="Times New Roman" w:cs="Times New Roman" w:eastAsiaTheme="minorEastAsia"/>
                <w:color w:val="FF0000"/>
                <w:u w:val="single"/>
                <w:lang w:eastAsia="zh-CN"/>
              </w:rPr>
            </w:pPr>
            <w:r>
              <w:rPr>
                <w:rFonts w:ascii="Times New Roman" w:hAnsi="Times New Roman" w:cs="Times New Roman"/>
                <w:color w:val="FF0000"/>
                <w:u w:val="single"/>
              </w:rPr>
              <w:t>附件1</w:t>
            </w:r>
            <w:r>
              <w:rPr>
                <w:rFonts w:hint="eastAsia" w:ascii="Times New Roman" w:hAnsi="Times New Roman" w:cs="Times New Roman"/>
                <w:color w:val="FF0000"/>
                <w:u w:val="single"/>
                <w:lang w:val="en-US" w:eastAsia="zh-CN"/>
              </w:rPr>
              <w:t>3</w:t>
            </w:r>
          </w:p>
        </w:tc>
        <w:tc>
          <w:tcPr>
            <w:tcW w:w="7965" w:type="dxa"/>
            <w:vAlign w:val="top"/>
          </w:tcPr>
          <w:p>
            <w:pPr>
              <w:pStyle w:val="124"/>
              <w:spacing w:line="240" w:lineRule="auto"/>
              <w:ind w:firstLine="0" w:firstLineChars="0"/>
              <w:rPr>
                <w:rFonts w:hint="eastAsia" w:ascii="Times New Roman" w:hAnsi="Times New Roman" w:cs="Times New Roman" w:eastAsiaTheme="minorEastAsia"/>
                <w:color w:val="FF0000"/>
                <w:kern w:val="0"/>
                <w:sz w:val="24"/>
                <w:szCs w:val="24"/>
                <w:u w:val="single"/>
                <w:lang w:val="en-US" w:eastAsia="zh-CN" w:bidi="ar-SA"/>
              </w:rPr>
            </w:pPr>
            <w:r>
              <w:rPr>
                <w:rFonts w:hint="eastAsia" w:ascii="Times New Roman" w:hAnsi="Times New Roman" w:cs="Times New Roman"/>
                <w:color w:val="FF0000"/>
                <w:kern w:val="0"/>
                <w:u w:val="single"/>
              </w:rPr>
              <w:t>专家审查意见及签到表；</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hint="default" w:ascii="Times New Roman" w:hAnsi="Times New Roman" w:cs="Times New Roman" w:eastAsiaTheme="minorEastAsia"/>
                <w:color w:val="000000" w:themeColor="text1"/>
                <w:u w:val="none"/>
                <w:lang w:val="en-US" w:eastAsia="zh-CN"/>
                <w14:textFill>
                  <w14:solidFill>
                    <w14:schemeClr w14:val="tx1"/>
                  </w14:solidFill>
                </w14:textFill>
              </w:rPr>
            </w:pPr>
            <w:r>
              <w:rPr>
                <w:rFonts w:hint="eastAsia" w:ascii="Times New Roman" w:hAnsi="Times New Roman" w:cs="Times New Roman"/>
                <w:color w:val="000000" w:themeColor="text1"/>
                <w:u w:val="none"/>
                <w:lang w:eastAsia="zh-CN"/>
                <w14:textFill>
                  <w14:solidFill>
                    <w14:schemeClr w14:val="tx1"/>
                  </w14:solidFill>
                </w14:textFill>
              </w:rPr>
              <w:t>附件</w:t>
            </w:r>
            <w:r>
              <w:rPr>
                <w:rFonts w:hint="eastAsia" w:ascii="Times New Roman" w:hAnsi="Times New Roman" w:cs="Times New Roman"/>
                <w:color w:val="000000" w:themeColor="text1"/>
                <w:u w:val="none"/>
                <w:lang w:val="en-US" w:eastAsia="zh-CN"/>
                <w14:textFill>
                  <w14:solidFill>
                    <w14:schemeClr w14:val="tx1"/>
                  </w14:solidFill>
                </w14:textFill>
              </w:rPr>
              <w:t>14</w:t>
            </w:r>
          </w:p>
        </w:tc>
        <w:tc>
          <w:tcPr>
            <w:tcW w:w="7965" w:type="dxa"/>
            <w:vAlign w:val="top"/>
          </w:tcPr>
          <w:p>
            <w:pPr>
              <w:pStyle w:val="124"/>
              <w:spacing w:line="240" w:lineRule="auto"/>
              <w:ind w:firstLine="0" w:firstLineChars="0"/>
              <w:rPr>
                <w:rFonts w:hint="eastAsia" w:ascii="Times New Roman" w:hAnsi="Times New Roman" w:cs="Times New Roman" w:eastAsiaTheme="minorEastAsia"/>
                <w:color w:val="000000" w:themeColor="text1"/>
                <w:kern w:val="0"/>
                <w:u w:val="none"/>
                <w:lang w:eastAsia="zh-CN"/>
                <w14:textFill>
                  <w14:solidFill>
                    <w14:schemeClr w14:val="tx1"/>
                  </w14:solidFill>
                </w14:textFill>
              </w:rPr>
            </w:pPr>
            <w:r>
              <w:rPr>
                <w:rFonts w:hint="eastAsia" w:ascii="Times New Roman" w:hAnsi="Times New Roman" w:cs="Times New Roman"/>
                <w:color w:val="000000" w:themeColor="text1"/>
                <w:kern w:val="0"/>
                <w:u w:val="none"/>
                <w14:textFill>
                  <w14:solidFill>
                    <w14:schemeClr w14:val="tx1"/>
                  </w14:solidFill>
                </w14:textFill>
              </w:rPr>
              <w:t>岳</w:t>
            </w:r>
            <w:r>
              <w:rPr>
                <w:rFonts w:hint="eastAsia" w:ascii="Times New Roman" w:hAnsi="Times New Roman" w:cs="Times New Roman"/>
                <w:color w:val="000000" w:themeColor="text1"/>
                <w:kern w:val="0"/>
                <w:u w:val="none"/>
                <w:lang w:eastAsia="zh-CN"/>
                <w14:textFill>
                  <w14:solidFill>
                    <w14:schemeClr w14:val="tx1"/>
                  </w14:solidFill>
                </w14:textFill>
              </w:rPr>
              <w:t>阳</w:t>
            </w:r>
            <w:r>
              <w:rPr>
                <w:rFonts w:hint="eastAsia" w:ascii="Times New Roman" w:hAnsi="Times New Roman" w:cs="Times New Roman"/>
                <w:color w:val="000000" w:themeColor="text1"/>
                <w:kern w:val="0"/>
                <w:u w:val="none"/>
                <w14:textFill>
                  <w14:solidFill>
                    <w14:schemeClr w14:val="tx1"/>
                  </w14:solidFill>
                </w14:textFill>
              </w:rPr>
              <w:t>市</w:t>
            </w:r>
            <w:r>
              <w:rPr>
                <w:rFonts w:hint="eastAsia" w:ascii="Times New Roman" w:hAnsi="Times New Roman" w:cs="Times New Roman"/>
                <w:color w:val="000000" w:themeColor="text1"/>
                <w:kern w:val="0"/>
                <w:u w:val="none"/>
                <w:lang w:eastAsia="zh-CN"/>
                <w14:textFill>
                  <w14:solidFill>
                    <w14:schemeClr w14:val="tx1"/>
                  </w14:solidFill>
                </w14:textFill>
              </w:rPr>
              <w:t>生态环境</w:t>
            </w:r>
            <w:r>
              <w:rPr>
                <w:rFonts w:hint="eastAsia" w:ascii="Times New Roman" w:hAnsi="Times New Roman" w:cs="Times New Roman"/>
                <w:color w:val="000000" w:themeColor="text1"/>
                <w:kern w:val="0"/>
                <w:u w:val="none"/>
                <w14:textFill>
                  <w14:solidFill>
                    <w14:schemeClr w14:val="tx1"/>
                  </w14:solidFill>
                </w14:textFill>
              </w:rPr>
              <w:t>局</w:t>
            </w:r>
            <w:r>
              <w:rPr>
                <w:rFonts w:hint="eastAsia" w:ascii="Times New Roman" w:hAnsi="Times New Roman" w:cs="Times New Roman"/>
                <w:color w:val="000000" w:themeColor="text1"/>
                <w:kern w:val="0"/>
                <w:u w:val="none"/>
                <w:lang w:eastAsia="zh-CN"/>
                <w14:textFill>
                  <w14:solidFill>
                    <w14:schemeClr w14:val="tx1"/>
                  </w14:solidFill>
                </w14:textFill>
              </w:rPr>
              <w:t>城陵矶新港区分局</w:t>
            </w:r>
            <w:r>
              <w:rPr>
                <w:rFonts w:hint="eastAsia" w:ascii="Times New Roman" w:hAnsi="Times New Roman" w:cs="Times New Roman"/>
                <w:color w:val="000000" w:themeColor="text1"/>
                <w:kern w:val="0"/>
                <w:u w:val="none"/>
                <w14:textFill>
                  <w14:solidFill>
                    <w14:schemeClr w14:val="tx1"/>
                  </w14:solidFill>
                </w14:textFill>
              </w:rPr>
              <w:t>关于华能岳阳电厂码头2#泊位提质改造工程环境影响评价执行标准的函</w:t>
            </w:r>
            <w:r>
              <w:rPr>
                <w:rFonts w:hint="eastAsia" w:ascii="Times New Roman" w:hAnsi="Times New Roman" w:cs="Times New Roman"/>
                <w:color w:val="000000" w:themeColor="text1"/>
                <w:kern w:val="0"/>
                <w:u w:val="none"/>
                <w:lang w:eastAsia="zh-CN"/>
                <w14:textFill>
                  <w14:solidFill>
                    <w14:schemeClr w14:val="tx1"/>
                  </w14:solidFill>
                </w14:textFill>
              </w:rPr>
              <w:t>；</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hint="default" w:ascii="Times New Roman" w:hAnsi="Times New Roman" w:cs="Times New Roman" w:eastAsiaTheme="minorEastAsia"/>
                <w:color w:val="000000" w:themeColor="text1"/>
                <w:u w:val="none"/>
                <w:lang w:val="en-US" w:eastAsia="zh-CN"/>
                <w14:textFill>
                  <w14:solidFill>
                    <w14:schemeClr w14:val="tx1"/>
                  </w14:solidFill>
                </w14:textFill>
              </w:rPr>
            </w:pPr>
            <w:r>
              <w:rPr>
                <w:rFonts w:hint="eastAsia" w:ascii="Times New Roman" w:hAnsi="Times New Roman" w:cs="Times New Roman"/>
                <w:color w:val="000000" w:themeColor="text1"/>
                <w:u w:val="none"/>
                <w:lang w:eastAsia="zh-CN"/>
                <w14:textFill>
                  <w14:solidFill>
                    <w14:schemeClr w14:val="tx1"/>
                  </w14:solidFill>
                </w14:textFill>
              </w:rPr>
              <w:t>附件</w:t>
            </w:r>
            <w:r>
              <w:rPr>
                <w:rFonts w:hint="eastAsia" w:ascii="Times New Roman" w:hAnsi="Times New Roman" w:cs="Times New Roman"/>
                <w:color w:val="000000" w:themeColor="text1"/>
                <w:u w:val="none"/>
                <w:lang w:val="en-US" w:eastAsia="zh-CN"/>
                <w14:textFill>
                  <w14:solidFill>
                    <w14:schemeClr w14:val="tx1"/>
                  </w14:solidFill>
                </w14:textFill>
              </w:rPr>
              <w:t>15</w:t>
            </w:r>
          </w:p>
        </w:tc>
        <w:tc>
          <w:tcPr>
            <w:tcW w:w="7965" w:type="dxa"/>
            <w:vAlign w:val="top"/>
          </w:tcPr>
          <w:p>
            <w:pPr>
              <w:pStyle w:val="124"/>
              <w:spacing w:line="240" w:lineRule="auto"/>
              <w:ind w:firstLine="0" w:firstLineChars="0"/>
              <w:rPr>
                <w:rFonts w:hint="eastAsia" w:ascii="Times New Roman" w:hAnsi="Times New Roman" w:cs="Times New Roman" w:eastAsiaTheme="minorEastAsia"/>
                <w:color w:val="000000" w:themeColor="text1"/>
                <w:kern w:val="0"/>
                <w:u w:val="none"/>
                <w:lang w:eastAsia="zh-CN"/>
                <w14:textFill>
                  <w14:solidFill>
                    <w14:schemeClr w14:val="tx1"/>
                  </w14:solidFill>
                </w14:textFill>
              </w:rPr>
            </w:pPr>
            <w:r>
              <w:rPr>
                <w:rFonts w:hint="eastAsia" w:ascii="Times New Roman" w:hAnsi="Times New Roman" w:cs="Times New Roman"/>
                <w:color w:val="000000" w:themeColor="text1"/>
                <w:kern w:val="0"/>
                <w:u w:val="none"/>
                <w14:textFill>
                  <w14:solidFill>
                    <w14:schemeClr w14:val="tx1"/>
                  </w14:solidFill>
                </w14:textFill>
              </w:rPr>
              <w:t>岳</w:t>
            </w:r>
            <w:r>
              <w:rPr>
                <w:rFonts w:hint="eastAsia" w:ascii="Times New Roman" w:hAnsi="Times New Roman" w:cs="Times New Roman"/>
                <w:color w:val="000000" w:themeColor="text1"/>
                <w:kern w:val="0"/>
                <w:u w:val="none"/>
                <w:lang w:eastAsia="zh-CN"/>
                <w14:textFill>
                  <w14:solidFill>
                    <w14:schemeClr w14:val="tx1"/>
                  </w14:solidFill>
                </w14:textFill>
              </w:rPr>
              <w:t>阳</w:t>
            </w:r>
            <w:r>
              <w:rPr>
                <w:rFonts w:hint="eastAsia" w:ascii="Times New Roman" w:hAnsi="Times New Roman" w:cs="Times New Roman"/>
                <w:color w:val="000000" w:themeColor="text1"/>
                <w:kern w:val="0"/>
                <w:u w:val="none"/>
                <w14:textFill>
                  <w14:solidFill>
                    <w14:schemeClr w14:val="tx1"/>
                  </w14:solidFill>
                </w14:textFill>
              </w:rPr>
              <w:t>市</w:t>
            </w:r>
            <w:r>
              <w:rPr>
                <w:rFonts w:hint="eastAsia" w:ascii="Times New Roman" w:hAnsi="Times New Roman" w:cs="Times New Roman"/>
                <w:color w:val="000000" w:themeColor="text1"/>
                <w:kern w:val="0"/>
                <w:u w:val="none"/>
                <w:lang w:eastAsia="zh-CN"/>
                <w14:textFill>
                  <w14:solidFill>
                    <w14:schemeClr w14:val="tx1"/>
                  </w14:solidFill>
                </w14:textFill>
              </w:rPr>
              <w:t>生态环境</w:t>
            </w:r>
            <w:r>
              <w:rPr>
                <w:rFonts w:hint="eastAsia" w:ascii="Times New Roman" w:hAnsi="Times New Roman" w:cs="Times New Roman"/>
                <w:color w:val="000000" w:themeColor="text1"/>
                <w:kern w:val="0"/>
                <w:u w:val="none"/>
                <w14:textFill>
                  <w14:solidFill>
                    <w14:schemeClr w14:val="tx1"/>
                  </w14:solidFill>
                </w14:textFill>
              </w:rPr>
              <w:t>局</w:t>
            </w:r>
            <w:r>
              <w:rPr>
                <w:rFonts w:hint="eastAsia" w:ascii="Times New Roman" w:hAnsi="Times New Roman" w:cs="Times New Roman"/>
                <w:color w:val="000000" w:themeColor="text1"/>
                <w:kern w:val="0"/>
                <w:u w:val="none"/>
                <w:lang w:eastAsia="zh-CN"/>
                <w14:textFill>
                  <w14:solidFill>
                    <w14:schemeClr w14:val="tx1"/>
                  </w14:solidFill>
                </w14:textFill>
              </w:rPr>
              <w:t>城陵矶新港区分局</w:t>
            </w:r>
            <w:r>
              <w:rPr>
                <w:rFonts w:hint="eastAsia" w:ascii="Times New Roman" w:hAnsi="Times New Roman" w:cs="Times New Roman"/>
                <w:color w:val="000000" w:themeColor="text1"/>
                <w:kern w:val="0"/>
                <w:u w:val="none"/>
                <w14:textFill>
                  <w14:solidFill>
                    <w14:schemeClr w14:val="tx1"/>
                  </w14:solidFill>
                </w14:textFill>
              </w:rPr>
              <w:t>关于华能岳阳电厂码头2#泊位提质改造工程环境影响报告书的预审意见</w:t>
            </w:r>
            <w:r>
              <w:rPr>
                <w:rFonts w:hint="eastAsia" w:ascii="Times New Roman" w:hAnsi="Times New Roman" w:cs="Times New Roman"/>
                <w:color w:val="000000" w:themeColor="text1"/>
                <w:kern w:val="0"/>
                <w:u w:val="none"/>
                <w:lang w:eastAsia="zh-CN"/>
                <w14:textFill>
                  <w14:solidFill>
                    <w14:schemeClr w14:val="tx1"/>
                  </w14:solidFill>
                </w14:textFill>
              </w:rPr>
              <w:t>；</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ascii="Times New Roman" w:hAnsi="Times New Roman" w:cs="Times New Roman"/>
              </w:rPr>
            </w:pPr>
          </w:p>
        </w:tc>
        <w:tc>
          <w:tcPr>
            <w:tcW w:w="7965" w:type="dxa"/>
          </w:tcPr>
          <w:p>
            <w:pPr>
              <w:pStyle w:val="124"/>
              <w:spacing w:line="240" w:lineRule="auto"/>
              <w:ind w:firstLine="0" w:firstLineChars="0"/>
              <w:rPr>
                <w:rFonts w:ascii="Times New Roman" w:hAnsi="Times New Roman" w:cs="Times New Roman"/>
                <w:color w:val="FF0000"/>
                <w:highlight w:val="yellow"/>
              </w:rPr>
            </w:pPr>
          </w:p>
        </w:tc>
      </w:tr>
      <w:tr>
        <w:tblPrEx>
          <w:tblCellMar>
            <w:top w:w="0" w:type="dxa"/>
            <w:left w:w="108" w:type="dxa"/>
            <w:bottom w:w="0" w:type="dxa"/>
            <w:right w:w="108" w:type="dxa"/>
          </w:tblCellMar>
        </w:tblPrEx>
        <w:trPr>
          <w:trHeight w:val="340" w:hRule="atLeast"/>
          <w:jc w:val="center"/>
        </w:trPr>
        <w:tc>
          <w:tcPr>
            <w:tcW w:w="9070" w:type="dxa"/>
            <w:gridSpan w:val="2"/>
            <w:vAlign w:val="bottom"/>
          </w:tcPr>
          <w:p>
            <w:pPr>
              <w:adjustRightInd w:val="0"/>
              <w:snapToGrid w:val="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b/>
                <w:color w:val="000000" w:themeColor="text1"/>
                <w:sz w:val="24"/>
                <w14:textFill>
                  <w14:solidFill>
                    <w14:schemeClr w14:val="tx1"/>
                  </w14:solidFill>
                </w14:textFill>
              </w:rPr>
              <w:t>附图：</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附图1</w:t>
            </w:r>
          </w:p>
        </w:tc>
        <w:tc>
          <w:tcPr>
            <w:tcW w:w="7965" w:type="dxa"/>
          </w:tcPr>
          <w:p>
            <w:pPr>
              <w:autoSpaceDE w:val="0"/>
              <w:autoSpaceDN w:val="0"/>
              <w:adjustRightInd w:val="0"/>
              <w:snapToGrid w:val="0"/>
              <w:jc w:val="left"/>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本项目地理位置图；</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ascii="Times New Roman" w:hAnsi="Times New Roman" w:cs="Times New Roman"/>
              </w:rPr>
            </w:pPr>
            <w:r>
              <w:rPr>
                <w:rFonts w:ascii="Times New Roman" w:hAnsi="Times New Roman" w:cs="Times New Roman"/>
              </w:rPr>
              <w:t>附图2</w:t>
            </w:r>
          </w:p>
        </w:tc>
        <w:tc>
          <w:tcPr>
            <w:tcW w:w="7965" w:type="dxa"/>
          </w:tcPr>
          <w:p>
            <w:pPr>
              <w:autoSpaceDE w:val="0"/>
              <w:autoSpaceDN w:val="0"/>
              <w:adjustRightInd w:val="0"/>
              <w:snapToGrid w:val="0"/>
              <w:jc w:val="left"/>
              <w:rPr>
                <w:rFonts w:ascii="Times New Roman" w:hAnsi="Times New Roman" w:eastAsiaTheme="minorEastAsia"/>
                <w:kern w:val="0"/>
                <w:sz w:val="24"/>
                <w:szCs w:val="24"/>
              </w:rPr>
            </w:pPr>
            <w:r>
              <w:rPr>
                <w:rFonts w:ascii="Times New Roman" w:hAnsi="Times New Roman" w:eastAsiaTheme="minorEastAsia"/>
                <w:kern w:val="0"/>
                <w:sz w:val="24"/>
                <w:szCs w:val="24"/>
              </w:rPr>
              <w:t>本项目沿线主要环境保护目标分布及监测点位布置示意图；</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ascii="Times New Roman" w:hAnsi="Times New Roman" w:cs="Times New Roman"/>
              </w:rPr>
            </w:pPr>
            <w:r>
              <w:rPr>
                <w:rFonts w:ascii="Times New Roman" w:hAnsi="Times New Roman" w:cs="Times New Roman"/>
              </w:rPr>
              <w:t>附图3</w:t>
            </w:r>
          </w:p>
        </w:tc>
        <w:tc>
          <w:tcPr>
            <w:tcW w:w="7965" w:type="dxa"/>
          </w:tcPr>
          <w:p>
            <w:pPr>
              <w:autoSpaceDE w:val="0"/>
              <w:autoSpaceDN w:val="0"/>
              <w:adjustRightInd w:val="0"/>
              <w:snapToGrid w:val="0"/>
              <w:jc w:val="left"/>
              <w:rPr>
                <w:rFonts w:ascii="Times New Roman" w:hAnsi="Times New Roman" w:eastAsiaTheme="minorEastAsia"/>
                <w:kern w:val="0"/>
                <w:sz w:val="24"/>
                <w:szCs w:val="24"/>
              </w:rPr>
            </w:pPr>
            <w:r>
              <w:rPr>
                <w:rFonts w:ascii="Times New Roman" w:hAnsi="Times New Roman" w:eastAsiaTheme="minorEastAsia"/>
                <w:kern w:val="0"/>
                <w:sz w:val="24"/>
                <w:szCs w:val="24"/>
              </w:rPr>
              <w:t>本项目码头总平面布置图；</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ascii="Times New Roman" w:hAnsi="Times New Roman" w:cs="Times New Roman"/>
              </w:rPr>
            </w:pPr>
            <w:r>
              <w:rPr>
                <w:rFonts w:ascii="Times New Roman" w:hAnsi="Times New Roman" w:cs="Times New Roman"/>
              </w:rPr>
              <w:t>附图4</w:t>
            </w:r>
          </w:p>
        </w:tc>
        <w:tc>
          <w:tcPr>
            <w:tcW w:w="7965" w:type="dxa"/>
          </w:tcPr>
          <w:p>
            <w:pPr>
              <w:autoSpaceDE w:val="0"/>
              <w:autoSpaceDN w:val="0"/>
              <w:adjustRightInd w:val="0"/>
              <w:snapToGrid w:val="0"/>
              <w:jc w:val="left"/>
              <w:rPr>
                <w:rFonts w:ascii="Times New Roman" w:hAnsi="Times New Roman" w:eastAsiaTheme="minorEastAsia"/>
                <w:kern w:val="0"/>
                <w:sz w:val="24"/>
                <w:szCs w:val="24"/>
              </w:rPr>
            </w:pPr>
            <w:r>
              <w:rPr>
                <w:rFonts w:ascii="Times New Roman" w:hAnsi="Times New Roman" w:eastAsiaTheme="minorEastAsia"/>
                <w:kern w:val="0"/>
                <w:sz w:val="24"/>
                <w:szCs w:val="24"/>
              </w:rPr>
              <w:t>本项目码头结构断面图；</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ascii="Times New Roman" w:hAnsi="Times New Roman" w:cs="Times New Roman"/>
              </w:rPr>
            </w:pPr>
            <w:r>
              <w:rPr>
                <w:rFonts w:ascii="Times New Roman" w:hAnsi="Times New Roman" w:cs="Times New Roman"/>
              </w:rPr>
              <w:t>附图5</w:t>
            </w:r>
          </w:p>
        </w:tc>
        <w:tc>
          <w:tcPr>
            <w:tcW w:w="7965" w:type="dxa"/>
          </w:tcPr>
          <w:p>
            <w:pPr>
              <w:autoSpaceDE w:val="0"/>
              <w:autoSpaceDN w:val="0"/>
              <w:adjustRightInd w:val="0"/>
              <w:snapToGrid w:val="0"/>
              <w:jc w:val="left"/>
              <w:rPr>
                <w:rFonts w:ascii="Times New Roman" w:hAnsi="Times New Roman" w:eastAsiaTheme="minorEastAsia"/>
                <w:kern w:val="0"/>
                <w:sz w:val="24"/>
                <w:szCs w:val="24"/>
              </w:rPr>
            </w:pPr>
            <w:r>
              <w:rPr>
                <w:rFonts w:ascii="Times New Roman" w:hAnsi="Times New Roman" w:eastAsiaTheme="minorEastAsia"/>
                <w:kern w:val="0"/>
                <w:sz w:val="24"/>
                <w:szCs w:val="24"/>
              </w:rPr>
              <w:t>岳阳港城陵矶港区松阳湖作业区规划布置图；</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ascii="Times New Roman" w:hAnsi="Times New Roman" w:cs="Times New Roman"/>
              </w:rPr>
            </w:pPr>
            <w:r>
              <w:rPr>
                <w:rFonts w:ascii="Times New Roman" w:hAnsi="Times New Roman" w:cs="Times New Roman"/>
              </w:rPr>
              <w:t>附图6</w:t>
            </w:r>
          </w:p>
        </w:tc>
        <w:tc>
          <w:tcPr>
            <w:tcW w:w="7965" w:type="dxa"/>
          </w:tcPr>
          <w:p>
            <w:pPr>
              <w:autoSpaceDE w:val="0"/>
              <w:autoSpaceDN w:val="0"/>
              <w:adjustRightInd w:val="0"/>
              <w:snapToGrid w:val="0"/>
              <w:jc w:val="left"/>
              <w:rPr>
                <w:rFonts w:ascii="Times New Roman" w:hAnsi="Times New Roman" w:eastAsiaTheme="minorEastAsia"/>
                <w:kern w:val="0"/>
                <w:sz w:val="24"/>
                <w:szCs w:val="24"/>
              </w:rPr>
            </w:pPr>
            <w:r>
              <w:rPr>
                <w:rFonts w:ascii="Times New Roman" w:hAnsi="Times New Roman" w:eastAsiaTheme="minorEastAsia"/>
                <w:kern w:val="0"/>
                <w:sz w:val="24"/>
                <w:szCs w:val="24"/>
              </w:rPr>
              <w:t>本项目周边土地利用规划图；</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ascii="Times New Roman" w:hAnsi="Times New Roman" w:cs="Times New Roman"/>
              </w:rPr>
            </w:pPr>
            <w:r>
              <w:rPr>
                <w:rFonts w:ascii="Times New Roman" w:hAnsi="Times New Roman" w:cs="Times New Roman"/>
              </w:rPr>
              <w:t>附图7</w:t>
            </w:r>
          </w:p>
        </w:tc>
        <w:tc>
          <w:tcPr>
            <w:tcW w:w="7965" w:type="dxa"/>
          </w:tcPr>
          <w:p>
            <w:pPr>
              <w:autoSpaceDE w:val="0"/>
              <w:autoSpaceDN w:val="0"/>
              <w:adjustRightInd w:val="0"/>
              <w:snapToGrid w:val="0"/>
              <w:jc w:val="left"/>
              <w:rPr>
                <w:rFonts w:ascii="Times New Roman" w:hAnsi="Times New Roman" w:eastAsiaTheme="minorEastAsia"/>
                <w:kern w:val="0"/>
                <w:sz w:val="24"/>
                <w:szCs w:val="24"/>
              </w:rPr>
            </w:pPr>
            <w:r>
              <w:rPr>
                <w:rFonts w:ascii="Times New Roman" w:hAnsi="Times New Roman" w:eastAsiaTheme="minorEastAsia"/>
                <w:kern w:val="0"/>
                <w:sz w:val="24"/>
                <w:szCs w:val="24"/>
              </w:rPr>
              <w:t>本项目周边地表水系分布图</w:t>
            </w:r>
            <w:r>
              <w:rPr>
                <w:rFonts w:ascii="Times New Roman" w:hAnsi="Times New Roman" w:eastAsiaTheme="minorEastAsia"/>
                <w:sz w:val="24"/>
              </w:rPr>
              <w:t>；</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附图8</w:t>
            </w:r>
          </w:p>
        </w:tc>
        <w:tc>
          <w:tcPr>
            <w:tcW w:w="7965" w:type="dxa"/>
          </w:tcPr>
          <w:p>
            <w:pPr>
              <w:autoSpaceDE w:val="0"/>
              <w:autoSpaceDN w:val="0"/>
              <w:adjustRightInd w:val="0"/>
              <w:snapToGrid w:val="0"/>
              <w:jc w:val="left"/>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本项目与生态保护红线的位置关系图；</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附图9</w:t>
            </w:r>
          </w:p>
        </w:tc>
        <w:tc>
          <w:tcPr>
            <w:tcW w:w="7965" w:type="dxa"/>
            <w:vAlign w:val="center"/>
          </w:tcPr>
          <w:p>
            <w:pPr>
              <w:autoSpaceDE w:val="0"/>
              <w:autoSpaceDN w:val="0"/>
              <w:adjustRightInd w:val="0"/>
              <w:snapToGrid w:val="0"/>
              <w:jc w:val="left"/>
              <w:rPr>
                <w:rFonts w:ascii="Times New Roman" w:hAnsi="Times New Roman" w:eastAsiaTheme="minorEastAsia"/>
                <w:kern w:val="0"/>
                <w:sz w:val="24"/>
                <w:szCs w:val="24"/>
              </w:rPr>
            </w:pPr>
            <w:r>
              <w:rPr>
                <w:rFonts w:ascii="Times New Roman" w:hAnsi="Times New Roman" w:eastAsiaTheme="minorEastAsia"/>
                <w:kern w:val="0"/>
                <w:sz w:val="24"/>
                <w:szCs w:val="24"/>
              </w:rPr>
              <w:t>本项目与洞庭湖口铜鱼短颌鲚国家级水产种质资源保护区的位置关系图；</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附图10</w:t>
            </w:r>
          </w:p>
        </w:tc>
        <w:tc>
          <w:tcPr>
            <w:tcW w:w="7965" w:type="dxa"/>
            <w:vAlign w:val="center"/>
          </w:tcPr>
          <w:p>
            <w:pPr>
              <w:autoSpaceDE w:val="0"/>
              <w:autoSpaceDN w:val="0"/>
              <w:adjustRightInd w:val="0"/>
              <w:snapToGrid w:val="0"/>
              <w:jc w:val="left"/>
              <w:rPr>
                <w:rFonts w:ascii="Times New Roman" w:hAnsi="Times New Roman" w:eastAsiaTheme="minorEastAsia"/>
                <w:kern w:val="0"/>
                <w:sz w:val="24"/>
                <w:szCs w:val="24"/>
              </w:rPr>
            </w:pPr>
            <w:r>
              <w:rPr>
                <w:rFonts w:ascii="Times New Roman" w:hAnsi="Times New Roman" w:eastAsiaTheme="minorEastAsia"/>
                <w:kern w:val="0"/>
                <w:sz w:val="24"/>
                <w:szCs w:val="24"/>
              </w:rPr>
              <w:t>本项目与湖南东洞庭湖国家级自然保护区的位置关系图；</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附图11</w:t>
            </w:r>
          </w:p>
        </w:tc>
        <w:tc>
          <w:tcPr>
            <w:tcW w:w="7965" w:type="dxa"/>
            <w:vAlign w:val="center"/>
          </w:tcPr>
          <w:p>
            <w:pPr>
              <w:autoSpaceDE w:val="0"/>
              <w:autoSpaceDN w:val="0"/>
              <w:adjustRightInd w:val="0"/>
              <w:snapToGrid w:val="0"/>
              <w:jc w:val="left"/>
              <w:rPr>
                <w:rFonts w:ascii="Times New Roman" w:hAnsi="Times New Roman" w:eastAsiaTheme="minorEastAsia"/>
                <w:kern w:val="0"/>
                <w:sz w:val="24"/>
                <w:szCs w:val="24"/>
              </w:rPr>
            </w:pPr>
            <w:r>
              <w:rPr>
                <w:rFonts w:ascii="Times New Roman" w:hAnsi="Times New Roman" w:eastAsiaTheme="minorEastAsia"/>
                <w:kern w:val="0"/>
                <w:sz w:val="24"/>
                <w:szCs w:val="24"/>
              </w:rPr>
              <w:t>本项目与岳阳楼-洞庭湖风景名胜区的位置关系图；</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附图12</w:t>
            </w:r>
          </w:p>
        </w:tc>
        <w:tc>
          <w:tcPr>
            <w:tcW w:w="7965" w:type="dxa"/>
            <w:vAlign w:val="center"/>
          </w:tcPr>
          <w:p>
            <w:pPr>
              <w:autoSpaceDE w:val="0"/>
              <w:autoSpaceDN w:val="0"/>
              <w:adjustRightInd w:val="0"/>
              <w:snapToGrid w:val="0"/>
              <w:jc w:val="left"/>
              <w:rPr>
                <w:rFonts w:ascii="Times New Roman" w:hAnsi="Times New Roman" w:eastAsiaTheme="minorEastAsia"/>
                <w:kern w:val="0"/>
                <w:sz w:val="24"/>
                <w:szCs w:val="24"/>
              </w:rPr>
            </w:pPr>
            <w:r>
              <w:rPr>
                <w:rFonts w:ascii="Times New Roman" w:hAnsi="Times New Roman" w:eastAsiaTheme="minorEastAsia"/>
                <w:kern w:val="0"/>
                <w:sz w:val="24"/>
                <w:szCs w:val="24"/>
              </w:rPr>
              <w:t>本项目与长江监利四大家鱼国家级水产种质资源保护区的位置关系图；</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附图13</w:t>
            </w:r>
          </w:p>
        </w:tc>
        <w:tc>
          <w:tcPr>
            <w:tcW w:w="7965" w:type="dxa"/>
            <w:vAlign w:val="center"/>
          </w:tcPr>
          <w:p>
            <w:pPr>
              <w:autoSpaceDE w:val="0"/>
              <w:autoSpaceDN w:val="0"/>
              <w:adjustRightInd w:val="0"/>
              <w:snapToGrid w:val="0"/>
              <w:jc w:val="left"/>
              <w:rPr>
                <w:rFonts w:ascii="Times New Roman" w:hAnsi="Times New Roman" w:eastAsiaTheme="minorEastAsia"/>
                <w:kern w:val="0"/>
                <w:sz w:val="24"/>
                <w:szCs w:val="24"/>
              </w:rPr>
            </w:pPr>
            <w:r>
              <w:rPr>
                <w:rFonts w:ascii="Times New Roman" w:hAnsi="Times New Roman" w:eastAsiaTheme="minorEastAsia"/>
                <w:kern w:val="0"/>
                <w:sz w:val="24"/>
                <w:szCs w:val="24"/>
              </w:rPr>
              <w:t>本项目与湖北长江新螺段白鱀豚国家级自然保护区的位置关系图；</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附图14</w:t>
            </w:r>
          </w:p>
        </w:tc>
        <w:tc>
          <w:tcPr>
            <w:tcW w:w="7965" w:type="dxa"/>
            <w:vAlign w:val="center"/>
          </w:tcPr>
          <w:p>
            <w:pPr>
              <w:autoSpaceDE w:val="0"/>
              <w:autoSpaceDN w:val="0"/>
              <w:adjustRightInd w:val="0"/>
              <w:snapToGrid w:val="0"/>
              <w:jc w:val="left"/>
              <w:rPr>
                <w:rFonts w:ascii="Times New Roman" w:hAnsi="Times New Roman" w:eastAsiaTheme="minorEastAsia"/>
                <w:kern w:val="0"/>
                <w:sz w:val="24"/>
                <w:szCs w:val="24"/>
              </w:rPr>
            </w:pPr>
            <w:r>
              <w:rPr>
                <w:rFonts w:ascii="Times New Roman" w:hAnsi="Times New Roman" w:eastAsiaTheme="minorEastAsia"/>
                <w:kern w:val="0"/>
                <w:sz w:val="24"/>
                <w:szCs w:val="24"/>
              </w:rPr>
              <w:t>本项目与湖南云溪白泥湖国家湿地公园的位置关系图；</w:t>
            </w:r>
          </w:p>
        </w:tc>
      </w:tr>
      <w:tr>
        <w:tblPrEx>
          <w:tblCellMar>
            <w:top w:w="0" w:type="dxa"/>
            <w:left w:w="108" w:type="dxa"/>
            <w:bottom w:w="0" w:type="dxa"/>
            <w:right w:w="108" w:type="dxa"/>
          </w:tblCellMar>
        </w:tblPrEx>
        <w:trPr>
          <w:trHeight w:val="340" w:hRule="atLeast"/>
          <w:jc w:val="center"/>
        </w:trPr>
        <w:tc>
          <w:tcPr>
            <w:tcW w:w="1105" w:type="dxa"/>
          </w:tcPr>
          <w:p>
            <w:pPr>
              <w:pStyle w:val="124"/>
              <w:spacing w:line="240" w:lineRule="auto"/>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附图15</w:t>
            </w:r>
          </w:p>
        </w:tc>
        <w:tc>
          <w:tcPr>
            <w:tcW w:w="7965" w:type="dxa"/>
          </w:tcPr>
          <w:p>
            <w:pPr>
              <w:autoSpaceDE w:val="0"/>
              <w:autoSpaceDN w:val="0"/>
              <w:adjustRightInd w:val="0"/>
              <w:snapToGrid w:val="0"/>
              <w:jc w:val="left"/>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kern w:val="0"/>
                <w:sz w:val="24"/>
                <w:szCs w:val="24"/>
              </w:rPr>
              <w:t>本项目与饮用水源保护区及取水口的位置关系图；</w:t>
            </w:r>
          </w:p>
        </w:tc>
      </w:tr>
    </w:tbl>
    <w:p>
      <w:pPr>
        <w:pStyle w:val="6"/>
        <w:ind w:firstLine="0" w:firstLineChars="0"/>
        <w:rPr>
          <w:rFonts w:cs="Times New Roman" w:eastAsiaTheme="minorEastAsia"/>
        </w:rPr>
      </w:pPr>
    </w:p>
    <w:p>
      <w:pPr>
        <w:pStyle w:val="6"/>
        <w:ind w:firstLine="480"/>
        <w:rPr>
          <w:rFonts w:cs="Times New Roman" w:eastAsiaTheme="minorEastAsia"/>
        </w:rPr>
        <w:sectPr>
          <w:headerReference r:id="rId6" w:type="default"/>
          <w:footerReference r:id="rId8" w:type="default"/>
          <w:headerReference r:id="rId7" w:type="even"/>
          <w:pgSz w:w="11906" w:h="16838"/>
          <w:pgMar w:top="1418" w:right="1418" w:bottom="1418" w:left="1418"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pStyle w:val="2"/>
        <w:spacing w:line="480" w:lineRule="auto"/>
        <w:ind w:left="431" w:hanging="431"/>
        <w:jc w:val="center"/>
        <w:rPr>
          <w:rFonts w:eastAsiaTheme="minorEastAsia"/>
          <w:b/>
          <w:sz w:val="32"/>
          <w:szCs w:val="32"/>
        </w:rPr>
      </w:pPr>
      <w:bookmarkStart w:id="0" w:name="_Toc14630"/>
      <w:r>
        <w:rPr>
          <w:rFonts w:eastAsiaTheme="minorEastAsia"/>
          <w:b/>
          <w:sz w:val="32"/>
          <w:szCs w:val="32"/>
        </w:rPr>
        <w:t>概  述</w:t>
      </w:r>
      <w:bookmarkEnd w:id="0"/>
    </w:p>
    <w:p>
      <w:pPr>
        <w:pStyle w:val="3"/>
        <w:rPr>
          <w:rFonts w:ascii="Times New Roman" w:hAnsi="Times New Roman" w:eastAsiaTheme="minorEastAsia"/>
          <w:b/>
        </w:rPr>
      </w:pPr>
      <w:bookmarkStart w:id="1" w:name="_Toc30047"/>
      <w:r>
        <w:rPr>
          <w:rFonts w:ascii="Times New Roman" w:hAnsi="Times New Roman" w:eastAsiaTheme="minorEastAsia"/>
          <w:b/>
        </w:rPr>
        <w:t>项目由来</w:t>
      </w:r>
      <w:bookmarkEnd w:id="1"/>
    </w:p>
    <w:p>
      <w:pPr>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华能湖南岳阳发电有限责任公司（以下简称“华能岳阳电厂”或“电厂”）由华能国际电力股份有限公司和湖南湘投国际投资有限公司共同投资建设，是中国华能集团公司在湖南省的唯一火力发电企业。公司位于岳阳市城陵矶，占地约409公顷，距市中心14公里，北靠长江，南依京广铁路。</w:t>
      </w:r>
    </w:p>
    <w:p>
      <w:pPr>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华能岳阳电厂是湖南省目前装机容量最大的火力发电厂，电厂一共由三期工程组成，一期工程为全套从英国GEC公司引进的2×362.5兆瓦亚临界机组，分别于1991年9月和12月投产发电；二期工程2×300兆瓦国产亚临界机组，并同期建设烟气脱硫装置，该工程于2004年4月正式开工建设，分别于2006年3月9日和5月30日投产发电；三期工程2×600兆瓦国产超临界水冷燃煤机组，于2011年完成安装，正式投产。华能岳阳电厂一期、二期和三期工程均已完成了环保工程竣工验收手续，一期工程设计来煤方式为水路来煤，二、三期工程设计来煤方式均为铁路来煤。近年来，随着电厂煤炭供应市场的变化，铁路来煤数量逐年减小，水路来煤数量不断增高。水路年平均卸煤量超过350万吨，占全厂总进煤量70%以上，现有码头年卸煤量超过300万吨，高峰年份超过350万吨，水路日平均卸煤量约14000吨左右，电厂高负荷运行时，日最高耗煤量为24127吨。因此，目前水路来煤是岳阳电厂的主要通道。</w:t>
      </w:r>
    </w:p>
    <w:p>
      <w:pPr>
        <w:adjustRightInd w:val="0"/>
        <w:snapToGrid w:val="0"/>
        <w:spacing w:line="360" w:lineRule="auto"/>
        <w:ind w:firstLine="480" w:firstLineChars="200"/>
        <w:rPr>
          <w:rFonts w:ascii="Times New Roman" w:hAnsi="Times New Roman" w:eastAsiaTheme="minorEastAsia"/>
          <w:color w:val="FF0000"/>
          <w:kern w:val="0"/>
          <w:sz w:val="24"/>
          <w:szCs w:val="24"/>
          <w:u w:val="single"/>
        </w:rPr>
      </w:pPr>
      <w:r>
        <w:rPr>
          <w:rFonts w:ascii="Times New Roman" w:hAnsi="Times New Roman" w:eastAsiaTheme="minorEastAsia"/>
          <w:color w:val="FF0000"/>
          <w:kern w:val="0"/>
          <w:sz w:val="24"/>
          <w:szCs w:val="24"/>
          <w:u w:val="single"/>
        </w:rPr>
        <w:t>岳阳电厂煤炭进口码头是一期工程的配套工程，码头采用钢管桩固定的浮式结构，目前有两个卸船泊位：1#泊位于2015年完成升级改造，改造后可靠泊10000吨级散货船作业，采用两台16t-35m浮式抓斗卸船机进行煤炭卸船作业，改造后1#泊位设计通过能力为259.9万吨/年。2#泊位布置了一套悬链斗卸船机及趸船，于1993年投产，由于近年来长江船舶大型化发展迅速，甲板驳基本退出长江主航道，2#泊位已不能适应现有船型的靠泊作业，目前仅仅作为枯水季节卸小船或需联合作业时才投入运行。</w:t>
      </w:r>
    </w:p>
    <w:p>
      <w:pPr>
        <w:widowControl/>
        <w:adjustRightInd w:val="0"/>
        <w:snapToGrid w:val="0"/>
        <w:spacing w:line="360" w:lineRule="auto"/>
        <w:ind w:firstLine="480" w:firstLineChars="200"/>
        <w:rPr>
          <w:rFonts w:ascii="Times New Roman" w:hAnsi="Times New Roman" w:eastAsiaTheme="minorEastAsia"/>
          <w:color w:val="FF0000"/>
          <w:kern w:val="0"/>
          <w:sz w:val="24"/>
          <w:szCs w:val="24"/>
          <w:u w:val="single"/>
        </w:rPr>
      </w:pPr>
      <w:r>
        <w:rPr>
          <w:rFonts w:ascii="Times New Roman" w:hAnsi="Times New Roman" w:eastAsiaTheme="minorEastAsia"/>
          <w:color w:val="FF0000"/>
          <w:kern w:val="0"/>
          <w:sz w:val="24"/>
          <w:szCs w:val="24"/>
          <w:u w:val="single"/>
        </w:rPr>
        <w:t>2018年4月24日~25日，习近平总书记先后到宜昌、荆州、岳阳、武汉以及三峡坝区等地，考察了企业转型发展、化工企业搬迁、非法码头整治、污染治理、河势控制和护岸工程、航道治理、湿地修复、水文站水文监测工作等方面的情况。</w:t>
      </w:r>
    </w:p>
    <w:p>
      <w:pPr>
        <w:widowControl/>
        <w:adjustRightInd w:val="0"/>
        <w:snapToGrid w:val="0"/>
        <w:spacing w:line="360" w:lineRule="auto"/>
        <w:ind w:firstLine="480" w:firstLineChars="200"/>
        <w:rPr>
          <w:rFonts w:ascii="Times New Roman" w:hAnsi="Times New Roman" w:eastAsiaTheme="minorEastAsia"/>
          <w:color w:val="FF0000"/>
          <w:kern w:val="0"/>
          <w:sz w:val="24"/>
          <w:szCs w:val="24"/>
          <w:u w:val="single"/>
        </w:rPr>
      </w:pPr>
      <w:r>
        <w:rPr>
          <w:rFonts w:ascii="Times New Roman" w:hAnsi="Times New Roman" w:eastAsiaTheme="minorEastAsia"/>
          <w:color w:val="FF0000"/>
          <w:kern w:val="0"/>
          <w:sz w:val="24"/>
          <w:szCs w:val="24"/>
          <w:u w:val="single"/>
        </w:rPr>
        <w:t>2018年4月26日，习近平总书记在武汉主持召开深入推动长江经济带发展座谈会并发表重要讲话。习总书记强调，推动长江经济带发展是党中央作出的重大决策，是关系国家发展全局的重大战略，对实现“两个一百年”奋斗目标、实现中华民族伟大复兴的中国梦具有重要意义。新形势下推动长江经济带发展，关键是要正确把握整体推进和重点突破、生态环境保护和经济发展、总体谋划和久久为功、破除旧动能和培育新动能、自我发展和协同发展的关系，坚持新发展理念，坚持稳中求进工作总基调，坚持共抓大保护、不搞大开发，加强改革创新、战略统筹、规划引导，以长江经济带发展推动经济高质量发展。</w:t>
      </w:r>
    </w:p>
    <w:p>
      <w:pPr>
        <w:widowControl/>
        <w:adjustRightInd w:val="0"/>
        <w:snapToGrid w:val="0"/>
        <w:spacing w:line="360" w:lineRule="auto"/>
        <w:ind w:firstLine="480" w:firstLineChars="200"/>
        <w:rPr>
          <w:rFonts w:hint="eastAsia" w:ascii="Times New Roman" w:hAnsi="Times New Roman" w:eastAsiaTheme="minorEastAsia"/>
          <w:kern w:val="0"/>
          <w:sz w:val="24"/>
          <w:szCs w:val="24"/>
        </w:rPr>
      </w:pPr>
      <w:r>
        <w:rPr>
          <w:rFonts w:ascii="Times New Roman" w:hAnsi="Times New Roman" w:eastAsiaTheme="minorEastAsia"/>
          <w:color w:val="FF0000"/>
          <w:kern w:val="0"/>
          <w:sz w:val="24"/>
          <w:szCs w:val="24"/>
          <w:u w:val="single"/>
        </w:rPr>
        <w:t>为贯彻落实习近平总书记在深入推动长江经济带发展座谈会和岳阳视察时的重要讲话精神，2018年5月至今，湖南省多次专题研究推进长江岸线湖南段港口码头专项整治工作（详见附件4~7）。根据专项整治工作的会议要求，</w:t>
      </w:r>
      <w:r>
        <w:rPr>
          <w:rFonts w:hint="eastAsia" w:ascii="Times New Roman" w:hAnsi="Times New Roman" w:eastAsiaTheme="minorEastAsia"/>
          <w:color w:val="FF0000"/>
          <w:kern w:val="0"/>
          <w:sz w:val="24"/>
          <w:szCs w:val="24"/>
          <w:u w:val="single"/>
          <w:lang w:eastAsia="zh-CN"/>
        </w:rPr>
        <w:t>为做好长江大保护，减轻码头对环境的不利影响，</w:t>
      </w:r>
      <w:r>
        <w:rPr>
          <w:rFonts w:ascii="Times New Roman" w:hAnsi="Times New Roman" w:eastAsiaTheme="minorEastAsia"/>
          <w:color w:val="FF0000"/>
          <w:kern w:val="0"/>
          <w:sz w:val="24"/>
          <w:szCs w:val="24"/>
          <w:u w:val="single"/>
        </w:rPr>
        <w:t>对正在运行的13家单位40个泊位需要提质改造，本次拟改造的2#泊位也在该提质改造名单中。“华能岳阳电厂码头及岸线综合利用工程”为本项目的内部立项名称，</w:t>
      </w:r>
      <w:r>
        <w:rPr>
          <w:rFonts w:hint="eastAsia" w:ascii="Times New Roman" w:hAnsi="Times New Roman" w:eastAsiaTheme="minorEastAsia"/>
          <w:color w:val="FF0000"/>
          <w:kern w:val="0"/>
          <w:sz w:val="24"/>
          <w:szCs w:val="24"/>
          <w:u w:val="single"/>
          <w:lang w:eastAsia="zh-CN"/>
        </w:rPr>
        <w:t>后</w:t>
      </w:r>
      <w:r>
        <w:rPr>
          <w:rFonts w:ascii="Times New Roman" w:hAnsi="Times New Roman" w:eastAsiaTheme="minorEastAsia"/>
          <w:color w:val="FF0000"/>
          <w:kern w:val="0"/>
          <w:sz w:val="24"/>
          <w:szCs w:val="24"/>
          <w:u w:val="single"/>
        </w:rPr>
        <w:t>经与建设单位确定，本项目名称为“华能岳阳电厂码头2#泊位提质改造工程”。</w:t>
      </w:r>
    </w:p>
    <w:p>
      <w:pPr>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鉴于上述背景，根据《中华人民共和国环境保护法》、《中华人民共和国环境影响评价法》《建设项目环境保护管理条例》等法律、法规的规定，对照《建设项目环境影响评价分类管理名录》（国家环境保护部第44号令），本项目属于</w:t>
      </w:r>
      <w:r>
        <w:rPr>
          <w:rFonts w:hint="eastAsia" w:ascii="Times New Roman" w:hAnsi="Times New Roman" w:eastAsiaTheme="minorEastAsia"/>
          <w:kern w:val="0"/>
          <w:sz w:val="24"/>
          <w:szCs w:val="24"/>
        </w:rPr>
        <w:t>改</w:t>
      </w:r>
      <w:r>
        <w:rPr>
          <w:rFonts w:ascii="Times New Roman" w:hAnsi="Times New Roman" w:eastAsiaTheme="minorEastAsia"/>
          <w:kern w:val="0"/>
          <w:sz w:val="24"/>
          <w:szCs w:val="24"/>
        </w:rPr>
        <w:t>建干散货码头，应编制环境影响报告书。为履行环保</w:t>
      </w:r>
      <w:r>
        <w:rPr>
          <w:rFonts w:ascii="Times New Roman" w:hAnsi="Times New Roman" w:eastAsiaTheme="minorEastAsia"/>
          <w:kern w:val="0"/>
          <w:sz w:val="24"/>
          <w:szCs w:val="24"/>
          <w:highlight w:val="none"/>
        </w:rPr>
        <w:t>审批手续，</w:t>
      </w:r>
      <w:r>
        <w:rPr>
          <w:rFonts w:hint="eastAsia" w:ascii="Times New Roman" w:hAnsi="Times New Roman" w:eastAsiaTheme="minorEastAsia"/>
          <w:kern w:val="0"/>
          <w:sz w:val="24"/>
          <w:szCs w:val="24"/>
          <w:highlight w:val="none"/>
          <w:lang w:eastAsia="zh-CN"/>
        </w:rPr>
        <w:t>建设单位委托湖南葆华环保有限公司</w:t>
      </w:r>
      <w:r>
        <w:rPr>
          <w:rFonts w:ascii="Times New Roman" w:hAnsi="Times New Roman" w:eastAsiaTheme="minorEastAsia"/>
          <w:kern w:val="0"/>
          <w:sz w:val="24"/>
          <w:szCs w:val="24"/>
          <w:highlight w:val="none"/>
        </w:rPr>
        <w:t>对本项目进行环境影响评价。在接受委</w:t>
      </w:r>
      <w:r>
        <w:rPr>
          <w:rFonts w:ascii="Times New Roman" w:hAnsi="Times New Roman" w:eastAsiaTheme="minorEastAsia"/>
          <w:kern w:val="0"/>
          <w:sz w:val="24"/>
          <w:szCs w:val="24"/>
        </w:rPr>
        <w:t>托之后，我司立即成立项目组，组织人员对项目现场进行了细致的踏勘，收集了相关基础资料，按照相关要求，编制了该项目环境影响报告书，</w:t>
      </w:r>
      <w:r>
        <w:rPr>
          <w:rFonts w:hint="eastAsia" w:ascii="Times New Roman" w:hAnsi="Times New Roman" w:eastAsiaTheme="minorEastAsia"/>
          <w:kern w:val="0"/>
          <w:sz w:val="24"/>
          <w:szCs w:val="24"/>
          <w:lang w:eastAsia="zh-CN"/>
        </w:rPr>
        <w:t>并于</w:t>
      </w:r>
      <w:r>
        <w:rPr>
          <w:rFonts w:hint="eastAsia" w:ascii="Times New Roman" w:hAnsi="Times New Roman" w:eastAsiaTheme="minorEastAsia"/>
          <w:kern w:val="0"/>
          <w:sz w:val="24"/>
          <w:szCs w:val="24"/>
          <w:lang w:val="en-US" w:eastAsia="zh-CN"/>
        </w:rPr>
        <w:t>2020年6月5日通过了岳阳市生态环境局组织的专家审查会</w:t>
      </w:r>
      <w:r>
        <w:rPr>
          <w:rFonts w:ascii="Times New Roman" w:hAnsi="Times New Roman" w:eastAsiaTheme="minorEastAsia"/>
          <w:kern w:val="0"/>
          <w:sz w:val="24"/>
          <w:szCs w:val="24"/>
        </w:rPr>
        <w:t>。</w:t>
      </w:r>
    </w:p>
    <w:p>
      <w:pPr>
        <w:pStyle w:val="3"/>
        <w:rPr>
          <w:rFonts w:ascii="Times New Roman" w:hAnsi="Times New Roman" w:eastAsiaTheme="minorEastAsia"/>
          <w:b/>
        </w:rPr>
      </w:pPr>
      <w:bookmarkStart w:id="2" w:name="_Toc23941"/>
      <w:r>
        <w:rPr>
          <w:rFonts w:ascii="Times New Roman" w:hAnsi="Times New Roman" w:eastAsiaTheme="minorEastAsia"/>
          <w:b/>
        </w:rPr>
        <w:t>项目特点</w:t>
      </w:r>
      <w:bookmarkEnd w:id="2"/>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ascii="Times New Roman" w:hAnsi="Times New Roman" w:eastAsiaTheme="minorEastAsia"/>
          <w:kern w:val="0"/>
          <w:sz w:val="24"/>
          <w:szCs w:val="24"/>
        </w:rPr>
        <w:t>本项目位于岳阳港城陵矶港区松阳湖作业区岸线，</w:t>
      </w:r>
      <w:r>
        <w:rPr>
          <w:rFonts w:ascii="Times New Roman" w:hAnsi="Times New Roman" w:eastAsiaTheme="minorEastAsia"/>
          <w:sz w:val="24"/>
          <w:szCs w:val="24"/>
        </w:rPr>
        <w:t>本项目拟拆除电厂2#泊位并于原址建设3000吨级（码头结构按靠泊10000吨级内河散货货船设计）煤炭进口泊位，占用</w:t>
      </w:r>
      <w:r>
        <w:rPr>
          <w:rFonts w:ascii="Times New Roman" w:hAnsi="Times New Roman"/>
          <w:sz w:val="24"/>
        </w:rPr>
        <w:t>岸线长度173m。</w:t>
      </w:r>
      <w:r>
        <w:rPr>
          <w:rFonts w:ascii="Times New Roman" w:hAnsi="Times New Roman" w:eastAsiaTheme="minorEastAsia"/>
          <w:color w:val="000000"/>
          <w:kern w:val="0"/>
          <w:sz w:val="24"/>
          <w:szCs w:val="24"/>
          <w:lang w:bidi="ar"/>
        </w:rPr>
        <w:t>新增总长约12</w:t>
      </w:r>
      <w:r>
        <w:rPr>
          <w:rFonts w:ascii="Times New Roman" w:hAnsi="Times New Roman" w:eastAsiaTheme="minorEastAsia"/>
          <w:color w:val="000000" w:themeColor="text1"/>
          <w:kern w:val="0"/>
          <w:sz w:val="24"/>
          <w:szCs w:val="24"/>
          <w:lang w:bidi="ar"/>
          <w14:textFill>
            <w14:solidFill>
              <w14:schemeClr w14:val="tx1"/>
            </w14:solidFill>
          </w14:textFill>
        </w:rPr>
        <w:t>00m</w:t>
      </w:r>
      <w:r>
        <w:rPr>
          <w:rFonts w:ascii="Times New Roman" w:hAnsi="Times New Roman" w:eastAsiaTheme="minorEastAsia"/>
          <w:color w:val="000000"/>
          <w:kern w:val="0"/>
          <w:sz w:val="24"/>
          <w:szCs w:val="24"/>
          <w:lang w:bidi="ar"/>
        </w:rPr>
        <w:t>输煤皮带线，同步建设相应的生产及辅助生产建筑物，配备相应的装卸、输送设备和配套设施等。</w:t>
      </w:r>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ascii="Times New Roman" w:hAnsi="Times New Roman" w:eastAsiaTheme="minorEastAsia"/>
          <w:kern w:val="0"/>
          <w:sz w:val="24"/>
          <w:szCs w:val="24"/>
        </w:rPr>
        <w:t>本项目施工期约12个月，</w:t>
      </w:r>
      <w:r>
        <w:rPr>
          <w:rFonts w:ascii="Times New Roman" w:hAnsi="Times New Roman" w:eastAsiaTheme="minorEastAsia"/>
          <w:color w:val="000000"/>
          <w:kern w:val="0"/>
          <w:sz w:val="24"/>
          <w:szCs w:val="24"/>
          <w:lang w:bidi="ar"/>
        </w:rPr>
        <w:t>本项目总投资</w:t>
      </w:r>
      <w:r>
        <w:rPr>
          <w:rFonts w:ascii="Times New Roman" w:hAnsi="Times New Roman" w:eastAsiaTheme="minorEastAsia"/>
          <w:sz w:val="24"/>
          <w:szCs w:val="24"/>
        </w:rPr>
        <w:t>14059.61</w:t>
      </w:r>
      <w:r>
        <w:rPr>
          <w:rFonts w:ascii="Times New Roman" w:hAnsi="Times New Roman" w:eastAsiaTheme="minorEastAsia"/>
          <w:color w:val="000000"/>
          <w:kern w:val="0"/>
          <w:sz w:val="24"/>
          <w:szCs w:val="24"/>
          <w:lang w:bidi="ar"/>
        </w:rPr>
        <w:t>万元。</w:t>
      </w:r>
    </w:p>
    <w:p>
      <w:pPr>
        <w:pStyle w:val="3"/>
        <w:rPr>
          <w:rFonts w:ascii="Times New Roman" w:hAnsi="Times New Roman" w:eastAsiaTheme="minorEastAsia"/>
          <w:b/>
        </w:rPr>
      </w:pPr>
      <w:bookmarkStart w:id="3" w:name="_Toc29842"/>
      <w:r>
        <w:rPr>
          <w:rFonts w:ascii="Times New Roman" w:hAnsi="Times New Roman" w:eastAsiaTheme="minorEastAsia"/>
          <w:b/>
        </w:rPr>
        <w:t>环境影响评价工作过程</w:t>
      </w:r>
      <w:bookmarkEnd w:id="3"/>
    </w:p>
    <w:p>
      <w:pPr>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根据《中华人民共和国环境评价法》第十六条、第二十五条和国务院第682号令《建设项目环境保护管理办法》的有关规定，为切实做好建设项目的环境保护工作，使经济建设与环境保护协调发展，确保项目工程顺利进行，本项目必须进行环评申报审批程序。对照中华人民共和国环境保护部第44号令《建设项目环境影响评价分类管理名录》及生态环境部第1号令《关于修改&lt;建设项目环境影响评价分类管理名录&gt;部分内容的决定》（2018年4月28日），“四十九、交通运输业、管道运输业和仓储业”类别的第164干散货（含煤炭、矿石）码头</w:t>
      </w:r>
      <w:r>
        <w:rPr>
          <w:rFonts w:hint="eastAsia" w:ascii="Times New Roman" w:hAnsi="Times New Roman" w:eastAsiaTheme="minorEastAsia"/>
          <w:kern w:val="0"/>
          <w:sz w:val="24"/>
          <w:szCs w:val="24"/>
        </w:rPr>
        <w:t>，</w:t>
      </w:r>
      <w:r>
        <w:rPr>
          <w:rFonts w:ascii="Times New Roman" w:hAnsi="Times New Roman" w:eastAsiaTheme="minorEastAsia"/>
          <w:kern w:val="0"/>
          <w:sz w:val="24"/>
          <w:szCs w:val="24"/>
        </w:rPr>
        <w:t>应编制环境影响报告书。华能湖南岳阳发电有限责任公司于2019年10月委托湖南葆华环保有限公司承担华能岳阳电厂码头2#泊位提质改造工程的环境影响评价工作，并编制环境影响报告书。</w:t>
      </w:r>
    </w:p>
    <w:p>
      <w:pPr>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2019年10月底评价单位接受环评委托后，评价技术人员收集项目设计方案及相关规划等基础资料，对现场初步调查，对项目工程进行初步分析，对环境影响因素进行识别与筛选，确定项目评价重点和环境保护目标、评价工作等级、评价范围和评价标准等。并于2019年11月6日~11月19日发布了项目环评第一次公示，2020年5月18日~6月1日发布了项目环评第二次公示。</w:t>
      </w:r>
    </w:p>
    <w:p>
      <w:pPr>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2019年10月~2020年4月开展对评价范围内环境质量现状调查工作，同时对项目工程进行详细分析，确定项目主要污染因素及生态影响因素。在环境现状调查和工程分析的基础上，对各环境要素环境影响进行预测与评价。在各环境要素及影响分析的基础上，提出环境保护措施，并对项目产业政策、选址规划、环境经济损益等符合性进行分析，提出环境管理及环境监测要求。</w:t>
      </w:r>
    </w:p>
    <w:p>
      <w:pPr>
        <w:pStyle w:val="3"/>
        <w:rPr>
          <w:rFonts w:ascii="Times New Roman" w:hAnsi="Times New Roman" w:eastAsiaTheme="minorEastAsia"/>
          <w:b/>
        </w:rPr>
      </w:pPr>
      <w:bookmarkStart w:id="4" w:name="_Toc3871"/>
      <w:r>
        <w:rPr>
          <w:rFonts w:ascii="Times New Roman" w:hAnsi="Times New Roman" w:eastAsiaTheme="minorEastAsia"/>
          <w:b/>
        </w:rPr>
        <w:t>分析判定相关情况</w:t>
      </w:r>
      <w:bookmarkEnd w:id="4"/>
    </w:p>
    <w:p>
      <w:pPr>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1、产业政策符合性分析</w:t>
      </w:r>
    </w:p>
    <w:p>
      <w:pPr>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bCs/>
          <w:sz w:val="24"/>
          <w:szCs w:val="24"/>
        </w:rPr>
        <w:t>根据《产业结构调整指导目录（2019年本）》中内容，本项目属于“鼓励类”第三条“15、大型煤炭储运中心、煤炭交易市场建设及储煤场地环保改造”和第二十五条“水运”中的“深水泊位（沿海万吨级、内河千吨级及以上）建设”项目。另外，本项目不属于《限制用地项目目录（2012年本）》和《禁止用地项目目录（2012年本）》中的限制用地和禁止用地。因此，本项目的建设符合国家产业政策和相关法律、法规的要求。</w:t>
      </w:r>
    </w:p>
    <w:p>
      <w:pPr>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2、相关规划符合性分析</w:t>
      </w:r>
    </w:p>
    <w:p>
      <w:pPr>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本项目符合《长江干线航道总体规划纲要》、《长江干线航道建设规划》、《长江岸线保护和开发利用总体规划》、《长江经济带发展负面清单指南（试行）》、《湖南省交通运输“十三五”发展规划》、《湖南省港口布局规划》、《岳阳市城市总体规划（2008-2030）》、《岳阳市生态环境保护“十三五”规划》、《岳阳市国民经济和社会发展第十三个五年规划纲要》、《岳阳港总体规划》及规划环评</w:t>
      </w:r>
      <w:r>
        <w:rPr>
          <w:rFonts w:hint="eastAsia" w:ascii="Times New Roman" w:hAnsi="Times New Roman" w:eastAsiaTheme="minorEastAsia"/>
          <w:color w:val="000000" w:themeColor="text1"/>
          <w:kern w:val="0"/>
          <w:sz w:val="24"/>
          <w:szCs w:val="24"/>
          <w:lang w:eastAsia="zh-CN"/>
          <w14:textFill>
            <w14:solidFill>
              <w14:schemeClr w14:val="tx1"/>
            </w14:solidFill>
          </w14:textFill>
        </w:rPr>
        <w:t>、</w:t>
      </w:r>
      <w:r>
        <w:rPr>
          <w:rFonts w:hint="default" w:ascii="Times New Roman" w:hAnsi="Times New Roman" w:cs="Times New Roman" w:eastAsiaTheme="minorEastAsia"/>
          <w:bCs/>
          <w:sz w:val="24"/>
          <w:szCs w:val="24"/>
        </w:rPr>
        <w:t>《水产种质资源保护区管理暂行办法》</w:t>
      </w:r>
      <w:r>
        <w:rPr>
          <w:rFonts w:ascii="Times New Roman" w:hAnsi="Times New Roman" w:eastAsiaTheme="minorEastAsia"/>
          <w:color w:val="000000" w:themeColor="text1"/>
          <w:kern w:val="0"/>
          <w:sz w:val="24"/>
          <w:szCs w:val="24"/>
          <w14:textFill>
            <w14:solidFill>
              <w14:schemeClr w14:val="tx1"/>
            </w14:solidFill>
          </w14:textFill>
        </w:rPr>
        <w:t>等。</w:t>
      </w:r>
    </w:p>
    <w:p>
      <w:pPr>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3、“三线一单”的符合性分析</w:t>
      </w:r>
    </w:p>
    <w:p>
      <w:pPr>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本项目不在生态保护红线范围内，项目的建设不会造成所在区域环境质量下降或恶化，符合资源利用上限中相关规定，未纳入</w:t>
      </w:r>
      <w:r>
        <w:rPr>
          <w:rFonts w:ascii="Times New Roman" w:hAnsi="Times New Roman"/>
          <w:color w:val="000000"/>
          <w:sz w:val="24"/>
        </w:rPr>
        <w:t>湖南省的产业准入负面清单，</w:t>
      </w:r>
      <w:r>
        <w:rPr>
          <w:rFonts w:ascii="Times New Roman" w:hAnsi="Times New Roman" w:eastAsiaTheme="minorEastAsia"/>
          <w:color w:val="000000" w:themeColor="text1"/>
          <w:kern w:val="0"/>
          <w:sz w:val="24"/>
          <w:szCs w:val="24"/>
          <w14:textFill>
            <w14:solidFill>
              <w14:schemeClr w14:val="tx1"/>
            </w14:solidFill>
          </w14:textFill>
        </w:rPr>
        <w:t>且不属于港口岸线利用功能准入负面清单中所列明的禁止项目，符合“三线一单”的要求。</w:t>
      </w:r>
    </w:p>
    <w:p>
      <w:pPr>
        <w:pStyle w:val="3"/>
        <w:rPr>
          <w:rFonts w:ascii="Times New Roman" w:hAnsi="Times New Roman" w:eastAsiaTheme="minorEastAsia"/>
          <w:b/>
        </w:rPr>
      </w:pPr>
      <w:bookmarkStart w:id="5" w:name="_Toc30149"/>
      <w:r>
        <w:rPr>
          <w:rFonts w:ascii="Times New Roman" w:hAnsi="Times New Roman" w:eastAsiaTheme="minorEastAsia"/>
          <w:b/>
        </w:rPr>
        <w:t>项目关注的主要环境问题</w:t>
      </w:r>
      <w:bookmarkEnd w:id="5"/>
    </w:p>
    <w:p>
      <w:pPr>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根据《环境影响评价技术导则》的要求，结合项目特点和区域环境功能现状等的要求，本次评价工作的评价重点为：</w:t>
      </w:r>
    </w:p>
    <w:p>
      <w:pPr>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⑴</w:t>
      </w:r>
      <w:r>
        <w:rPr>
          <w:rFonts w:ascii="Times New Roman" w:hAnsi="Times New Roman" w:eastAsiaTheme="minorEastAsia"/>
          <w:kern w:val="0"/>
          <w:sz w:val="24"/>
          <w:szCs w:val="24"/>
        </w:rPr>
        <w:t xml:space="preserve"> 码头工程施工对长江水质、水生生态的影响及防治和减缓影响的措施；</w:t>
      </w:r>
    </w:p>
    <w:p>
      <w:pPr>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⑵</w:t>
      </w:r>
      <w:r>
        <w:rPr>
          <w:rFonts w:ascii="Times New Roman" w:hAnsi="Times New Roman" w:eastAsiaTheme="minorEastAsia"/>
          <w:kern w:val="0"/>
          <w:sz w:val="24"/>
          <w:szCs w:val="24"/>
        </w:rPr>
        <w:t xml:space="preserve"> 营运期码头装卸过程产生的TSP对周边环境的影响，包括影响范围和程度及拟采取的环境保护措施等；</w:t>
      </w:r>
    </w:p>
    <w:p>
      <w:pPr>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⑶</w:t>
      </w:r>
      <w:r>
        <w:rPr>
          <w:rFonts w:ascii="Times New Roman" w:hAnsi="Times New Roman" w:eastAsiaTheme="minorEastAsia"/>
          <w:kern w:val="0"/>
          <w:sz w:val="24"/>
          <w:szCs w:val="24"/>
        </w:rPr>
        <w:t xml:space="preserve"> 营运期码头废水、噪声的排放对环境的影响以及各类固体废物的产生、处理处置情况；</w:t>
      </w:r>
    </w:p>
    <w:p>
      <w:pPr>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⑷</w:t>
      </w:r>
      <w:r>
        <w:rPr>
          <w:rFonts w:ascii="Times New Roman" w:hAnsi="Times New Roman" w:eastAsiaTheme="minorEastAsia"/>
          <w:kern w:val="0"/>
          <w:sz w:val="24"/>
          <w:szCs w:val="24"/>
        </w:rPr>
        <w:t xml:space="preserve"> 营运期码头工程可能发生的船舶事故溢油对长江水环境的影响，包括影响范围和程度及拟采取的事故风险防范措施和应急预案等。</w:t>
      </w:r>
    </w:p>
    <w:p>
      <w:pPr>
        <w:pStyle w:val="3"/>
        <w:rPr>
          <w:rFonts w:ascii="Times New Roman" w:hAnsi="Times New Roman" w:eastAsiaTheme="minorEastAsia"/>
          <w:b/>
        </w:rPr>
      </w:pPr>
      <w:bookmarkStart w:id="6" w:name="_Toc24224"/>
      <w:r>
        <w:rPr>
          <w:rFonts w:ascii="Times New Roman" w:hAnsi="Times New Roman" w:eastAsiaTheme="minorEastAsia"/>
          <w:b/>
        </w:rPr>
        <w:t>环评主要结论</w:t>
      </w:r>
      <w:bookmarkEnd w:id="6"/>
    </w:p>
    <w:p>
      <w:pPr>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本项目的建设与岳阳港总体规划基本相符，项目选址合理。项目在建设及建成营运过程中将会产生噪声和一定量的废气、废水及固体废弃物等，经评价分析，项目采取合理可行的环保治理措施和管理手段，其环境影响可得到最大程度的减缓。项目对周围的大气、</w:t>
      </w:r>
      <w:r>
        <w:rPr>
          <w:rFonts w:hint="eastAsia" w:ascii="Times New Roman" w:hAnsi="Times New Roman" w:eastAsiaTheme="minorEastAsia"/>
          <w:kern w:val="0"/>
          <w:sz w:val="24"/>
          <w:szCs w:val="24"/>
        </w:rPr>
        <w:t>地表</w:t>
      </w:r>
      <w:r>
        <w:rPr>
          <w:rFonts w:ascii="Times New Roman" w:hAnsi="Times New Roman" w:eastAsiaTheme="minorEastAsia"/>
          <w:kern w:val="0"/>
          <w:sz w:val="24"/>
          <w:szCs w:val="24"/>
        </w:rPr>
        <w:t>水、声环境及地下水环境影响较小，不会降低区域的环境质量现状，对外界环境影响相对较小；项目通过加强航道内船舶交通秩序管理，落实码头风险防范措施，可有效控制风险水平到可接受的程度。</w:t>
      </w:r>
    </w:p>
    <w:p>
      <w:pPr>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建设单位应严格按照国家“三同时”政策及时做好有关工作，切实履行实施本评价所提出的对策与建议，保证污染物稳定达标排放情况下，从环保的角度分析，项目的提质改造建设具有可行性。</w:t>
      </w:r>
    </w:p>
    <w:p>
      <w:pPr>
        <w:adjustRightInd w:val="0"/>
        <w:snapToGrid w:val="0"/>
        <w:spacing w:line="360" w:lineRule="auto"/>
        <w:rPr>
          <w:rFonts w:ascii="Times New Roman" w:hAnsi="Times New Roman" w:eastAsiaTheme="minorEastAsia"/>
          <w:kern w:val="0"/>
          <w:sz w:val="24"/>
          <w:szCs w:val="24"/>
        </w:rPr>
      </w:pPr>
    </w:p>
    <w:p>
      <w:pPr>
        <w:adjustRightInd w:val="0"/>
        <w:snapToGrid w:val="0"/>
        <w:spacing w:line="360" w:lineRule="auto"/>
        <w:ind w:firstLine="500" w:firstLineChars="200"/>
        <w:rPr>
          <w:rFonts w:ascii="Times New Roman" w:hAnsi="Times New Roman" w:eastAsiaTheme="minorEastAsia"/>
          <w:spacing w:val="5"/>
          <w:sz w:val="24"/>
          <w:szCs w:val="24"/>
        </w:rPr>
        <w:sectPr>
          <w:headerReference r:id="rId9" w:type="default"/>
          <w:pgSz w:w="11906" w:h="16838"/>
          <w:pgMar w:top="1418" w:right="1418" w:bottom="1418" w:left="1418"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2"/>
        <w:spacing w:line="480" w:lineRule="auto"/>
        <w:ind w:left="431" w:hanging="431"/>
        <w:jc w:val="center"/>
        <w:rPr>
          <w:rFonts w:eastAsiaTheme="minorEastAsia"/>
          <w:b/>
          <w:sz w:val="32"/>
          <w:szCs w:val="32"/>
        </w:rPr>
      </w:pPr>
      <w:bookmarkStart w:id="7" w:name="_Toc20124"/>
      <w:r>
        <w:rPr>
          <w:rFonts w:eastAsiaTheme="minorEastAsia"/>
          <w:b/>
          <w:sz w:val="32"/>
          <w:szCs w:val="32"/>
        </w:rPr>
        <w:t>总  则</w:t>
      </w:r>
      <w:bookmarkEnd w:id="7"/>
    </w:p>
    <w:p>
      <w:pPr>
        <w:pStyle w:val="3"/>
        <w:rPr>
          <w:rFonts w:ascii="Times New Roman" w:hAnsi="Times New Roman" w:eastAsiaTheme="minorEastAsia"/>
          <w:b/>
        </w:rPr>
      </w:pPr>
      <w:bookmarkStart w:id="8" w:name="_Toc47262311"/>
      <w:bookmarkStart w:id="9" w:name="_Toc53570297"/>
      <w:bookmarkStart w:id="10" w:name="_Toc496284861"/>
      <w:bookmarkStart w:id="11" w:name="_Toc456409117"/>
      <w:bookmarkStart w:id="12" w:name="_Toc486164877"/>
      <w:bookmarkStart w:id="13" w:name="_Toc56245033"/>
      <w:bookmarkStart w:id="14" w:name="_Toc130307561"/>
      <w:bookmarkStart w:id="15" w:name="_Toc487572248"/>
      <w:bookmarkStart w:id="16" w:name="_Toc476665437"/>
      <w:bookmarkStart w:id="17" w:name="_Toc58730046"/>
      <w:bookmarkStart w:id="18" w:name="_Toc146342007"/>
      <w:bookmarkStart w:id="19" w:name="_Toc484483849"/>
      <w:bookmarkStart w:id="20" w:name="_Toc477272606"/>
      <w:bookmarkStart w:id="21" w:name="_Toc15408"/>
      <w:r>
        <w:rPr>
          <w:rFonts w:ascii="Times New Roman" w:hAnsi="Times New Roman" w:eastAsiaTheme="minorEastAsia"/>
          <w:b/>
        </w:rPr>
        <w:t>评价目的</w:t>
      </w:r>
      <w:bookmarkEnd w:id="8"/>
      <w:bookmarkEnd w:id="9"/>
      <w:bookmarkEnd w:id="10"/>
      <w:bookmarkEnd w:id="11"/>
      <w:bookmarkEnd w:id="12"/>
      <w:bookmarkEnd w:id="13"/>
      <w:bookmarkEnd w:id="14"/>
      <w:bookmarkEnd w:id="15"/>
      <w:bookmarkEnd w:id="16"/>
      <w:bookmarkEnd w:id="17"/>
      <w:bookmarkEnd w:id="18"/>
      <w:bookmarkEnd w:id="19"/>
      <w:bookmarkEnd w:id="20"/>
      <w:r>
        <w:rPr>
          <w:rFonts w:ascii="Times New Roman" w:hAnsi="Times New Roman" w:eastAsiaTheme="minorEastAsia"/>
          <w:b/>
        </w:rPr>
        <w:t>及原则</w:t>
      </w:r>
      <w:bookmarkEnd w:id="21"/>
    </w:p>
    <w:p>
      <w:pPr>
        <w:pStyle w:val="4"/>
        <w:rPr>
          <w:rFonts w:eastAsiaTheme="minorEastAsia"/>
        </w:rPr>
      </w:pPr>
      <w:r>
        <w:rPr>
          <w:rFonts w:eastAsiaTheme="minorEastAsia"/>
        </w:rPr>
        <w:t>评价目的</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依据国家有关环保法律和法规，贯彻执行“清洁生产、达标排放、总量控制”的原则，落实国务院关于“环境保护科学发展观”的决定，并遵循“循环经济”理念，使该</w:t>
      </w:r>
      <w:r>
        <w:rPr>
          <w:rFonts w:hint="eastAsia" w:ascii="Times New Roman" w:hAnsi="Times New Roman" w:eastAsiaTheme="minorEastAsia"/>
          <w:kern w:val="0"/>
          <w:sz w:val="24"/>
          <w:szCs w:val="24"/>
        </w:rPr>
        <w:t>项目</w:t>
      </w:r>
      <w:r>
        <w:rPr>
          <w:rFonts w:ascii="Times New Roman" w:hAnsi="Times New Roman" w:eastAsiaTheme="minorEastAsia"/>
          <w:kern w:val="0"/>
          <w:sz w:val="24"/>
          <w:szCs w:val="24"/>
        </w:rPr>
        <w:t>的建设达到经济效益、社会效益和环境效益的统一。针对建设项目的污染特征，预测和分析建设项目对环境影响的范围和程度，提出相应的污染防治对策，降低建设项目造成的环境影响，提出节能降耗和节水措施，为建设项目的设计运行、环境监督检查和管理提供科学依据。</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按照国家建设项目环境影响评价技术导则的规定对该项目开展环境影响评价工作，本评价将达到如下要求与目标：</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⑴</w:t>
      </w:r>
      <w:r>
        <w:rPr>
          <w:rFonts w:ascii="Times New Roman" w:hAnsi="Times New Roman" w:eastAsiaTheme="minorEastAsia"/>
          <w:kern w:val="0"/>
          <w:sz w:val="24"/>
          <w:szCs w:val="24"/>
        </w:rPr>
        <w:t xml:space="preserve"> 通过区域环境质量现状调查与监测，掌握建设项目所在区域的环境质量背景状况和现存的主要环境问题。</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⑵</w:t>
      </w:r>
      <w:r>
        <w:rPr>
          <w:rFonts w:ascii="Times New Roman" w:hAnsi="Times New Roman" w:eastAsiaTheme="minorEastAsia"/>
          <w:kern w:val="0"/>
          <w:sz w:val="24"/>
          <w:szCs w:val="24"/>
        </w:rPr>
        <w:t xml:space="preserve"> 通过对项目工程详细分析，明确建设项目的主要环境问题，筛选对环境造成影响的因子，尤其关注建设项目产生的特征污染因子。并通过类比、物料衡算，核算出污染源源强，为环境影响预测和总量控制提供依据。</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⑶</w:t>
      </w:r>
      <w:r>
        <w:rPr>
          <w:rFonts w:ascii="Times New Roman" w:hAnsi="Times New Roman" w:eastAsiaTheme="minorEastAsia"/>
          <w:kern w:val="0"/>
          <w:sz w:val="24"/>
          <w:szCs w:val="24"/>
        </w:rPr>
        <w:t xml:space="preserve"> 通过模拟计算，预测建设项目的环境影响程度和范围，包括环境风险和可接受性，论证风险防范措施及管理的有效性和可行性。</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⑷</w:t>
      </w:r>
      <w:r>
        <w:rPr>
          <w:rFonts w:ascii="Times New Roman" w:hAnsi="Times New Roman" w:eastAsiaTheme="minorEastAsia"/>
          <w:kern w:val="0"/>
          <w:sz w:val="24"/>
          <w:szCs w:val="24"/>
        </w:rPr>
        <w:t xml:space="preserve"> 根据建设项目的排污特点，通过类比调查与分析研究，论证污染防治措施的可行性，并进行环境经济损益分析。</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⑸</w:t>
      </w:r>
      <w:r>
        <w:rPr>
          <w:rFonts w:ascii="Times New Roman" w:hAnsi="Times New Roman" w:eastAsiaTheme="minorEastAsia"/>
          <w:kern w:val="0"/>
          <w:sz w:val="24"/>
          <w:szCs w:val="24"/>
        </w:rPr>
        <w:t xml:space="preserve"> 结合建设区域内的环境质量现状，预测分析本项目完成后对周边环境的影响范围与程度。</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⑹</w:t>
      </w:r>
      <w:r>
        <w:rPr>
          <w:rFonts w:ascii="Times New Roman" w:hAnsi="Times New Roman" w:eastAsiaTheme="minorEastAsia"/>
          <w:kern w:val="0"/>
          <w:sz w:val="24"/>
          <w:szCs w:val="24"/>
        </w:rPr>
        <w:t xml:space="preserve"> 结合环境功能区划要求，从环保角度论证该项目的可行性，为环保设施的优化设计、企业环境监测管理以及环境保护主管部门综合决策提供依据。</w:t>
      </w:r>
    </w:p>
    <w:p>
      <w:pPr>
        <w:autoSpaceDE w:val="0"/>
        <w:autoSpaceDN w:val="0"/>
        <w:adjustRightInd w:val="0"/>
        <w:snapToGrid w:val="0"/>
        <w:spacing w:line="360" w:lineRule="auto"/>
        <w:ind w:firstLine="480" w:firstLineChars="200"/>
        <w:rPr>
          <w:rFonts w:ascii="Times New Roman" w:hAnsi="Times New Roman" w:eastAsiaTheme="minorEastAsia"/>
          <w:kern w:val="0"/>
          <w:sz w:val="20"/>
          <w:szCs w:val="20"/>
        </w:rPr>
      </w:pPr>
      <w:r>
        <w:rPr>
          <w:rFonts w:hint="eastAsia" w:ascii="宋体" w:hAnsi="宋体" w:cs="宋体"/>
          <w:kern w:val="0"/>
          <w:sz w:val="24"/>
          <w:szCs w:val="24"/>
        </w:rPr>
        <w:t>⑺</w:t>
      </w:r>
      <w:r>
        <w:rPr>
          <w:rFonts w:ascii="Times New Roman" w:hAnsi="Times New Roman" w:eastAsiaTheme="minorEastAsia"/>
          <w:kern w:val="0"/>
          <w:sz w:val="24"/>
          <w:szCs w:val="24"/>
        </w:rPr>
        <w:t xml:space="preserve"> 论证建设项目与当地建设规划的相容性、资源开发利用可行性以及环境可行性。</w:t>
      </w:r>
    </w:p>
    <w:p>
      <w:pPr>
        <w:pStyle w:val="4"/>
        <w:rPr>
          <w:rFonts w:eastAsiaTheme="minorEastAsia"/>
        </w:rPr>
      </w:pPr>
      <w:r>
        <w:rPr>
          <w:rFonts w:eastAsiaTheme="minorEastAsia"/>
        </w:rPr>
        <w:t>评价原则</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按照突出环境影响评价的源头预防作用，坚持保护和改善环境质量的要求，遵循以下原则开展环境影响评价工作：</w:t>
      </w:r>
    </w:p>
    <w:p>
      <w:pPr>
        <w:autoSpaceDE w:val="0"/>
        <w:autoSpaceDN w:val="0"/>
        <w:adjustRightInd w:val="0"/>
        <w:snapToGrid w:val="0"/>
        <w:spacing w:line="360" w:lineRule="auto"/>
        <w:ind w:firstLine="482" w:firstLineChars="200"/>
        <w:rPr>
          <w:rFonts w:ascii="Times New Roman" w:hAnsi="Times New Roman" w:eastAsiaTheme="minorEastAsia"/>
          <w:b/>
          <w:kern w:val="0"/>
          <w:sz w:val="24"/>
          <w:szCs w:val="24"/>
        </w:rPr>
      </w:pPr>
      <w:r>
        <w:rPr>
          <w:rFonts w:ascii="Times New Roman" w:hAnsi="Times New Roman" w:eastAsiaTheme="minorEastAsia"/>
          <w:b/>
          <w:kern w:val="0"/>
          <w:sz w:val="24"/>
          <w:szCs w:val="24"/>
        </w:rPr>
        <w:t>1、依法评价</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贯彻执行我国环境保护相关法律法规、标准、政策和规划等，优化项目建设，服务环境管理。</w:t>
      </w:r>
    </w:p>
    <w:p>
      <w:pPr>
        <w:autoSpaceDE w:val="0"/>
        <w:autoSpaceDN w:val="0"/>
        <w:adjustRightInd w:val="0"/>
        <w:snapToGrid w:val="0"/>
        <w:spacing w:line="360" w:lineRule="auto"/>
        <w:ind w:firstLine="482" w:firstLineChars="200"/>
        <w:rPr>
          <w:rFonts w:ascii="Times New Roman" w:hAnsi="Times New Roman" w:eastAsiaTheme="minorEastAsia"/>
          <w:b/>
          <w:kern w:val="0"/>
          <w:sz w:val="24"/>
          <w:szCs w:val="24"/>
        </w:rPr>
      </w:pPr>
      <w:r>
        <w:rPr>
          <w:rFonts w:ascii="Times New Roman" w:hAnsi="Times New Roman" w:eastAsiaTheme="minorEastAsia"/>
          <w:b/>
          <w:kern w:val="0"/>
          <w:sz w:val="24"/>
          <w:szCs w:val="24"/>
        </w:rPr>
        <w:t>2、科学评价</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规范环境影响评价方法，科学分析项目建设对环境质量的影响。</w:t>
      </w:r>
    </w:p>
    <w:p>
      <w:pPr>
        <w:autoSpaceDE w:val="0"/>
        <w:autoSpaceDN w:val="0"/>
        <w:adjustRightInd w:val="0"/>
        <w:snapToGrid w:val="0"/>
        <w:spacing w:line="360" w:lineRule="auto"/>
        <w:ind w:firstLine="482" w:firstLineChars="200"/>
        <w:rPr>
          <w:rFonts w:ascii="Times New Roman" w:hAnsi="Times New Roman" w:eastAsiaTheme="minorEastAsia"/>
          <w:b/>
          <w:kern w:val="0"/>
          <w:sz w:val="24"/>
          <w:szCs w:val="24"/>
        </w:rPr>
      </w:pPr>
      <w:r>
        <w:rPr>
          <w:rFonts w:ascii="Times New Roman" w:hAnsi="Times New Roman" w:eastAsiaTheme="minorEastAsia"/>
          <w:b/>
          <w:kern w:val="0"/>
          <w:sz w:val="24"/>
          <w:szCs w:val="24"/>
        </w:rPr>
        <w:t>3、突出重点</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根据建设项目的工程内容及其特点，明确与环境要素间的作用效应关系，根据规划环境影响评价结论和审查意见，充分利用符合时效的数据资料及成果，对建设项目主要环境影响予以重点分析和评价。</w:t>
      </w:r>
    </w:p>
    <w:p>
      <w:pPr>
        <w:pStyle w:val="3"/>
        <w:rPr>
          <w:rFonts w:ascii="Times New Roman" w:hAnsi="Times New Roman" w:eastAsiaTheme="minorEastAsia"/>
          <w:b/>
        </w:rPr>
      </w:pPr>
      <w:bookmarkStart w:id="22" w:name="_Toc17229"/>
      <w:r>
        <w:rPr>
          <w:rFonts w:ascii="Times New Roman" w:hAnsi="Times New Roman" w:eastAsiaTheme="minorEastAsia"/>
          <w:b/>
        </w:rPr>
        <w:t>编制依据</w:t>
      </w:r>
      <w:bookmarkEnd w:id="22"/>
    </w:p>
    <w:p>
      <w:pPr>
        <w:pStyle w:val="4"/>
        <w:rPr>
          <w:rFonts w:eastAsiaTheme="minorEastAsia"/>
        </w:rPr>
      </w:pPr>
      <w:r>
        <w:rPr>
          <w:rFonts w:eastAsiaTheme="minorEastAsia"/>
        </w:rPr>
        <w:t>国家有关环境保护的法律、法规、规定</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1、《中华人民共和国环境保护法》，2015年1月1日实施；</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2、《中华人民共和国环境影响评价法》，2018年12月29日实施；</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3、《中华人民共和国水污染防治法》，2018年1月1日实施；</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4、《中华人民共和国大气污染防治法》，2018年10月26日实施；</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5、《中华人民共和国环境噪声污染防治法》，2018月12月29日实施；</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6、《中华人民共和国固体废物污染环境防治法》，2020年4月29日修</w:t>
      </w:r>
      <w:r>
        <w:rPr>
          <w:rFonts w:hint="eastAsia" w:ascii="Times New Roman" w:hAnsi="Times New Roman" w:eastAsiaTheme="minorEastAsia"/>
          <w:kern w:val="0"/>
          <w:sz w:val="24"/>
          <w:szCs w:val="24"/>
        </w:rPr>
        <w:t>订</w:t>
      </w:r>
      <w:r>
        <w:rPr>
          <w:rFonts w:ascii="Times New Roman" w:hAnsi="Times New Roman" w:eastAsiaTheme="minorEastAsia"/>
          <w:kern w:val="0"/>
          <w:sz w:val="24"/>
          <w:szCs w:val="24"/>
        </w:rPr>
        <w:t>；</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7、《中华人民共和国土壤污染防治法》，2018年8月31日审议通过，自2019年1月1日起施行；</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8、《中华人民共和国节约能源法》，2018年10月26日修订并实施；</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9、《中华人民共和国防洪法》，2016年7月2日修订；</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10、《中华人民共和国港口法》，2017年11月4日修正；</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11、《中华人民共和国渔业法》，2013年12月28日修订；</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12、《中华人民共和国航道法》，2016年7月2日修正；</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13、《中华人民共和国野生动物保护法》，2016年7月2日修订；</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14、《中华人民共和国清洁生产促进法》，2012年7月1日实施；</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15、中华人民共和国国务院令第682号《建设项目环境保护管理条例》，2017年7月16日修订；</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16、国家环保总局、卫生部、建设部、水利部、地矿部关于《饮用水水源保护区污染防治管理规定》，环境保护部令第16号自2010年12月修订；</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17、国发〔2013〕37号《国务院关于印发大气污染防治行动计划的通知》，2013年9月10日；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18、国发〔2014〕39号《国务院关于依托黄金水道推动长江经济带发展的指导意见》，2014年9月25日；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19、国发〔2015〕17号《国务院关于印发水污染防治行动计划的通知》，2015年4月2日；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20、国发〔2005〕40号《国务院关于发布实施〈促进产业结构调整暂行规定〉的决定》，2008年3月28日；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21、国家发展和改革委员会令2020第29号《产业结构调整指导目录（2019年本）》，2019年8月27日；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22、环发〔2012〕77号《关于进一步加强环境影响评价管理防范环境风险的通知》；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23、环发〔2012〕98号《关于切实加强风险防范严格环境影响评价管理的通知》；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24、环发〔2013〕86号《关于进一步加强水生生物资源保护严格环境影响评价管理的通知》；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25、环境保护部令第44号《建设项目环境影响评价分类管理名录》，2017年9月1日；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26、生态环境部令第1号《关于修改&lt;建设项目环境影响评价分类管理名录&gt;部分内容的决定》，2018年4月28日；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27、生态环境部令第4号《环境影响评价公众参与办法》，2018年4月16日由生态环境部部务会议审议通过，自2019年1月1日起施行；</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28、中共中央、国务院中发〔2016〕14号《长江经济带发展规划纲要》，2016年5月30日；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29、中华人民共和国国务院令第355号《中华人民共和国内河交通安全管理条例》，2017年3月1日修正。</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30、交通运输部关于印发船舶与港口污染防治专项行动实施方案（2015-2020年）的通知，2015年8月27日；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31、发改环资〔2016〕370号《关于加强长江黄金水道环境污染防控治理的指导意见》，2016年2月23日；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32、交通部2015年第25号令《中华人民共和国防治船舶污染内河水域环境管理规定》，2016年5月1日；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33、交通部2003年第5号令《交通建设项目环境保护管理办法》，2003年5月13日；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34、环境保护部办公厅文件环办〔2013〕104号《关于切实加强环境影响评价监督管理工作的通知》，2013年11月15日；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35、中办、国办印发《关于划定并严守生态保护红线的若干意见》，2017年2月8日；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36、环保部、发改委环办生态〔2017〕48号《生态保护红线划定指南》，2017年5月；</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37、《中华人民共和国自然保护区条例》，2017年10月7日修正；</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38、农业部农渔发〔2017〕19号《农业部关于进一步规范水生生物增殖放流活动的通知》，2017年7月10日；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39、农办渔〔2014〕55号《农业部办公厅关于进一步加强水生生物经济物种增殖放流苗种管理的通知》，2014年10月8日；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40、环境保护部环发〔2015〕57号《关于进一步加强涉及自然保护区开发建设活动监督管理的通知》，2015年5月8日；</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41、农渔发〔2016〕11号《农业部关于做好“十三五”水生生物增殖放流工作的指导意见》，2016年4月20日；</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42、《水产种质资源保护区管理暂行办法》（中华人民共和国农业部令2011年第1号，实施时间2011年3月1日）；</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43、《环境保护部、农业部关于进一步加强水生生物资源保护严格环境影响评价管理的通知》（环发〔2013〕86号，2013年8月5日）；</w:t>
      </w:r>
    </w:p>
    <w:p>
      <w:pPr>
        <w:tabs>
          <w:tab w:val="left" w:pos="900"/>
        </w:tabs>
        <w:snapToGrid w:val="0"/>
        <w:spacing w:line="360" w:lineRule="auto"/>
        <w:ind w:firstLine="480" w:firstLineChars="200"/>
        <w:rPr>
          <w:rFonts w:hint="eastAsia" w:ascii="Times New Roman" w:hAnsi="Times New Roman" w:eastAsiaTheme="minorEastAsia"/>
          <w:color w:val="000000"/>
          <w:sz w:val="24"/>
          <w:lang w:eastAsia="zh-CN"/>
        </w:rPr>
      </w:pPr>
      <w:r>
        <w:rPr>
          <w:rFonts w:ascii="Times New Roman" w:hAnsi="Times New Roman" w:eastAsiaTheme="minorEastAsia"/>
          <w:color w:val="000000"/>
          <w:sz w:val="24"/>
        </w:rPr>
        <w:t>44、《风景名胜区条例》（中华人民共和国国务院令 第474号，2006年12月1日起施行）</w:t>
      </w:r>
      <w:r>
        <w:rPr>
          <w:rFonts w:hint="eastAsia" w:ascii="Times New Roman" w:hAnsi="Times New Roman" w:eastAsiaTheme="minorEastAsia"/>
          <w:color w:val="000000"/>
          <w:sz w:val="24"/>
          <w:lang w:eastAsia="zh-CN"/>
        </w:rPr>
        <w:t>；</w:t>
      </w:r>
    </w:p>
    <w:p>
      <w:pPr>
        <w:tabs>
          <w:tab w:val="left" w:pos="900"/>
        </w:tabs>
        <w:snapToGrid w:val="0"/>
        <w:spacing w:line="360" w:lineRule="auto"/>
        <w:ind w:firstLine="480" w:firstLineChars="200"/>
        <w:rPr>
          <w:rFonts w:hint="default" w:ascii="Times New Roman" w:hAnsi="Times New Roman" w:eastAsiaTheme="minorEastAsia"/>
          <w:color w:val="FF0000"/>
          <w:sz w:val="24"/>
          <w:u w:val="single"/>
        </w:rPr>
      </w:pPr>
      <w:r>
        <w:rPr>
          <w:rFonts w:hint="eastAsia" w:ascii="Times New Roman" w:hAnsi="Times New Roman" w:eastAsiaTheme="minorEastAsia"/>
          <w:color w:val="FF0000"/>
          <w:sz w:val="24"/>
          <w:u w:val="single"/>
          <w:lang w:val="en-US" w:eastAsia="zh-CN"/>
        </w:rPr>
        <w:t>45、</w:t>
      </w:r>
      <w:r>
        <w:rPr>
          <w:rFonts w:ascii="Times New Roman" w:hAnsi="Times New Roman" w:eastAsiaTheme="minorEastAsia"/>
          <w:color w:val="FF0000"/>
          <w:sz w:val="24"/>
          <w:u w:val="single"/>
        </w:rPr>
        <w:t>交通运输部 发展改革委 生态环境部 住房城乡建设部关于印发</w:t>
      </w:r>
      <w:r>
        <w:rPr>
          <w:rFonts w:hint="eastAsia" w:ascii="Times New Roman" w:hAnsi="Times New Roman" w:eastAsiaTheme="minorEastAsia"/>
          <w:color w:val="FF0000"/>
          <w:sz w:val="24"/>
          <w:u w:val="single"/>
          <w:lang w:eastAsia="zh-CN"/>
        </w:rPr>
        <w:t>《</w:t>
      </w:r>
      <w:r>
        <w:rPr>
          <w:rFonts w:ascii="Times New Roman" w:hAnsi="Times New Roman" w:eastAsiaTheme="minorEastAsia"/>
          <w:color w:val="FF0000"/>
          <w:sz w:val="24"/>
          <w:u w:val="single"/>
        </w:rPr>
        <w:t>长江经济带船舶和港口污染突出问题整治方案</w:t>
      </w:r>
      <w:r>
        <w:rPr>
          <w:rFonts w:hint="eastAsia" w:ascii="Times New Roman" w:hAnsi="Times New Roman" w:eastAsiaTheme="minorEastAsia"/>
          <w:color w:val="FF0000"/>
          <w:sz w:val="24"/>
          <w:u w:val="single"/>
          <w:lang w:eastAsia="zh-CN"/>
        </w:rPr>
        <w:t>》</w:t>
      </w:r>
      <w:r>
        <w:rPr>
          <w:rFonts w:ascii="Times New Roman" w:hAnsi="Times New Roman" w:eastAsiaTheme="minorEastAsia"/>
          <w:color w:val="FF0000"/>
          <w:sz w:val="24"/>
          <w:u w:val="single"/>
        </w:rPr>
        <w:t>的通知</w:t>
      </w:r>
      <w:r>
        <w:rPr>
          <w:rFonts w:hint="eastAsia" w:ascii="Times New Roman" w:hAnsi="Times New Roman" w:eastAsiaTheme="minorEastAsia"/>
          <w:color w:val="FF0000"/>
          <w:sz w:val="24"/>
          <w:u w:val="single"/>
          <w:lang w:eastAsia="zh-CN"/>
        </w:rPr>
        <w:t>（</w:t>
      </w:r>
      <w:r>
        <w:rPr>
          <w:rFonts w:hint="default" w:ascii="Times New Roman" w:hAnsi="Times New Roman" w:eastAsiaTheme="minorEastAsia"/>
          <w:color w:val="FF0000"/>
          <w:sz w:val="24"/>
          <w:u w:val="single"/>
          <w:lang w:val="en-US" w:eastAsia="zh-CN"/>
        </w:rPr>
        <w:t>交水发〔2020〕17号</w:t>
      </w:r>
      <w:r>
        <w:rPr>
          <w:rFonts w:hint="eastAsia" w:ascii="Times New Roman" w:hAnsi="Times New Roman" w:eastAsiaTheme="minorEastAsia"/>
          <w:color w:val="FF0000"/>
          <w:sz w:val="24"/>
          <w:u w:val="single"/>
          <w:lang w:val="en-US" w:eastAsia="zh-CN"/>
        </w:rPr>
        <w:t>，</w:t>
      </w:r>
      <w:r>
        <w:rPr>
          <w:rFonts w:hint="default" w:ascii="Times New Roman" w:hAnsi="Times New Roman" w:eastAsiaTheme="minorEastAsia"/>
          <w:color w:val="FF0000"/>
          <w:sz w:val="24"/>
          <w:u w:val="single"/>
          <w:lang w:val="en-US" w:eastAsia="zh-CN"/>
        </w:rPr>
        <w:t>2020年1月19日</w:t>
      </w:r>
      <w:r>
        <w:rPr>
          <w:rFonts w:hint="eastAsia" w:ascii="Times New Roman" w:hAnsi="Times New Roman" w:eastAsiaTheme="minorEastAsia"/>
          <w:color w:val="FF0000"/>
          <w:sz w:val="24"/>
          <w:u w:val="single"/>
          <w:lang w:eastAsia="zh-CN"/>
        </w:rPr>
        <w:t>）；</w:t>
      </w:r>
    </w:p>
    <w:p>
      <w:pPr>
        <w:tabs>
          <w:tab w:val="left" w:pos="900"/>
        </w:tabs>
        <w:snapToGrid w:val="0"/>
        <w:spacing w:line="360" w:lineRule="auto"/>
        <w:ind w:firstLine="480" w:firstLineChars="200"/>
        <w:rPr>
          <w:rFonts w:ascii="Times New Roman" w:hAnsi="Times New Roman" w:eastAsiaTheme="minorEastAsia"/>
          <w:color w:val="FF0000"/>
          <w:sz w:val="24"/>
          <w:u w:val="single"/>
        </w:rPr>
      </w:pPr>
      <w:r>
        <w:rPr>
          <w:rFonts w:hint="eastAsia" w:ascii="Times New Roman" w:hAnsi="Times New Roman" w:eastAsiaTheme="minorEastAsia"/>
          <w:color w:val="FF0000"/>
          <w:sz w:val="24"/>
          <w:u w:val="single"/>
          <w:lang w:val="en-US" w:eastAsia="zh-CN"/>
        </w:rPr>
        <w:t>46、交通运输部办公厅关于印发《长江经济带船舶污染防治专项行动方案（2018-2020年）》的通知（</w:t>
      </w:r>
      <w:r>
        <w:rPr>
          <w:rFonts w:hint="default" w:ascii="Times New Roman" w:hAnsi="Times New Roman" w:eastAsiaTheme="minorEastAsia"/>
          <w:color w:val="FF0000"/>
          <w:sz w:val="24"/>
          <w:u w:val="single"/>
          <w:lang w:val="en-US" w:eastAsia="zh-CN"/>
        </w:rPr>
        <w:t>交办海〔2017〕195号</w:t>
      </w:r>
      <w:r>
        <w:rPr>
          <w:rFonts w:hint="eastAsia" w:ascii="Times New Roman" w:hAnsi="Times New Roman" w:eastAsiaTheme="minorEastAsia"/>
          <w:color w:val="FF0000"/>
          <w:sz w:val="24"/>
          <w:u w:val="single"/>
          <w:lang w:val="en-US" w:eastAsia="zh-CN"/>
        </w:rPr>
        <w:t>，</w:t>
      </w:r>
      <w:r>
        <w:rPr>
          <w:rFonts w:hint="default" w:ascii="Times New Roman" w:hAnsi="Times New Roman" w:eastAsiaTheme="minorEastAsia"/>
          <w:color w:val="FF0000"/>
          <w:sz w:val="24"/>
          <w:u w:val="single"/>
          <w:lang w:val="en-US" w:eastAsia="zh-CN"/>
        </w:rPr>
        <w:t>2018年1月8日</w:t>
      </w:r>
      <w:r>
        <w:rPr>
          <w:rFonts w:hint="eastAsia" w:ascii="Times New Roman" w:hAnsi="Times New Roman" w:eastAsiaTheme="minorEastAsia"/>
          <w:color w:val="FF0000"/>
          <w:sz w:val="24"/>
          <w:u w:val="single"/>
          <w:lang w:val="en-US" w:eastAsia="zh-CN"/>
        </w:rPr>
        <w:t>）</w:t>
      </w:r>
      <w:r>
        <w:rPr>
          <w:rFonts w:ascii="Times New Roman" w:hAnsi="Times New Roman" w:eastAsiaTheme="minorEastAsia"/>
          <w:color w:val="FF0000"/>
          <w:sz w:val="24"/>
          <w:u w:val="single"/>
        </w:rPr>
        <w:t>。</w:t>
      </w:r>
    </w:p>
    <w:p>
      <w:pPr>
        <w:pStyle w:val="4"/>
        <w:rPr>
          <w:rFonts w:eastAsiaTheme="minorEastAsia"/>
        </w:rPr>
      </w:pPr>
      <w:r>
        <w:rPr>
          <w:rFonts w:eastAsiaTheme="minorEastAsia"/>
        </w:rPr>
        <w:t>地方有关环境保护的法律、法规、规定</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w:t>
      </w:r>
      <w:r>
        <w:rPr>
          <w:rFonts w:ascii="Times New Roman" w:hAnsi="Times New Roman"/>
          <w:color w:val="000000"/>
          <w:sz w:val="24"/>
        </w:rPr>
        <w:t>《湖南省环境保护条例》（修正），湖南省第十二届人民代表大会常务委员会，2020.01.01实施</w:t>
      </w:r>
      <w:r>
        <w:rPr>
          <w:rFonts w:ascii="Times New Roman" w:hAnsi="Times New Roman" w:eastAsiaTheme="minorEastAsia"/>
          <w:color w:val="000000"/>
          <w:sz w:val="24"/>
        </w:rPr>
        <w:t>；</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2、《湖南省生态文明体制改革实施方案（2014-2020年）》，湘办发〔2015〕15号；</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3、《湖南省大气污染防治实施办法》，湖南省第八届人民代表大会常务委员会，1997年6月4日；</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4、《湖南省大气污染防治条例》，湖南省第十二届人民代表大会常务委员会，2017年6月1日；</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bCs/>
          <w:color w:val="000000"/>
          <w:sz w:val="24"/>
        </w:rPr>
        <w:t>5、湖南省人民政府关于印发《湖南省生态保护红线》的通知，</w:t>
      </w:r>
      <w:r>
        <w:rPr>
          <w:rFonts w:ascii="Times New Roman" w:hAnsi="Times New Roman" w:eastAsiaTheme="minorEastAsia"/>
          <w:color w:val="000000"/>
          <w:sz w:val="24"/>
        </w:rPr>
        <w:t>湘政发〔2018〕20号，2018年7月28日；</w:t>
      </w:r>
    </w:p>
    <w:p>
      <w:pPr>
        <w:tabs>
          <w:tab w:val="left" w:pos="900"/>
        </w:tabs>
        <w:snapToGrid w:val="0"/>
        <w:spacing w:line="360" w:lineRule="auto"/>
        <w:ind w:firstLine="480" w:firstLineChars="200"/>
        <w:rPr>
          <w:rFonts w:ascii="Times New Roman" w:hAnsi="Times New Roman" w:eastAsiaTheme="minorEastAsia"/>
          <w:bCs/>
          <w:color w:val="000000"/>
          <w:sz w:val="24"/>
        </w:rPr>
      </w:pPr>
      <w:r>
        <w:rPr>
          <w:rFonts w:ascii="Times New Roman" w:hAnsi="Times New Roman" w:eastAsiaTheme="minorEastAsia"/>
          <w:color w:val="000000"/>
          <w:sz w:val="24"/>
        </w:rPr>
        <w:t>6、</w:t>
      </w:r>
      <w:r>
        <w:rPr>
          <w:rFonts w:ascii="Times New Roman" w:hAnsi="Times New Roman" w:eastAsiaTheme="minorEastAsia"/>
          <w:bCs/>
          <w:color w:val="000000"/>
          <w:sz w:val="24"/>
        </w:rPr>
        <w:t>《湖南省长江经济带发展负面清单实施细则》，湖南省发展和改革委员会，2019年7月17日；</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7、《湖南省主要水系地表水环境功能区划》（DB43/023-2005），湖南省环保局、湖南省质量技术监督管理局，2005年7月1日；</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8、湖南省人民政府关于印发《湖南省主体功能区规划》的通知，湖南省政府办公厅湘政发〔2012〕39号，2012年12月26日）；</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9、《关于印发&lt;湖南省重要饮用水水源地名录&gt;的通知》，湘政办函〔2014〕146号，2014年12月17日；</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10、《湖南省人民政府关于公布湖南省县级以上地表水集中式饮用水水源保护区划定方案的通知》，湘政函〔2016〕176号，2016年12月30日；</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11、《湖南省生态环境厅关于请求下放部分行政许可事项办理项的函》，湖南省生态环境厅，湘环函〔2019〕134号，2019年5月10日；</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12、《湖南省野生动植物资源保护条例》，湖南省人大常委会，2018年7月19日修订；</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13、《湖南省人民政府关于修订湖南省地方重点保护野生动物名录和湖南省地方重点保护野生植物名录的通知》，湘政函〔2002〕172号，2002年9月5日；</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14、《关于印发&lt;湖南省环境保护厅建设项目“三同时”监督管理试行办法&gt;的通知》，湖南省环境保护厅办公室，湘环发〔2011〕29号，2011年6月27日；</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15、《湖南省风景名胜区条例》，湖南省第十一届人民代表大会常务委员会第二十三次会议通过，自2011年10月1日起施行；</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16、岳阳市人民政府办公室关于加强岳阳楼洞庭湖风景名胜区管理的通知（岳政办函〔2014〕51号）；</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17、《岳阳市东洞庭湖国家级自然保护区条例》，2019年3月。</w:t>
      </w:r>
    </w:p>
    <w:p>
      <w:pPr>
        <w:pStyle w:val="4"/>
        <w:rPr>
          <w:rFonts w:eastAsiaTheme="minorEastAsia"/>
        </w:rPr>
      </w:pPr>
      <w:r>
        <w:rPr>
          <w:rFonts w:eastAsiaTheme="minorEastAsia"/>
        </w:rPr>
        <w:t>环境影响评价技术文件</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1、《建设项目环境影响评价技术导则  总纲》（HJ 2.1-2016）；</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2、《环境影响评价技术导则  大气环境》（HJ 2.2-2018）；</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3、《环境影响评价技术导则  地表水环境》（HJ 2.3-2018）；</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4、《环境影响评价技术导则  声环境》（HJ 2.4-2009）；</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5、《环境影响评价技术导则  生态影响》（HJ 19-2011）；</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6、《环境影响评价技术导则  地下水环境》（HJ 610-2016）；</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7、《环境影响评价技术导则  土壤环境（试行）》（HJ 964-2018）；</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8、《建设项目环境风险评价技术导则》（HJ 169-2018）；</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9、《港口建设项目环境影响评价规范》（JTS105-1-2011）；</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10、《建设项目危险废物环境影响评价指南》（环境保护部公告2017年第43号）；</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11、《危险化学品重大危险源辨识》（GB18218-2018）；</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12、《饮用水水源保护区划分技术规范》（HJ T338-2018）；</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13、《开发建设项目水土保持技术规范》（GB50433-2007）；</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14、《港口工程环境保护设计规范》（JTS149-1-2007）；</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15、《港口码头溢油应急设备配备要求》（JT/T451-2009）；</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16、《港口（港区）溢油应急计划编制指南》，中国海事局，2001年8月；</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17、《船舶水污染防治技术政策》（公告2018年第八号）；</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18、《河港工程总体设计规范》（JTJ212-2006）；</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19、《内河通航标准》（GB50139-2004）；</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20、《内河航运工程水文规范》（JTS145-1-2011）；</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21、《港口及航道护岸工程设计与施工规范》（JTJ300-2000）；</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22、《港口工程荷载规范》（JTS144-1-2010）；</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23、《港口工程环境保护设计规范》（JTS149-1-2007）；</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24、《绿色港口等级评价标注》（JTS/T105-4-2013）；</w:t>
      </w:r>
    </w:p>
    <w:p>
      <w:pPr>
        <w:tabs>
          <w:tab w:val="left" w:pos="900"/>
        </w:tabs>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25、《水运工程节能设计规范》（JTS150-2007）。</w:t>
      </w:r>
    </w:p>
    <w:p>
      <w:pPr>
        <w:pStyle w:val="4"/>
        <w:rPr>
          <w:rFonts w:eastAsiaTheme="minorEastAsia"/>
        </w:rPr>
      </w:pPr>
      <w:r>
        <w:rPr>
          <w:rFonts w:eastAsiaTheme="minorEastAsia"/>
        </w:rPr>
        <w:t>项目设计文件及参考资料</w:t>
      </w:r>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1、《华能岳阳电厂码头及岸线综合利用工程可行性研究报告》（2019年6月，内部报批稿），中交第二航务工程勘察设计院有限公司；</w:t>
      </w:r>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2、湖南省人民政府专题会议纪要，湘府阅</w:t>
      </w:r>
      <w:r>
        <w:rPr>
          <w:rFonts w:ascii="Times New Roman" w:hAnsi="Times New Roman" w:eastAsiaTheme="minorEastAsia"/>
          <w:color w:val="000000"/>
          <w:sz w:val="24"/>
        </w:rPr>
        <w:t>〔2018〕</w:t>
      </w:r>
      <w:r>
        <w:rPr>
          <w:rFonts w:ascii="Times New Roman" w:hAnsi="Times New Roman" w:eastAsiaTheme="minorEastAsia"/>
          <w:color w:val="000000"/>
          <w:sz w:val="24"/>
          <w:szCs w:val="24"/>
        </w:rPr>
        <w:t>28号，关于推进长江岸线湖南段港口码头专项整治工作的会议纪要；</w:t>
      </w:r>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3、湖南省人民政府专题会议纪要，湘府阅</w:t>
      </w:r>
      <w:r>
        <w:rPr>
          <w:rFonts w:ascii="Times New Roman" w:hAnsi="Times New Roman" w:eastAsiaTheme="minorEastAsia"/>
          <w:color w:val="000000"/>
          <w:sz w:val="24"/>
        </w:rPr>
        <w:t>〔2018〕</w:t>
      </w:r>
      <w:r>
        <w:rPr>
          <w:rFonts w:ascii="Times New Roman" w:hAnsi="Times New Roman" w:eastAsiaTheme="minorEastAsia"/>
          <w:color w:val="000000"/>
          <w:sz w:val="24"/>
          <w:szCs w:val="24"/>
        </w:rPr>
        <w:t>33号，关于推进长江岸线湖南段港口码头专项整治工作的第二次会议纪要；</w:t>
      </w:r>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4、湖南省人民政府专题会议纪要，湘府阅</w:t>
      </w:r>
      <w:r>
        <w:rPr>
          <w:rFonts w:ascii="Times New Roman" w:hAnsi="Times New Roman" w:eastAsiaTheme="minorEastAsia"/>
          <w:color w:val="000000"/>
          <w:sz w:val="24"/>
        </w:rPr>
        <w:t>〔2018〕</w:t>
      </w:r>
      <w:r>
        <w:rPr>
          <w:rFonts w:ascii="Times New Roman" w:hAnsi="Times New Roman" w:eastAsiaTheme="minorEastAsia"/>
          <w:color w:val="000000"/>
          <w:sz w:val="24"/>
          <w:szCs w:val="24"/>
        </w:rPr>
        <w:t>48号，关于推进长江岸线湖南段港口码头专项整治工作第三次会议暨长江湖南段“河长制”工作会议纪要；</w:t>
      </w:r>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5、湖南省交通运输厅，湘交函</w:t>
      </w:r>
      <w:r>
        <w:rPr>
          <w:rFonts w:ascii="Times New Roman" w:hAnsi="Times New Roman" w:eastAsiaTheme="minorEastAsia"/>
          <w:color w:val="000000"/>
          <w:sz w:val="24"/>
        </w:rPr>
        <w:t>〔2018〕</w:t>
      </w:r>
      <w:r>
        <w:rPr>
          <w:rFonts w:ascii="Times New Roman" w:hAnsi="Times New Roman" w:eastAsiaTheme="minorEastAsia"/>
          <w:color w:val="000000"/>
          <w:sz w:val="24"/>
          <w:szCs w:val="24"/>
        </w:rPr>
        <w:t>320号，湖南省交通运输厅关于报送长江岸线湖南段港口码头渡口提质改造实施方案的函；</w:t>
      </w:r>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6、《长江岸线湖南段港口码头提质改造实施方案指南》，湖南省水运管理局，2018年7月；</w:t>
      </w:r>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7、关于《华能岳阳电厂码头2#泊位提质改造方案》的批复（岳地海〔2019〕52号）；</w:t>
      </w:r>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8、《湖南省交通运输“十三五”发展规划》，湖南省交通运输厅；</w:t>
      </w:r>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9、《湖南省环境保护“十三五”规划》，湖南省环境保护厅，2015年9月；</w:t>
      </w:r>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10、《岳阳港总体规划》（报批稿，</w:t>
      </w:r>
      <w:r>
        <w:rPr>
          <w:rFonts w:ascii="Times New Roman" w:hAnsi="Times New Roman" w:eastAsiaTheme="minorEastAsia"/>
          <w:color w:val="000000" w:themeColor="text1"/>
          <w:sz w:val="24"/>
          <w:szCs w:val="24"/>
          <w14:textFill>
            <w14:solidFill>
              <w14:schemeClr w14:val="tx1"/>
            </w14:solidFill>
          </w14:textFill>
        </w:rPr>
        <w:t>2019年</w:t>
      </w:r>
      <w:r>
        <w:rPr>
          <w:rFonts w:ascii="Times New Roman" w:hAnsi="Times New Roman" w:eastAsiaTheme="minorEastAsia"/>
          <w:color w:val="000000"/>
          <w:sz w:val="24"/>
          <w:szCs w:val="24"/>
        </w:rPr>
        <w:t>）；</w:t>
      </w:r>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11、《岳阳楼洞庭湖风景名胜区总体规划》（2007-2025年）；</w:t>
      </w:r>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12、《湖南东洞庭湖国家级自然保护区总体规划》（2013-2020）；</w:t>
      </w:r>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13、《</w:t>
      </w:r>
      <w:r>
        <w:rPr>
          <w:rFonts w:ascii="Times New Roman" w:hAnsi="Times New Roman" w:eastAsiaTheme="minorEastAsia"/>
          <w:color w:val="000000" w:themeColor="text1"/>
          <w:kern w:val="0"/>
          <w:sz w:val="24"/>
          <w:szCs w:val="24"/>
          <w14:textFill>
            <w14:solidFill>
              <w14:schemeClr w14:val="tx1"/>
            </w14:solidFill>
          </w14:textFill>
        </w:rPr>
        <w:t>湖南云溪白泥湖国家湿地公园</w:t>
      </w:r>
      <w:r>
        <w:rPr>
          <w:rFonts w:ascii="Times New Roman" w:hAnsi="Times New Roman" w:eastAsiaTheme="minorEastAsia"/>
          <w:color w:val="000000"/>
          <w:sz w:val="24"/>
          <w:szCs w:val="24"/>
        </w:rPr>
        <w:t>总体规划》（2016-2020年）；</w:t>
      </w:r>
    </w:p>
    <w:p>
      <w:pPr>
        <w:tabs>
          <w:tab w:val="left" w:pos="900"/>
        </w:tabs>
        <w:snapToGrid w:val="0"/>
        <w:spacing w:line="360" w:lineRule="auto"/>
        <w:ind w:firstLine="480" w:firstLineChars="200"/>
        <w:rPr>
          <w:rFonts w:ascii="Times New Roman" w:hAnsi="Times New Roman" w:eastAsiaTheme="minorEastAsia"/>
          <w:bCs/>
          <w:color w:val="000000" w:themeColor="text1"/>
          <w:sz w:val="24"/>
          <w14:textFill>
            <w14:solidFill>
              <w14:schemeClr w14:val="tx1"/>
            </w14:solidFill>
          </w14:textFill>
        </w:rPr>
      </w:pPr>
      <w:r>
        <w:rPr>
          <w:rFonts w:ascii="Times New Roman" w:hAnsi="Times New Roman" w:eastAsiaTheme="minorEastAsia"/>
          <w:color w:val="000000"/>
          <w:sz w:val="24"/>
          <w:szCs w:val="24"/>
        </w:rPr>
        <w:t>14、《</w:t>
      </w:r>
      <w:r>
        <w:rPr>
          <w:rFonts w:ascii="Times New Roman" w:hAnsi="Times New Roman" w:eastAsiaTheme="minorEastAsia"/>
          <w:bCs/>
          <w:color w:val="000000" w:themeColor="text1"/>
          <w:sz w:val="24"/>
          <w14:textFill>
            <w14:solidFill>
              <w14:schemeClr w14:val="tx1"/>
            </w14:solidFill>
          </w14:textFill>
        </w:rPr>
        <w:t>岳阳市云溪区陆城镇水厂文桥镇水厂长江取水口饮用水源保护区划分技术</w:t>
      </w:r>
      <w:r>
        <w:rPr>
          <w:rFonts w:ascii="Times New Roman" w:hAnsi="Times New Roman" w:eastAsiaTheme="minorEastAsia"/>
          <w:color w:val="000000"/>
          <w:sz w:val="24"/>
          <w:szCs w:val="24"/>
        </w:rPr>
        <w:t>报告》（2019年9月，报批稿）</w:t>
      </w:r>
      <w:r>
        <w:rPr>
          <w:rFonts w:ascii="Times New Roman" w:hAnsi="Times New Roman" w:eastAsiaTheme="minorEastAsia"/>
          <w:bCs/>
          <w:color w:val="000000" w:themeColor="text1"/>
          <w:sz w:val="24"/>
          <w14:textFill>
            <w14:solidFill>
              <w14:schemeClr w14:val="tx1"/>
            </w14:solidFill>
          </w14:textFill>
        </w:rPr>
        <w:t>，云溪区人民政府；</w:t>
      </w:r>
    </w:p>
    <w:p>
      <w:pPr>
        <w:tabs>
          <w:tab w:val="left" w:pos="900"/>
        </w:tabs>
        <w:snapToGrid w:val="0"/>
        <w:spacing w:line="360" w:lineRule="auto"/>
        <w:ind w:firstLine="480" w:firstLineChars="200"/>
        <w:rPr>
          <w:rFonts w:ascii="Times New Roman" w:hAnsi="Times New Roman" w:eastAsiaTheme="minorEastAsia"/>
          <w:bCs/>
          <w:color w:val="000000" w:themeColor="text1"/>
          <w:sz w:val="24"/>
          <w14:textFill>
            <w14:solidFill>
              <w14:schemeClr w14:val="tx1"/>
            </w14:solidFill>
          </w14:textFill>
        </w:rPr>
      </w:pPr>
      <w:r>
        <w:rPr>
          <w:rFonts w:ascii="Times New Roman" w:hAnsi="Times New Roman" w:eastAsiaTheme="minorEastAsia"/>
          <w:bCs/>
          <w:color w:val="000000" w:themeColor="text1"/>
          <w:sz w:val="24"/>
          <w14:textFill>
            <w14:solidFill>
              <w14:schemeClr w14:val="tx1"/>
            </w14:solidFill>
          </w14:textFill>
        </w:rPr>
        <w:t>15、</w:t>
      </w:r>
      <w:r>
        <w:rPr>
          <w:rFonts w:ascii="Times New Roman" w:hAnsi="Times New Roman" w:eastAsiaTheme="minorEastAsia"/>
          <w:color w:val="000000"/>
          <w:sz w:val="24"/>
          <w:szCs w:val="24"/>
        </w:rPr>
        <w:t>《</w:t>
      </w:r>
      <w:r>
        <w:rPr>
          <w:rFonts w:ascii="Times New Roman" w:hAnsi="Times New Roman" w:eastAsiaTheme="minorEastAsia"/>
          <w:bCs/>
          <w:color w:val="000000" w:themeColor="text1"/>
          <w:sz w:val="24"/>
          <w14:textFill>
            <w14:solidFill>
              <w14:schemeClr w14:val="tx1"/>
            </w14:solidFill>
          </w14:textFill>
        </w:rPr>
        <w:t>岳阳市云溪区道仁矶水厂长江取水口饮用水水源保护区划分技术报告》</w:t>
      </w:r>
      <w:r>
        <w:rPr>
          <w:rFonts w:ascii="Times New Roman" w:hAnsi="Times New Roman" w:eastAsiaTheme="minorEastAsia"/>
          <w:color w:val="000000"/>
          <w:sz w:val="24"/>
          <w:szCs w:val="24"/>
        </w:rPr>
        <w:t>（2019年9月，报批稿）</w:t>
      </w:r>
      <w:r>
        <w:rPr>
          <w:rFonts w:ascii="Times New Roman" w:hAnsi="Times New Roman" w:eastAsiaTheme="minorEastAsia"/>
          <w:bCs/>
          <w:color w:val="000000" w:themeColor="text1"/>
          <w:sz w:val="24"/>
          <w14:textFill>
            <w14:solidFill>
              <w14:schemeClr w14:val="tx1"/>
            </w14:solidFill>
          </w14:textFill>
        </w:rPr>
        <w:t>，云溪区人民政府；</w:t>
      </w:r>
    </w:p>
    <w:p>
      <w:pPr>
        <w:tabs>
          <w:tab w:val="left" w:pos="900"/>
        </w:tabs>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16、《华能岳阳电厂码头2#泊位提质改造工程对洞庭湖口铜鱼短颌鲚水产种质资源保护区影响专题论证报告》（2020年</w:t>
      </w:r>
      <w:r>
        <w:rPr>
          <w:rFonts w:hint="eastAsia" w:ascii="Times New Roman" w:hAnsi="Times New Roman" w:eastAsiaTheme="minorEastAsia"/>
          <w:color w:val="FF0000"/>
          <w:sz w:val="24"/>
          <w:szCs w:val="24"/>
          <w:u w:val="single"/>
          <w:lang w:val="en-US" w:eastAsia="zh-CN"/>
        </w:rPr>
        <w:t>9</w:t>
      </w:r>
      <w:r>
        <w:rPr>
          <w:rFonts w:ascii="Times New Roman" w:hAnsi="Times New Roman" w:eastAsiaTheme="minorEastAsia"/>
          <w:color w:val="FF0000"/>
          <w:sz w:val="24"/>
          <w:szCs w:val="24"/>
          <w:u w:val="single"/>
        </w:rPr>
        <w:t>月，</w:t>
      </w:r>
      <w:r>
        <w:rPr>
          <w:rFonts w:hint="eastAsia" w:ascii="Times New Roman" w:hAnsi="Times New Roman" w:eastAsiaTheme="minorEastAsia"/>
          <w:color w:val="FF0000"/>
          <w:sz w:val="24"/>
          <w:szCs w:val="24"/>
          <w:u w:val="single"/>
          <w:lang w:eastAsia="zh-CN"/>
        </w:rPr>
        <w:t>评审</w:t>
      </w:r>
      <w:r>
        <w:rPr>
          <w:rFonts w:ascii="Times New Roman" w:hAnsi="Times New Roman" w:eastAsiaTheme="minorEastAsia"/>
          <w:color w:val="FF0000"/>
          <w:sz w:val="24"/>
          <w:szCs w:val="24"/>
          <w:u w:val="single"/>
        </w:rPr>
        <w:t>稿），华中师范大学；</w:t>
      </w:r>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17、《华能岳阳电厂码头及岸线综合利用工程现状环境质量检测报告》，长沙环院检测技术有限公司，2019年11月；</w:t>
      </w:r>
    </w:p>
    <w:p>
      <w:pPr>
        <w:tabs>
          <w:tab w:val="left" w:pos="900"/>
        </w:tabs>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18、《湖南长江港域总体规划》（在编）；</w:t>
      </w:r>
    </w:p>
    <w:p>
      <w:pPr>
        <w:tabs>
          <w:tab w:val="left" w:pos="900"/>
        </w:tabs>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bCs/>
          <w:sz w:val="24"/>
        </w:rPr>
        <w:t>19、《长江岸线湖南段生态保护和绿色发展规划》（在编）。</w:t>
      </w:r>
    </w:p>
    <w:p>
      <w:pPr>
        <w:pStyle w:val="3"/>
        <w:rPr>
          <w:rFonts w:ascii="Times New Roman" w:hAnsi="Times New Roman" w:eastAsiaTheme="minorEastAsia"/>
          <w:b/>
        </w:rPr>
      </w:pPr>
      <w:bookmarkStart w:id="23" w:name="_Toc25881"/>
      <w:r>
        <w:rPr>
          <w:rFonts w:ascii="Times New Roman" w:hAnsi="Times New Roman" w:eastAsiaTheme="minorEastAsia"/>
          <w:b/>
        </w:rPr>
        <w:t>环境影响因素识别及评价因子筛选</w:t>
      </w:r>
      <w:bookmarkEnd w:id="23"/>
    </w:p>
    <w:p>
      <w:pPr>
        <w:pStyle w:val="4"/>
        <w:rPr>
          <w:rFonts w:eastAsiaTheme="minorEastAsia"/>
        </w:rPr>
      </w:pPr>
      <w:r>
        <w:rPr>
          <w:rFonts w:eastAsiaTheme="minorEastAsia"/>
        </w:rPr>
        <w:t>环境影响因素识别</w:t>
      </w:r>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采用矩阵识别法对拟建项目在施工期和运行期产生的环境影响因素进行识别，识别结果见表2.3-1和表2.3-2。</w:t>
      </w: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表2.3-1  施工期环境影响因素识别矩阵</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592"/>
        <w:gridCol w:w="1069"/>
        <w:gridCol w:w="1268"/>
        <w:gridCol w:w="863"/>
        <w:gridCol w:w="1064"/>
        <w:gridCol w:w="1064"/>
        <w:gridCol w:w="1060"/>
        <w:gridCol w:w="1064"/>
        <w:gridCol w:w="105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912" w:type="pct"/>
            <w:gridSpan w:val="2"/>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kern w:val="0"/>
                <w:sz w:val="24"/>
                <w:szCs w:val="24"/>
              </w:rPr>
            </w:pPr>
            <w:r>
              <w:rPr>
                <w:rFonts w:ascii="Times New Roman" w:hAnsi="Times New Roman" w:eastAsiaTheme="minorEastAsia"/>
                <w:b/>
                <w:color w:val="000000"/>
                <w:kern w:val="0"/>
              </w:rPr>
              <w:t>时段</w:t>
            </w:r>
          </w:p>
        </w:tc>
        <w:tc>
          <w:tcPr>
            <w:tcW w:w="696"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评价因子</w:t>
            </w:r>
          </w:p>
        </w:tc>
        <w:tc>
          <w:tcPr>
            <w:tcW w:w="47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性质</w:t>
            </w:r>
          </w:p>
        </w:tc>
        <w:tc>
          <w:tcPr>
            <w:tcW w:w="58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程度</w:t>
            </w:r>
          </w:p>
        </w:tc>
        <w:tc>
          <w:tcPr>
            <w:tcW w:w="58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时间</w:t>
            </w:r>
          </w:p>
        </w:tc>
        <w:tc>
          <w:tcPr>
            <w:tcW w:w="582"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可能性</w:t>
            </w:r>
          </w:p>
        </w:tc>
        <w:tc>
          <w:tcPr>
            <w:tcW w:w="58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范围</w:t>
            </w:r>
          </w:p>
        </w:tc>
        <w:tc>
          <w:tcPr>
            <w:tcW w:w="58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可逆性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5" w:type="pct"/>
            <w:vMerge w:val="restar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施</w:t>
            </w:r>
          </w:p>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工</w:t>
            </w:r>
          </w:p>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期</w:t>
            </w:r>
          </w:p>
        </w:tc>
        <w:tc>
          <w:tcPr>
            <w:tcW w:w="586" w:type="pct"/>
            <w:vMerge w:val="restar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自然环境</w:t>
            </w:r>
          </w:p>
        </w:tc>
        <w:tc>
          <w:tcPr>
            <w:tcW w:w="696"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地表水</w:t>
            </w:r>
          </w:p>
        </w:tc>
        <w:tc>
          <w:tcPr>
            <w:tcW w:w="47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58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较小</w:t>
            </w:r>
          </w:p>
        </w:tc>
        <w:tc>
          <w:tcPr>
            <w:tcW w:w="58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短</w:t>
            </w:r>
          </w:p>
        </w:tc>
        <w:tc>
          <w:tcPr>
            <w:tcW w:w="582"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较大</w:t>
            </w:r>
          </w:p>
        </w:tc>
        <w:tc>
          <w:tcPr>
            <w:tcW w:w="58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局部</w:t>
            </w:r>
          </w:p>
        </w:tc>
        <w:tc>
          <w:tcPr>
            <w:tcW w:w="58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5"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p>
        </w:tc>
        <w:tc>
          <w:tcPr>
            <w:tcW w:w="586"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p>
        </w:tc>
        <w:tc>
          <w:tcPr>
            <w:tcW w:w="696"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环境空气</w:t>
            </w:r>
          </w:p>
        </w:tc>
        <w:tc>
          <w:tcPr>
            <w:tcW w:w="47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58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较小</w:t>
            </w:r>
          </w:p>
        </w:tc>
        <w:tc>
          <w:tcPr>
            <w:tcW w:w="58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短</w:t>
            </w:r>
          </w:p>
        </w:tc>
        <w:tc>
          <w:tcPr>
            <w:tcW w:w="582"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较大</w:t>
            </w:r>
          </w:p>
        </w:tc>
        <w:tc>
          <w:tcPr>
            <w:tcW w:w="58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局部</w:t>
            </w:r>
          </w:p>
        </w:tc>
        <w:tc>
          <w:tcPr>
            <w:tcW w:w="58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5"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p>
        </w:tc>
        <w:tc>
          <w:tcPr>
            <w:tcW w:w="586"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p>
        </w:tc>
        <w:tc>
          <w:tcPr>
            <w:tcW w:w="696"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声环境</w:t>
            </w:r>
          </w:p>
        </w:tc>
        <w:tc>
          <w:tcPr>
            <w:tcW w:w="47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58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较大</w:t>
            </w:r>
          </w:p>
        </w:tc>
        <w:tc>
          <w:tcPr>
            <w:tcW w:w="58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短</w:t>
            </w:r>
          </w:p>
        </w:tc>
        <w:tc>
          <w:tcPr>
            <w:tcW w:w="582"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较大</w:t>
            </w:r>
          </w:p>
        </w:tc>
        <w:tc>
          <w:tcPr>
            <w:tcW w:w="58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局部</w:t>
            </w:r>
          </w:p>
        </w:tc>
        <w:tc>
          <w:tcPr>
            <w:tcW w:w="58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5"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p>
        </w:tc>
        <w:tc>
          <w:tcPr>
            <w:tcW w:w="586"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p>
        </w:tc>
        <w:tc>
          <w:tcPr>
            <w:tcW w:w="696"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固体废物</w:t>
            </w:r>
          </w:p>
        </w:tc>
        <w:tc>
          <w:tcPr>
            <w:tcW w:w="47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58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较小</w:t>
            </w:r>
          </w:p>
        </w:tc>
        <w:tc>
          <w:tcPr>
            <w:tcW w:w="58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短</w:t>
            </w:r>
          </w:p>
        </w:tc>
        <w:tc>
          <w:tcPr>
            <w:tcW w:w="582"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较大</w:t>
            </w:r>
          </w:p>
        </w:tc>
        <w:tc>
          <w:tcPr>
            <w:tcW w:w="58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局部</w:t>
            </w:r>
          </w:p>
        </w:tc>
        <w:tc>
          <w:tcPr>
            <w:tcW w:w="58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5"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p>
        </w:tc>
        <w:tc>
          <w:tcPr>
            <w:tcW w:w="586"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p>
        </w:tc>
        <w:tc>
          <w:tcPr>
            <w:tcW w:w="696"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生态环境</w:t>
            </w:r>
          </w:p>
        </w:tc>
        <w:tc>
          <w:tcPr>
            <w:tcW w:w="47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58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较小</w:t>
            </w:r>
          </w:p>
        </w:tc>
        <w:tc>
          <w:tcPr>
            <w:tcW w:w="58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短</w:t>
            </w:r>
          </w:p>
        </w:tc>
        <w:tc>
          <w:tcPr>
            <w:tcW w:w="582"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较大</w:t>
            </w:r>
          </w:p>
        </w:tc>
        <w:tc>
          <w:tcPr>
            <w:tcW w:w="58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局部</w:t>
            </w:r>
          </w:p>
        </w:tc>
        <w:tc>
          <w:tcPr>
            <w:tcW w:w="58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25"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p>
        </w:tc>
        <w:tc>
          <w:tcPr>
            <w:tcW w:w="586"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社会环境</w:t>
            </w:r>
          </w:p>
        </w:tc>
        <w:tc>
          <w:tcPr>
            <w:tcW w:w="696"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社会经济</w:t>
            </w:r>
          </w:p>
        </w:tc>
        <w:tc>
          <w:tcPr>
            <w:tcW w:w="47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58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较小</w:t>
            </w:r>
          </w:p>
        </w:tc>
        <w:tc>
          <w:tcPr>
            <w:tcW w:w="58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短</w:t>
            </w:r>
          </w:p>
        </w:tc>
        <w:tc>
          <w:tcPr>
            <w:tcW w:w="582"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较大</w:t>
            </w:r>
          </w:p>
        </w:tc>
        <w:tc>
          <w:tcPr>
            <w:tcW w:w="58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局部</w:t>
            </w:r>
          </w:p>
        </w:tc>
        <w:tc>
          <w:tcPr>
            <w:tcW w:w="580"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可</w:t>
            </w:r>
          </w:p>
        </w:tc>
      </w:tr>
    </w:tbl>
    <w:p>
      <w:pPr>
        <w:pStyle w:val="327"/>
        <w:snapToGrid w:val="0"/>
        <w:spacing w:after="0"/>
        <w:rPr>
          <w:rFonts w:ascii="Times New Roman" w:eastAsiaTheme="minorEastAsia"/>
          <w:color w:val="000000"/>
          <w:sz w:val="21"/>
          <w:szCs w:val="21"/>
        </w:rPr>
      </w:pPr>
      <w:r>
        <w:rPr>
          <w:rFonts w:ascii="Times New Roman" w:eastAsiaTheme="minorEastAsia"/>
          <w:color w:val="000000"/>
          <w:sz w:val="21"/>
          <w:szCs w:val="21"/>
        </w:rPr>
        <w:t>注：“＋”为有利影响，“-” 为不利影响。</w:t>
      </w:r>
    </w:p>
    <w:p>
      <w:pPr>
        <w:pStyle w:val="145"/>
        <w:rPr>
          <w:rFonts w:ascii="Times New Roman" w:hAnsi="Times New Roman" w:cs="Times New Roman" w:eastAsiaTheme="minorEastAsia"/>
        </w:rPr>
      </w:pPr>
    </w:p>
    <w:p>
      <w:pPr>
        <w:tabs>
          <w:tab w:val="left" w:pos="900"/>
        </w:tabs>
        <w:snapToGrid w:val="0"/>
        <w:spacing w:line="276" w:lineRule="auto"/>
        <w:jc w:val="center"/>
        <w:rPr>
          <w:rFonts w:ascii="Times New Roman" w:hAnsi="Times New Roman" w:eastAsiaTheme="minorEastAsia"/>
          <w:kern w:val="0"/>
          <w:sz w:val="24"/>
          <w:szCs w:val="24"/>
        </w:rPr>
      </w:pPr>
      <w:r>
        <w:rPr>
          <w:rFonts w:ascii="Times New Roman" w:hAnsi="Times New Roman" w:eastAsiaTheme="minorEastAsia"/>
          <w:b/>
          <w:color w:val="000000"/>
          <w:sz w:val="24"/>
          <w:szCs w:val="24"/>
        </w:rPr>
        <w:t>表2.3-2  运行期环境影响因素识别矩阵</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37"/>
        <w:gridCol w:w="1145"/>
        <w:gridCol w:w="1214"/>
        <w:gridCol w:w="832"/>
        <w:gridCol w:w="937"/>
        <w:gridCol w:w="950"/>
        <w:gridCol w:w="1227"/>
        <w:gridCol w:w="926"/>
        <w:gridCol w:w="123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1" w:hRule="atLeast"/>
          <w:tblHeader/>
          <w:jc w:val="center"/>
        </w:trPr>
        <w:tc>
          <w:tcPr>
            <w:tcW w:w="979" w:type="pct"/>
            <w:gridSpan w:val="2"/>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时段</w:t>
            </w:r>
          </w:p>
        </w:tc>
        <w:tc>
          <w:tcPr>
            <w:tcW w:w="66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评价因子</w:t>
            </w:r>
          </w:p>
        </w:tc>
        <w:tc>
          <w:tcPr>
            <w:tcW w:w="45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性质</w:t>
            </w:r>
          </w:p>
        </w:tc>
        <w:tc>
          <w:tcPr>
            <w:tcW w:w="515"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程度</w:t>
            </w:r>
          </w:p>
        </w:tc>
        <w:tc>
          <w:tcPr>
            <w:tcW w:w="522"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时间</w:t>
            </w:r>
          </w:p>
        </w:tc>
        <w:tc>
          <w:tcPr>
            <w:tcW w:w="67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可能性</w:t>
            </w:r>
          </w:p>
        </w:tc>
        <w:tc>
          <w:tcPr>
            <w:tcW w:w="509"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范围</w:t>
            </w:r>
          </w:p>
        </w:tc>
        <w:tc>
          <w:tcPr>
            <w:tcW w:w="67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可逆性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350" w:type="pct"/>
            <w:vMerge w:val="restar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运行期</w:t>
            </w:r>
          </w:p>
        </w:tc>
        <w:tc>
          <w:tcPr>
            <w:tcW w:w="629" w:type="pct"/>
            <w:vMerge w:val="restar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自然环境</w:t>
            </w:r>
          </w:p>
        </w:tc>
        <w:tc>
          <w:tcPr>
            <w:tcW w:w="66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环境空气</w:t>
            </w:r>
          </w:p>
        </w:tc>
        <w:tc>
          <w:tcPr>
            <w:tcW w:w="45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515"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较小</w:t>
            </w:r>
          </w:p>
        </w:tc>
        <w:tc>
          <w:tcPr>
            <w:tcW w:w="522"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长期</w:t>
            </w:r>
          </w:p>
        </w:tc>
        <w:tc>
          <w:tcPr>
            <w:tcW w:w="67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一般</w:t>
            </w:r>
          </w:p>
        </w:tc>
        <w:tc>
          <w:tcPr>
            <w:tcW w:w="509"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局部</w:t>
            </w:r>
          </w:p>
        </w:tc>
        <w:tc>
          <w:tcPr>
            <w:tcW w:w="67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350"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p>
        </w:tc>
        <w:tc>
          <w:tcPr>
            <w:tcW w:w="629"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p>
        </w:tc>
        <w:tc>
          <w:tcPr>
            <w:tcW w:w="66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地表水</w:t>
            </w:r>
          </w:p>
        </w:tc>
        <w:tc>
          <w:tcPr>
            <w:tcW w:w="45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515"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较小</w:t>
            </w:r>
          </w:p>
        </w:tc>
        <w:tc>
          <w:tcPr>
            <w:tcW w:w="522"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长期</w:t>
            </w:r>
          </w:p>
        </w:tc>
        <w:tc>
          <w:tcPr>
            <w:tcW w:w="67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一般</w:t>
            </w:r>
          </w:p>
        </w:tc>
        <w:tc>
          <w:tcPr>
            <w:tcW w:w="509"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局部</w:t>
            </w:r>
          </w:p>
        </w:tc>
        <w:tc>
          <w:tcPr>
            <w:tcW w:w="67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350"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p>
        </w:tc>
        <w:tc>
          <w:tcPr>
            <w:tcW w:w="629"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p>
        </w:tc>
        <w:tc>
          <w:tcPr>
            <w:tcW w:w="66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声环境</w:t>
            </w:r>
          </w:p>
        </w:tc>
        <w:tc>
          <w:tcPr>
            <w:tcW w:w="45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515"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较小</w:t>
            </w:r>
          </w:p>
        </w:tc>
        <w:tc>
          <w:tcPr>
            <w:tcW w:w="522"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长期</w:t>
            </w:r>
          </w:p>
        </w:tc>
        <w:tc>
          <w:tcPr>
            <w:tcW w:w="67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一般</w:t>
            </w:r>
          </w:p>
        </w:tc>
        <w:tc>
          <w:tcPr>
            <w:tcW w:w="509"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局部</w:t>
            </w:r>
          </w:p>
        </w:tc>
        <w:tc>
          <w:tcPr>
            <w:tcW w:w="67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350"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629"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66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固体废物</w:t>
            </w:r>
          </w:p>
        </w:tc>
        <w:tc>
          <w:tcPr>
            <w:tcW w:w="45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515"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较小</w:t>
            </w:r>
          </w:p>
        </w:tc>
        <w:tc>
          <w:tcPr>
            <w:tcW w:w="522"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长期</w:t>
            </w:r>
          </w:p>
        </w:tc>
        <w:tc>
          <w:tcPr>
            <w:tcW w:w="67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一般</w:t>
            </w:r>
          </w:p>
        </w:tc>
        <w:tc>
          <w:tcPr>
            <w:tcW w:w="509"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局部</w:t>
            </w:r>
          </w:p>
        </w:tc>
        <w:tc>
          <w:tcPr>
            <w:tcW w:w="67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350"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629"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66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地下水</w:t>
            </w:r>
          </w:p>
        </w:tc>
        <w:tc>
          <w:tcPr>
            <w:tcW w:w="45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515"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较小</w:t>
            </w:r>
          </w:p>
        </w:tc>
        <w:tc>
          <w:tcPr>
            <w:tcW w:w="522"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长期</w:t>
            </w:r>
          </w:p>
        </w:tc>
        <w:tc>
          <w:tcPr>
            <w:tcW w:w="67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较小</w:t>
            </w:r>
          </w:p>
        </w:tc>
        <w:tc>
          <w:tcPr>
            <w:tcW w:w="509"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局部</w:t>
            </w:r>
          </w:p>
        </w:tc>
        <w:tc>
          <w:tcPr>
            <w:tcW w:w="67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350"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629"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66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生态环境</w:t>
            </w:r>
          </w:p>
        </w:tc>
        <w:tc>
          <w:tcPr>
            <w:tcW w:w="45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515"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较小</w:t>
            </w:r>
          </w:p>
        </w:tc>
        <w:tc>
          <w:tcPr>
            <w:tcW w:w="522"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长期</w:t>
            </w:r>
          </w:p>
        </w:tc>
        <w:tc>
          <w:tcPr>
            <w:tcW w:w="67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一般</w:t>
            </w:r>
          </w:p>
        </w:tc>
        <w:tc>
          <w:tcPr>
            <w:tcW w:w="509"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局部</w:t>
            </w:r>
          </w:p>
        </w:tc>
        <w:tc>
          <w:tcPr>
            <w:tcW w:w="67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350"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629" w:type="pct"/>
            <w:vMerge w:val="restar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r>
              <w:rPr>
                <w:rFonts w:ascii="Times New Roman" w:hAnsi="Times New Roman" w:eastAsiaTheme="minorEastAsia"/>
                <w:color w:val="000000"/>
                <w:kern w:val="0"/>
              </w:rPr>
              <w:t>社会环境</w:t>
            </w:r>
          </w:p>
        </w:tc>
        <w:tc>
          <w:tcPr>
            <w:tcW w:w="66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社会经济</w:t>
            </w:r>
          </w:p>
        </w:tc>
        <w:tc>
          <w:tcPr>
            <w:tcW w:w="45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515"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较大</w:t>
            </w:r>
          </w:p>
        </w:tc>
        <w:tc>
          <w:tcPr>
            <w:tcW w:w="522"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长期</w:t>
            </w:r>
          </w:p>
        </w:tc>
        <w:tc>
          <w:tcPr>
            <w:tcW w:w="67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较大</w:t>
            </w:r>
          </w:p>
        </w:tc>
        <w:tc>
          <w:tcPr>
            <w:tcW w:w="509"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局部</w:t>
            </w:r>
          </w:p>
        </w:tc>
        <w:tc>
          <w:tcPr>
            <w:tcW w:w="67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350"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629"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66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环境风险</w:t>
            </w:r>
          </w:p>
        </w:tc>
        <w:tc>
          <w:tcPr>
            <w:tcW w:w="45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515"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较小</w:t>
            </w:r>
          </w:p>
        </w:tc>
        <w:tc>
          <w:tcPr>
            <w:tcW w:w="522"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长期</w:t>
            </w:r>
          </w:p>
        </w:tc>
        <w:tc>
          <w:tcPr>
            <w:tcW w:w="67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一般</w:t>
            </w:r>
          </w:p>
        </w:tc>
        <w:tc>
          <w:tcPr>
            <w:tcW w:w="509"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局部</w:t>
            </w:r>
          </w:p>
        </w:tc>
        <w:tc>
          <w:tcPr>
            <w:tcW w:w="67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可</w:t>
            </w:r>
          </w:p>
        </w:tc>
      </w:tr>
    </w:tbl>
    <w:p>
      <w:pPr>
        <w:autoSpaceDE w:val="0"/>
        <w:autoSpaceDN w:val="0"/>
        <w:adjustRightInd w:val="0"/>
        <w:jc w:val="left"/>
        <w:rPr>
          <w:rFonts w:ascii="Times New Roman" w:hAnsi="Times New Roman" w:eastAsiaTheme="minorEastAsia"/>
          <w:color w:val="000000"/>
          <w:kern w:val="0"/>
        </w:rPr>
      </w:pPr>
      <w:r>
        <w:rPr>
          <w:rFonts w:ascii="Times New Roman" w:hAnsi="Times New Roman" w:eastAsiaTheme="minorEastAsia"/>
          <w:color w:val="000000"/>
          <w:kern w:val="0"/>
        </w:rPr>
        <w:t>注：“+” 为有利影响，“-” 为不利影响。</w:t>
      </w:r>
    </w:p>
    <w:p>
      <w:pPr>
        <w:autoSpaceDE w:val="0"/>
        <w:autoSpaceDN w:val="0"/>
        <w:adjustRightInd w:val="0"/>
        <w:jc w:val="left"/>
        <w:rPr>
          <w:rFonts w:ascii="Times New Roman" w:hAnsi="Times New Roman" w:eastAsiaTheme="minorEastAsia"/>
          <w:kern w:val="0"/>
          <w:sz w:val="24"/>
          <w:szCs w:val="24"/>
        </w:rPr>
      </w:pPr>
    </w:p>
    <w:p>
      <w:pPr>
        <w:pStyle w:val="4"/>
        <w:rPr>
          <w:rFonts w:eastAsiaTheme="minorEastAsia"/>
        </w:rPr>
      </w:pPr>
      <w:r>
        <w:rPr>
          <w:rFonts w:eastAsiaTheme="minorEastAsia"/>
        </w:rPr>
        <w:t>评价因子筛选</w:t>
      </w:r>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根据工程分析、环境影响识别、项目所在地区各环境要素的特征以及存在的环境问题，确定的评价因子见下表。</w:t>
      </w:r>
    </w:p>
    <w:p>
      <w:pPr>
        <w:tabs>
          <w:tab w:val="left" w:pos="900"/>
        </w:tabs>
        <w:snapToGrid w:val="0"/>
        <w:spacing w:line="276" w:lineRule="auto"/>
        <w:jc w:val="center"/>
        <w:rPr>
          <w:rFonts w:ascii="Times New Roman" w:hAnsi="Times New Roman" w:eastAsiaTheme="minorEastAsia"/>
          <w:kern w:val="0"/>
          <w:sz w:val="24"/>
          <w:szCs w:val="24"/>
        </w:rPr>
      </w:pPr>
      <w:r>
        <w:rPr>
          <w:rFonts w:ascii="Times New Roman" w:hAnsi="Times New Roman" w:eastAsiaTheme="minorEastAsia"/>
          <w:b/>
          <w:color w:val="000000"/>
          <w:sz w:val="24"/>
          <w:szCs w:val="24"/>
        </w:rPr>
        <w:t>表2.3-3  评价因子一览表</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34"/>
        <w:gridCol w:w="1139"/>
        <w:gridCol w:w="1427"/>
        <w:gridCol w:w="540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623"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类别</w:t>
            </w:r>
          </w:p>
        </w:tc>
        <w:tc>
          <w:tcPr>
            <w:tcW w:w="1410" w:type="pct"/>
            <w:gridSpan w:val="2"/>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要素</w:t>
            </w:r>
          </w:p>
        </w:tc>
        <w:tc>
          <w:tcPr>
            <w:tcW w:w="296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评价因子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vMerge w:val="restar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环境质量现状评价</w:t>
            </w:r>
          </w:p>
        </w:tc>
        <w:tc>
          <w:tcPr>
            <w:tcW w:w="626" w:type="pct"/>
            <w:tcMar>
              <w:top w:w="0" w:type="dxa"/>
              <w:left w:w="0" w:type="dxa"/>
              <w:bottom w:w="0" w:type="dxa"/>
              <w:right w:w="0" w:type="dxa"/>
            </w:tcMar>
            <w:vAlign w:val="center"/>
          </w:tcPr>
          <w:p>
            <w:pPr>
              <w:autoSpaceDE w:val="0"/>
              <w:autoSpaceDN w:val="0"/>
              <w:adjustRightInd w:val="0"/>
              <w:snapToGrid w:val="0"/>
              <w:jc w:val="left"/>
              <w:rPr>
                <w:rFonts w:ascii="Times New Roman" w:hAnsi="Times New Roman" w:eastAsiaTheme="minorEastAsia"/>
                <w:color w:val="000000"/>
                <w:kern w:val="0"/>
              </w:rPr>
            </w:pPr>
            <w:r>
              <w:rPr>
                <w:rFonts w:ascii="Times New Roman" w:hAnsi="Times New Roman" w:eastAsiaTheme="minorEastAsia"/>
                <w:color w:val="000000"/>
                <w:kern w:val="0"/>
              </w:rPr>
              <w:t>水环境质量现状</w:t>
            </w:r>
          </w:p>
        </w:tc>
        <w:tc>
          <w:tcPr>
            <w:tcW w:w="784"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地表水</w:t>
            </w:r>
          </w:p>
        </w:tc>
        <w:tc>
          <w:tcPr>
            <w:tcW w:w="2967" w:type="pct"/>
            <w:tcMar>
              <w:top w:w="0" w:type="dxa"/>
              <w:left w:w="0" w:type="dxa"/>
              <w:bottom w:w="0" w:type="dxa"/>
              <w:right w:w="0" w:type="dxa"/>
            </w:tcMar>
            <w:vAlign w:val="center"/>
          </w:tcPr>
          <w:p>
            <w:pPr>
              <w:autoSpaceDE w:val="0"/>
              <w:autoSpaceDN w:val="0"/>
              <w:adjustRightInd w:val="0"/>
              <w:snapToGrid w:val="0"/>
              <w:rPr>
                <w:rFonts w:ascii="Times New Roman" w:hAnsi="Times New Roman" w:eastAsiaTheme="minorEastAsia"/>
                <w:color w:val="000000"/>
                <w:kern w:val="0"/>
              </w:rPr>
            </w:pPr>
            <w:r>
              <w:rPr>
                <w:rFonts w:ascii="Times New Roman" w:hAnsi="Times New Roman" w:eastAsiaTheme="minorEastAsia"/>
                <w:color w:val="000000"/>
                <w:kern w:val="0"/>
              </w:rPr>
              <w:t>pH（无量纲）、溶解氧（DO）、</w:t>
            </w:r>
            <w:r>
              <w:rPr>
                <w:rFonts w:ascii="Times New Roman" w:hAnsi="Times New Roman" w:eastAsiaTheme="minorEastAsia"/>
                <w:color w:val="000000"/>
              </w:rPr>
              <w:t>化学需氧量（COD）、五日生化需氧量（BOD</w:t>
            </w:r>
            <w:r>
              <w:rPr>
                <w:rFonts w:ascii="Times New Roman" w:hAnsi="Times New Roman" w:eastAsiaTheme="minorEastAsia"/>
                <w:color w:val="000000"/>
                <w:vertAlign w:val="subscript"/>
              </w:rPr>
              <w:t>5</w:t>
            </w:r>
            <w:r>
              <w:rPr>
                <w:rFonts w:ascii="Times New Roman" w:hAnsi="Times New Roman" w:eastAsiaTheme="minorEastAsia"/>
                <w:color w:val="000000"/>
              </w:rPr>
              <w:t>）、</w:t>
            </w:r>
            <w:r>
              <w:rPr>
                <w:rFonts w:ascii="Times New Roman" w:hAnsi="Times New Roman" w:eastAsiaTheme="minorEastAsia"/>
                <w:color w:val="000000"/>
                <w:kern w:val="0"/>
              </w:rPr>
              <w:t>氨氮（NH</w:t>
            </w:r>
            <w:r>
              <w:rPr>
                <w:rFonts w:ascii="Times New Roman" w:hAnsi="Times New Roman" w:eastAsiaTheme="minorEastAsia"/>
                <w:color w:val="000000"/>
                <w:kern w:val="0"/>
                <w:vertAlign w:val="subscript"/>
              </w:rPr>
              <w:t>3</w:t>
            </w:r>
            <w:r>
              <w:rPr>
                <w:rFonts w:ascii="Times New Roman" w:hAnsi="Times New Roman" w:eastAsiaTheme="minorEastAsia"/>
                <w:color w:val="000000"/>
                <w:kern w:val="0"/>
              </w:rPr>
              <w:t>-N）、总磷（以P计）、总氮（以N计）</w:t>
            </w:r>
            <w:r>
              <w:rPr>
                <w:rFonts w:ascii="Times New Roman" w:hAnsi="Times New Roman" w:eastAsiaTheme="minorEastAsia"/>
                <w:color w:val="000000"/>
              </w:rPr>
              <w:t>、</w:t>
            </w:r>
            <w:r>
              <w:rPr>
                <w:rFonts w:ascii="Times New Roman" w:hAnsi="Times New Roman" w:eastAsiaTheme="minorEastAsia"/>
                <w:color w:val="000000"/>
                <w:kern w:val="0"/>
              </w:rPr>
              <w:t>石油类、硫化物</w:t>
            </w:r>
            <w:r>
              <w:rPr>
                <w:rFonts w:ascii="Times New Roman" w:hAnsi="Times New Roman" w:eastAsiaTheme="minorEastAsia"/>
                <w:color w:val="000000"/>
              </w:rPr>
              <w:t>和悬浮物（SS）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p>
        </w:tc>
        <w:tc>
          <w:tcPr>
            <w:tcW w:w="1410" w:type="pct"/>
            <w:gridSpan w:val="2"/>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环境空气质量现状</w:t>
            </w:r>
          </w:p>
        </w:tc>
        <w:tc>
          <w:tcPr>
            <w:tcW w:w="296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SO</w:t>
            </w:r>
            <w:r>
              <w:rPr>
                <w:rFonts w:ascii="Times New Roman" w:hAnsi="Times New Roman" w:eastAsiaTheme="minorEastAsia"/>
                <w:color w:val="000000"/>
                <w:kern w:val="0"/>
                <w:sz w:val="13"/>
                <w:szCs w:val="13"/>
              </w:rPr>
              <w:t>2</w:t>
            </w:r>
            <w:r>
              <w:rPr>
                <w:rFonts w:ascii="Times New Roman" w:hAnsi="Times New Roman" w:eastAsiaTheme="minorEastAsia"/>
                <w:color w:val="000000"/>
                <w:kern w:val="0"/>
              </w:rPr>
              <w:t>、NO</w:t>
            </w:r>
            <w:r>
              <w:rPr>
                <w:rFonts w:ascii="Times New Roman" w:hAnsi="Times New Roman" w:eastAsiaTheme="minorEastAsia"/>
                <w:color w:val="000000"/>
                <w:kern w:val="0"/>
                <w:sz w:val="13"/>
                <w:szCs w:val="13"/>
              </w:rPr>
              <w:t>2</w:t>
            </w:r>
            <w:r>
              <w:rPr>
                <w:rFonts w:ascii="Times New Roman" w:hAnsi="Times New Roman" w:eastAsiaTheme="minorEastAsia"/>
                <w:color w:val="000000"/>
                <w:kern w:val="0"/>
              </w:rPr>
              <w:t>、PM</w:t>
            </w:r>
            <w:r>
              <w:rPr>
                <w:rFonts w:ascii="Times New Roman" w:hAnsi="Times New Roman" w:eastAsiaTheme="minorEastAsia"/>
                <w:color w:val="000000"/>
                <w:kern w:val="0"/>
                <w:vertAlign w:val="subscript"/>
              </w:rPr>
              <w:t>10</w:t>
            </w:r>
            <w:r>
              <w:rPr>
                <w:rFonts w:ascii="Times New Roman" w:hAnsi="Times New Roman" w:eastAsiaTheme="minorEastAsia"/>
                <w:color w:val="000000"/>
                <w:kern w:val="0"/>
              </w:rPr>
              <w:t>、PM</w:t>
            </w:r>
            <w:r>
              <w:rPr>
                <w:rFonts w:ascii="Times New Roman" w:hAnsi="Times New Roman" w:eastAsiaTheme="minorEastAsia"/>
                <w:color w:val="000000"/>
                <w:kern w:val="0"/>
                <w:sz w:val="13"/>
                <w:szCs w:val="13"/>
              </w:rPr>
              <w:t>2.5</w:t>
            </w:r>
            <w:r>
              <w:rPr>
                <w:rFonts w:ascii="Times New Roman" w:hAnsi="Times New Roman" w:eastAsiaTheme="minorEastAsia"/>
                <w:color w:val="000000"/>
                <w:kern w:val="0"/>
              </w:rPr>
              <w:t>、CO、O</w:t>
            </w:r>
            <w:r>
              <w:rPr>
                <w:rFonts w:ascii="Times New Roman" w:hAnsi="Times New Roman" w:eastAsiaTheme="minorEastAsia"/>
                <w:color w:val="000000"/>
                <w:kern w:val="0"/>
                <w:vertAlign w:val="subscript"/>
              </w:rPr>
              <w:t>3</w:t>
            </w:r>
            <w:r>
              <w:rPr>
                <w:rFonts w:ascii="Times New Roman" w:hAnsi="Times New Roman" w:eastAsiaTheme="minorEastAsia"/>
                <w:color w:val="000000"/>
                <w:kern w:val="0"/>
              </w:rPr>
              <w:t>、TSP</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p>
        </w:tc>
        <w:tc>
          <w:tcPr>
            <w:tcW w:w="1410" w:type="pct"/>
            <w:gridSpan w:val="2"/>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区域环境噪声质量现状</w:t>
            </w:r>
          </w:p>
        </w:tc>
        <w:tc>
          <w:tcPr>
            <w:tcW w:w="296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等效连续A声级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p>
        </w:tc>
        <w:tc>
          <w:tcPr>
            <w:tcW w:w="1410" w:type="pct"/>
            <w:gridSpan w:val="2"/>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底泥环境质量现状</w:t>
            </w:r>
          </w:p>
        </w:tc>
        <w:tc>
          <w:tcPr>
            <w:tcW w:w="2967" w:type="pct"/>
            <w:tcMar>
              <w:top w:w="0" w:type="dxa"/>
              <w:left w:w="0" w:type="dxa"/>
              <w:bottom w:w="0" w:type="dxa"/>
              <w:right w:w="0" w:type="dxa"/>
            </w:tcMar>
            <w:vAlign w:val="center"/>
          </w:tcPr>
          <w:p>
            <w:pPr>
              <w:autoSpaceDE w:val="0"/>
              <w:autoSpaceDN w:val="0"/>
              <w:adjustRightInd w:val="0"/>
              <w:snapToGrid w:val="0"/>
              <w:rPr>
                <w:rFonts w:ascii="Times New Roman" w:hAnsi="Times New Roman" w:eastAsiaTheme="minorEastAsia"/>
                <w:color w:val="000000"/>
                <w:kern w:val="0"/>
              </w:rPr>
            </w:pPr>
            <w:r>
              <w:rPr>
                <w:rFonts w:ascii="Times New Roman" w:hAnsi="Times New Roman" w:eastAsiaTheme="minorEastAsia"/>
                <w:color w:val="000000"/>
                <w:kern w:val="0"/>
              </w:rPr>
              <w:t>pH值（无量纲）、砷、镉、铬、铜、铅、汞、锌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p>
        </w:tc>
        <w:tc>
          <w:tcPr>
            <w:tcW w:w="1410" w:type="pct"/>
            <w:gridSpan w:val="2"/>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生态环境质量现状</w:t>
            </w:r>
          </w:p>
        </w:tc>
        <w:tc>
          <w:tcPr>
            <w:tcW w:w="296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水生生态、渔业资源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vMerge w:val="restar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污染源评价</w:t>
            </w:r>
          </w:p>
        </w:tc>
        <w:tc>
          <w:tcPr>
            <w:tcW w:w="1410" w:type="pct"/>
            <w:gridSpan w:val="2"/>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水污染源</w:t>
            </w:r>
          </w:p>
        </w:tc>
        <w:tc>
          <w:tcPr>
            <w:tcW w:w="2967" w:type="pct"/>
            <w:tcMar>
              <w:top w:w="0" w:type="dxa"/>
              <w:left w:w="0" w:type="dxa"/>
              <w:bottom w:w="0" w:type="dxa"/>
              <w:right w:w="0" w:type="dxa"/>
            </w:tcMar>
            <w:vAlign w:val="center"/>
          </w:tcPr>
          <w:p>
            <w:pPr>
              <w:autoSpaceDE w:val="0"/>
              <w:autoSpaceDN w:val="0"/>
              <w:adjustRightInd w:val="0"/>
              <w:snapToGrid w:val="0"/>
              <w:rPr>
                <w:rFonts w:ascii="Times New Roman" w:hAnsi="Times New Roman" w:eastAsiaTheme="minorEastAsia"/>
                <w:color w:val="000000"/>
                <w:kern w:val="0"/>
              </w:rPr>
            </w:pPr>
            <w:r>
              <w:rPr>
                <w:rFonts w:ascii="Times New Roman" w:hAnsi="Times New Roman" w:eastAsiaTheme="minorEastAsia"/>
                <w:color w:val="000000"/>
                <w:kern w:val="0"/>
              </w:rPr>
              <w:t>pH值（无量纲）、</w:t>
            </w:r>
            <w:r>
              <w:rPr>
                <w:rFonts w:ascii="Times New Roman" w:hAnsi="Times New Roman" w:eastAsiaTheme="minorEastAsia"/>
                <w:color w:val="000000"/>
              </w:rPr>
              <w:t>化学需氧量（COD）</w:t>
            </w:r>
            <w:r>
              <w:rPr>
                <w:rFonts w:ascii="Times New Roman" w:hAnsi="Times New Roman" w:eastAsiaTheme="minorEastAsia"/>
                <w:color w:val="000000"/>
                <w:kern w:val="0"/>
              </w:rPr>
              <w:t>、</w:t>
            </w:r>
            <w:r>
              <w:rPr>
                <w:rFonts w:ascii="Times New Roman" w:hAnsi="Times New Roman" w:eastAsiaTheme="minorEastAsia"/>
                <w:color w:val="000000"/>
              </w:rPr>
              <w:t>五日生化需氧量（BOD</w:t>
            </w:r>
            <w:r>
              <w:rPr>
                <w:rFonts w:ascii="Times New Roman" w:hAnsi="Times New Roman" w:eastAsiaTheme="minorEastAsia"/>
                <w:color w:val="000000"/>
                <w:vertAlign w:val="subscript"/>
              </w:rPr>
              <w:t>5</w:t>
            </w:r>
            <w:r>
              <w:rPr>
                <w:rFonts w:ascii="Times New Roman" w:hAnsi="Times New Roman" w:eastAsiaTheme="minorEastAsia"/>
                <w:color w:val="000000"/>
              </w:rPr>
              <w:t>）、</w:t>
            </w:r>
            <w:r>
              <w:rPr>
                <w:rFonts w:ascii="Times New Roman" w:hAnsi="Times New Roman" w:eastAsiaTheme="minorEastAsia"/>
                <w:color w:val="000000"/>
                <w:kern w:val="0"/>
              </w:rPr>
              <w:t>氨氮（NH</w:t>
            </w:r>
            <w:r>
              <w:rPr>
                <w:rFonts w:ascii="Times New Roman" w:hAnsi="Times New Roman" w:eastAsiaTheme="minorEastAsia"/>
                <w:color w:val="000000"/>
                <w:kern w:val="0"/>
                <w:vertAlign w:val="subscript"/>
              </w:rPr>
              <w:t>3</w:t>
            </w:r>
            <w:r>
              <w:rPr>
                <w:rFonts w:ascii="Times New Roman" w:hAnsi="Times New Roman" w:eastAsiaTheme="minorEastAsia"/>
                <w:color w:val="000000"/>
                <w:kern w:val="0"/>
              </w:rPr>
              <w:t>-N）、</w:t>
            </w:r>
            <w:r>
              <w:rPr>
                <w:rFonts w:ascii="Times New Roman" w:hAnsi="Times New Roman" w:eastAsiaTheme="minorEastAsia"/>
                <w:color w:val="000000"/>
              </w:rPr>
              <w:t>悬浮物（SS）</w:t>
            </w:r>
            <w:r>
              <w:rPr>
                <w:rFonts w:ascii="Times New Roman" w:hAnsi="Times New Roman" w:eastAsiaTheme="minorEastAsia"/>
                <w:color w:val="000000"/>
                <w:kern w:val="0"/>
              </w:rPr>
              <w:t>、总磷（以P计）、石油类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p>
        </w:tc>
        <w:tc>
          <w:tcPr>
            <w:tcW w:w="1410" w:type="pct"/>
            <w:gridSpan w:val="2"/>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大气污染源</w:t>
            </w:r>
          </w:p>
        </w:tc>
        <w:tc>
          <w:tcPr>
            <w:tcW w:w="2967" w:type="pct"/>
            <w:tcMar>
              <w:top w:w="0" w:type="dxa"/>
              <w:left w:w="0" w:type="dxa"/>
              <w:bottom w:w="0" w:type="dxa"/>
              <w:right w:w="0" w:type="dxa"/>
            </w:tcMar>
            <w:vAlign w:val="center"/>
          </w:tcPr>
          <w:p>
            <w:pPr>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TSP、非甲烷总烃、SO</w:t>
            </w:r>
            <w:r>
              <w:rPr>
                <w:rFonts w:ascii="Times New Roman" w:hAnsi="Times New Roman" w:eastAsiaTheme="minorEastAsia"/>
                <w:color w:val="000000" w:themeColor="text1"/>
                <w:kern w:val="0"/>
                <w:vertAlign w:val="subscript"/>
                <w14:textFill>
                  <w14:solidFill>
                    <w14:schemeClr w14:val="tx1"/>
                  </w14:solidFill>
                </w14:textFill>
              </w:rPr>
              <w:t>2</w:t>
            </w:r>
            <w:r>
              <w:rPr>
                <w:rFonts w:ascii="Times New Roman" w:hAnsi="Times New Roman" w:eastAsiaTheme="minorEastAsia"/>
                <w:color w:val="000000" w:themeColor="text1"/>
                <w:kern w:val="0"/>
                <w14:textFill>
                  <w14:solidFill>
                    <w14:schemeClr w14:val="tx1"/>
                  </w14:solidFill>
                </w14:textFill>
              </w:rPr>
              <w:t>、CO、NOx</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p>
        </w:tc>
        <w:tc>
          <w:tcPr>
            <w:tcW w:w="1410" w:type="pct"/>
            <w:gridSpan w:val="2"/>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厂界噪声</w:t>
            </w:r>
          </w:p>
        </w:tc>
        <w:tc>
          <w:tcPr>
            <w:tcW w:w="296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等效连续A声级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p>
        </w:tc>
        <w:tc>
          <w:tcPr>
            <w:tcW w:w="1410" w:type="pct"/>
            <w:gridSpan w:val="2"/>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固体废物</w:t>
            </w:r>
          </w:p>
        </w:tc>
        <w:tc>
          <w:tcPr>
            <w:tcW w:w="296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一般工业固废、危险废物、生活垃圾等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vMerge w:val="restar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环境影响预测与评价</w:t>
            </w:r>
          </w:p>
        </w:tc>
        <w:tc>
          <w:tcPr>
            <w:tcW w:w="1410" w:type="pct"/>
            <w:gridSpan w:val="2"/>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水环境影响预测及评价</w:t>
            </w:r>
          </w:p>
        </w:tc>
        <w:tc>
          <w:tcPr>
            <w:tcW w:w="296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COD、SS、NH</w:t>
            </w:r>
            <w:r>
              <w:rPr>
                <w:rFonts w:ascii="Times New Roman" w:hAnsi="Times New Roman" w:eastAsiaTheme="minorEastAsia"/>
                <w:color w:val="000000" w:themeColor="text1"/>
                <w:kern w:val="0"/>
                <w:sz w:val="13"/>
                <w:szCs w:val="13"/>
                <w14:textFill>
                  <w14:solidFill>
                    <w14:schemeClr w14:val="tx1"/>
                  </w14:solidFill>
                </w14:textFill>
              </w:rPr>
              <w:t>3</w:t>
            </w:r>
            <w:r>
              <w:rPr>
                <w:rFonts w:ascii="Times New Roman" w:hAnsi="Times New Roman" w:eastAsiaTheme="minorEastAsia"/>
                <w:color w:val="000000" w:themeColor="text1"/>
                <w:kern w:val="0"/>
                <w14:textFill>
                  <w14:solidFill>
                    <w14:schemeClr w14:val="tx1"/>
                  </w14:solidFill>
                </w14:textFill>
              </w:rPr>
              <w:t>-N、石油类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p>
        </w:tc>
        <w:tc>
          <w:tcPr>
            <w:tcW w:w="1410" w:type="pct"/>
            <w:gridSpan w:val="2"/>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大气环境影响预测及评价</w:t>
            </w:r>
          </w:p>
        </w:tc>
        <w:tc>
          <w:tcPr>
            <w:tcW w:w="296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TSP</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p>
        </w:tc>
        <w:tc>
          <w:tcPr>
            <w:tcW w:w="1410" w:type="pct"/>
            <w:gridSpan w:val="2"/>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噪声环境影响预测及评价</w:t>
            </w:r>
          </w:p>
        </w:tc>
        <w:tc>
          <w:tcPr>
            <w:tcW w:w="296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等效连续A声级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p>
        </w:tc>
        <w:tc>
          <w:tcPr>
            <w:tcW w:w="1410" w:type="pct"/>
            <w:gridSpan w:val="2"/>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固体废物环境影响分析</w:t>
            </w:r>
          </w:p>
        </w:tc>
        <w:tc>
          <w:tcPr>
            <w:tcW w:w="296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一般工业固废、危险废物、生活垃圾等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p>
        </w:tc>
        <w:tc>
          <w:tcPr>
            <w:tcW w:w="1410" w:type="pct"/>
            <w:gridSpan w:val="2"/>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生态环境影响分析</w:t>
            </w:r>
          </w:p>
        </w:tc>
        <w:tc>
          <w:tcPr>
            <w:tcW w:w="296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水生生态、渔业资源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3"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p>
        </w:tc>
        <w:tc>
          <w:tcPr>
            <w:tcW w:w="1410" w:type="pct"/>
            <w:gridSpan w:val="2"/>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事故风险</w:t>
            </w:r>
          </w:p>
        </w:tc>
        <w:tc>
          <w:tcPr>
            <w:tcW w:w="2967"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船舶溢油等</w:t>
            </w:r>
          </w:p>
        </w:tc>
      </w:tr>
    </w:tbl>
    <w:p>
      <w:pPr>
        <w:autoSpaceDE w:val="0"/>
        <w:autoSpaceDN w:val="0"/>
        <w:adjustRightInd w:val="0"/>
        <w:jc w:val="left"/>
        <w:rPr>
          <w:rFonts w:ascii="Times New Roman" w:hAnsi="Times New Roman" w:eastAsiaTheme="minorEastAsia"/>
          <w:kern w:val="0"/>
          <w:sz w:val="24"/>
          <w:szCs w:val="24"/>
        </w:rPr>
      </w:pPr>
    </w:p>
    <w:p>
      <w:pPr>
        <w:pStyle w:val="3"/>
        <w:rPr>
          <w:rFonts w:ascii="Times New Roman" w:hAnsi="Times New Roman" w:eastAsiaTheme="minorEastAsia"/>
          <w:b/>
        </w:rPr>
      </w:pPr>
      <w:bookmarkStart w:id="24" w:name="_Toc9789"/>
      <w:r>
        <w:rPr>
          <w:rFonts w:ascii="Times New Roman" w:hAnsi="Times New Roman" w:eastAsiaTheme="minorEastAsia"/>
          <w:b/>
        </w:rPr>
        <w:t>评价工作重点</w:t>
      </w:r>
      <w:bookmarkEnd w:id="24"/>
    </w:p>
    <w:p>
      <w:pPr>
        <w:tabs>
          <w:tab w:val="left" w:pos="900"/>
        </w:tabs>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根据初步工程分析和项目所在地环境特征，本次评价重点为与相关规划的符合性、工程分析、环境现状及环境影响预测评价、环境风险评价、污染防治措施及其可行性论证。</w:t>
      </w:r>
    </w:p>
    <w:p>
      <w:pPr>
        <w:pStyle w:val="3"/>
        <w:rPr>
          <w:rFonts w:ascii="Times New Roman" w:hAnsi="Times New Roman" w:eastAsiaTheme="minorEastAsia"/>
          <w:b/>
        </w:rPr>
      </w:pPr>
      <w:bookmarkStart w:id="25" w:name="_Toc19302"/>
      <w:r>
        <w:rPr>
          <w:rFonts w:ascii="Times New Roman" w:hAnsi="Times New Roman" w:eastAsiaTheme="minorEastAsia"/>
          <w:b/>
        </w:rPr>
        <w:t>评价工作等级及范围</w:t>
      </w:r>
      <w:bookmarkEnd w:id="25"/>
    </w:p>
    <w:p>
      <w:pPr>
        <w:pStyle w:val="4"/>
        <w:rPr>
          <w:rFonts w:eastAsiaTheme="minorEastAsia"/>
        </w:rPr>
      </w:pPr>
      <w:r>
        <w:rPr>
          <w:rFonts w:eastAsiaTheme="minorEastAsia"/>
        </w:rPr>
        <w:t>评价工作等级</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根据本项目污染物排放性质、特征、项目所在地区的地形特点和环境功能区划，按照《环境影响评价技术导则》所规定的方法，确定本次环境影响评价等级和评价范围。</w:t>
      </w:r>
    </w:p>
    <w:p>
      <w:pPr>
        <w:pStyle w:val="5"/>
        <w:rPr>
          <w:rFonts w:eastAsiaTheme="minorEastAsia"/>
        </w:rPr>
      </w:pPr>
      <w:r>
        <w:rPr>
          <w:rFonts w:eastAsiaTheme="minorEastAsia"/>
        </w:rPr>
        <w:t>地表水环境评价等级</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根据《环境影响评价技术导则  地表水环境》（HJ2.3-2018）的规定，地表水环境影响评价划分为水污染影响型、水文要素型以及两者兼有的复合型。水污染影响型评价等级按照影响类型、排放方式、排放量或影响情况、受纳水体环境质量现状、水环境保护目标等综合确定，具体判定依据见表2.5-1。水文要素影响型评价等级按照水温、径流与受影响地表水域等三类水文要素的影响程度进行判定，具体判定依据见表2.5-2。</w:t>
      </w: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表2.5-1  水污染影响型建设项目评价等级判定表</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485"/>
        <w:gridCol w:w="1443"/>
        <w:gridCol w:w="61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816" w:type="pct"/>
            <w:vMerge w:val="restar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评价等级</w:t>
            </w:r>
          </w:p>
        </w:tc>
        <w:tc>
          <w:tcPr>
            <w:tcW w:w="4184" w:type="pct"/>
            <w:gridSpan w:val="2"/>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判断依据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816" w:type="pct"/>
            <w:vMerge w:val="continue"/>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kern w:val="0"/>
              </w:rPr>
            </w:pPr>
          </w:p>
        </w:tc>
        <w:tc>
          <w:tcPr>
            <w:tcW w:w="793"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排放方式</w:t>
            </w:r>
          </w:p>
        </w:tc>
        <w:tc>
          <w:tcPr>
            <w:tcW w:w="3391"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废水排放量</w:t>
            </w:r>
            <w:r>
              <w:rPr>
                <w:rFonts w:ascii="Times New Roman" w:hAnsi="Times New Roman" w:eastAsiaTheme="minorEastAsia"/>
                <w:b/>
                <w:bCs/>
                <w:color w:val="000000"/>
                <w:kern w:val="0"/>
              </w:rPr>
              <w:t>Q</w:t>
            </w:r>
            <w:r>
              <w:rPr>
                <w:rFonts w:ascii="Times New Roman" w:hAnsi="Times New Roman" w:eastAsiaTheme="minorEastAsia"/>
                <w:b/>
                <w:color w:val="000000"/>
                <w:kern w:val="0"/>
              </w:rPr>
              <w:t>（</w:t>
            </w:r>
            <w:r>
              <w:rPr>
                <w:rFonts w:ascii="Times New Roman" w:hAnsi="Times New Roman" w:eastAsiaTheme="minorEastAsia"/>
                <w:b/>
                <w:bCs/>
                <w:color w:val="000000"/>
                <w:kern w:val="0"/>
              </w:rPr>
              <w:t>m</w:t>
            </w:r>
            <w:r>
              <w:rPr>
                <w:rFonts w:ascii="Times New Roman" w:hAnsi="Times New Roman" w:eastAsiaTheme="minorEastAsia"/>
                <w:b/>
                <w:bCs/>
                <w:color w:val="000000"/>
                <w:kern w:val="0"/>
                <w:vertAlign w:val="superscript"/>
              </w:rPr>
              <w:t>3</w:t>
            </w:r>
            <w:r>
              <w:rPr>
                <w:rFonts w:ascii="Times New Roman" w:hAnsi="Times New Roman" w:eastAsiaTheme="minorEastAsia"/>
                <w:b/>
                <w:bCs/>
                <w:color w:val="000000"/>
                <w:kern w:val="0"/>
              </w:rPr>
              <w:t>/d</w:t>
            </w:r>
            <w:r>
              <w:rPr>
                <w:rFonts w:ascii="Times New Roman" w:hAnsi="Times New Roman" w:eastAsiaTheme="minorEastAsia"/>
                <w:b/>
                <w:color w:val="000000"/>
                <w:kern w:val="0"/>
              </w:rPr>
              <w:t>）</w:t>
            </w:r>
            <w:r>
              <w:rPr>
                <w:rFonts w:ascii="Times New Roman" w:hAnsi="Times New Roman" w:eastAsiaTheme="minorEastAsia"/>
                <w:b/>
                <w:bCs/>
                <w:color w:val="000000"/>
                <w:kern w:val="0"/>
              </w:rPr>
              <w:t>/</w:t>
            </w:r>
            <w:r>
              <w:rPr>
                <w:rFonts w:ascii="Times New Roman" w:hAnsi="Times New Roman" w:eastAsiaTheme="minorEastAsia"/>
                <w:b/>
                <w:color w:val="000000"/>
                <w:kern w:val="0"/>
              </w:rPr>
              <w:t>水污染物当量数</w:t>
            </w:r>
            <w:r>
              <w:rPr>
                <w:rFonts w:ascii="Times New Roman" w:hAnsi="Times New Roman" w:eastAsiaTheme="minorEastAsia"/>
                <w:b/>
                <w:bCs/>
                <w:color w:val="000000"/>
                <w:kern w:val="0"/>
              </w:rPr>
              <w:t>W</w:t>
            </w:r>
            <w:r>
              <w:rPr>
                <w:rFonts w:ascii="Times New Roman" w:hAnsi="Times New Roman" w:eastAsiaTheme="minorEastAsia"/>
                <w:b/>
                <w:color w:val="000000"/>
                <w:kern w:val="0"/>
              </w:rPr>
              <w:t>（无量纲）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16"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一级</w:t>
            </w:r>
          </w:p>
        </w:tc>
        <w:tc>
          <w:tcPr>
            <w:tcW w:w="793"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直接排放</w:t>
            </w:r>
          </w:p>
        </w:tc>
        <w:tc>
          <w:tcPr>
            <w:tcW w:w="3391"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Q≥20000或W≥600000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16"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二级</w:t>
            </w:r>
          </w:p>
        </w:tc>
        <w:tc>
          <w:tcPr>
            <w:tcW w:w="793"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直接排放</w:t>
            </w:r>
          </w:p>
        </w:tc>
        <w:tc>
          <w:tcPr>
            <w:tcW w:w="3391" w:type="pct"/>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其他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16" w:type="pct"/>
            <w:shd w:val="clear" w:color="auto" w:fill="BEBEBE" w:themeFill="background1" w:themeFillShade="BF"/>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三级A</w:t>
            </w:r>
          </w:p>
        </w:tc>
        <w:tc>
          <w:tcPr>
            <w:tcW w:w="793" w:type="pct"/>
            <w:shd w:val="clear" w:color="auto" w:fill="BEBEBE" w:themeFill="background1" w:themeFillShade="BF"/>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直接排放</w:t>
            </w:r>
          </w:p>
        </w:tc>
        <w:tc>
          <w:tcPr>
            <w:tcW w:w="3391" w:type="pct"/>
            <w:shd w:val="clear" w:color="auto" w:fill="BEBEBE" w:themeFill="background1" w:themeFillShade="BF"/>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Q＜200且W＜6000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16" w:type="pct"/>
            <w:shd w:val="clear" w:color="auto" w:fill="auto"/>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三级B</w:t>
            </w:r>
          </w:p>
        </w:tc>
        <w:tc>
          <w:tcPr>
            <w:tcW w:w="793" w:type="pct"/>
            <w:shd w:val="clear" w:color="auto" w:fill="auto"/>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间接排放</w:t>
            </w:r>
          </w:p>
        </w:tc>
        <w:tc>
          <w:tcPr>
            <w:tcW w:w="3391" w:type="pct"/>
            <w:shd w:val="clear" w:color="auto" w:fill="auto"/>
            <w:tcMar>
              <w:top w:w="0" w:type="dxa"/>
              <w:left w:w="0" w:type="dxa"/>
              <w:bottom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r>
    </w:tbl>
    <w:p>
      <w:pPr>
        <w:autoSpaceDE w:val="0"/>
        <w:autoSpaceDN w:val="0"/>
        <w:adjustRightInd w:val="0"/>
        <w:jc w:val="left"/>
        <w:rPr>
          <w:rFonts w:ascii="Times New Roman" w:hAnsi="Times New Roman" w:eastAsiaTheme="minorEastAsia"/>
          <w:kern w:val="0"/>
          <w:sz w:val="24"/>
          <w:szCs w:val="24"/>
        </w:rPr>
      </w:pPr>
    </w:p>
    <w:p>
      <w:pPr>
        <w:autoSpaceDE w:val="0"/>
        <w:autoSpaceDN w:val="0"/>
        <w:adjustRightInd w:val="0"/>
        <w:jc w:val="left"/>
        <w:rPr>
          <w:rFonts w:ascii="Times New Roman" w:hAnsi="Times New Roman" w:eastAsiaTheme="minorEastAsia"/>
          <w:kern w:val="0"/>
          <w:sz w:val="24"/>
          <w:szCs w:val="24"/>
        </w:rPr>
      </w:pPr>
    </w:p>
    <w:p>
      <w:pPr>
        <w:autoSpaceDE w:val="0"/>
        <w:autoSpaceDN w:val="0"/>
        <w:adjustRightInd w:val="0"/>
        <w:jc w:val="left"/>
        <w:rPr>
          <w:rFonts w:ascii="Times New Roman" w:hAnsi="Times New Roman" w:eastAsiaTheme="minorEastAsia"/>
          <w:kern w:val="0"/>
          <w:sz w:val="24"/>
          <w:szCs w:val="24"/>
        </w:rPr>
      </w:pPr>
    </w:p>
    <w:p>
      <w:pPr>
        <w:autoSpaceDE w:val="0"/>
        <w:autoSpaceDN w:val="0"/>
        <w:adjustRightInd w:val="0"/>
        <w:jc w:val="left"/>
        <w:rPr>
          <w:rFonts w:ascii="Times New Roman" w:hAnsi="Times New Roman" w:eastAsiaTheme="minorEastAsia"/>
          <w:kern w:val="0"/>
          <w:sz w:val="24"/>
          <w:szCs w:val="24"/>
        </w:rPr>
      </w:pPr>
    </w:p>
    <w:p>
      <w:pPr>
        <w:autoSpaceDE w:val="0"/>
        <w:autoSpaceDN w:val="0"/>
        <w:adjustRightInd w:val="0"/>
        <w:jc w:val="left"/>
        <w:rPr>
          <w:rFonts w:ascii="Times New Roman" w:hAnsi="Times New Roman" w:eastAsiaTheme="minorEastAsia"/>
          <w:kern w:val="0"/>
          <w:sz w:val="24"/>
          <w:szCs w:val="24"/>
        </w:rPr>
      </w:pPr>
    </w:p>
    <w:p>
      <w:pPr>
        <w:autoSpaceDE w:val="0"/>
        <w:autoSpaceDN w:val="0"/>
        <w:adjustRightInd w:val="0"/>
        <w:jc w:val="left"/>
        <w:rPr>
          <w:rFonts w:ascii="Times New Roman" w:hAnsi="Times New Roman" w:eastAsiaTheme="minorEastAsia"/>
          <w:kern w:val="0"/>
          <w:sz w:val="24"/>
          <w:szCs w:val="24"/>
        </w:rPr>
      </w:pPr>
    </w:p>
    <w:p>
      <w:pPr>
        <w:autoSpaceDE w:val="0"/>
        <w:autoSpaceDN w:val="0"/>
        <w:adjustRightInd w:val="0"/>
        <w:jc w:val="left"/>
        <w:rPr>
          <w:rFonts w:ascii="Times New Roman" w:hAnsi="Times New Roman" w:eastAsiaTheme="minorEastAsia"/>
          <w:kern w:val="0"/>
          <w:sz w:val="24"/>
          <w:szCs w:val="24"/>
        </w:rPr>
      </w:pP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表2.5-2  水文要素影响型建设项目评价等级判定表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06"/>
        <w:gridCol w:w="1456"/>
        <w:gridCol w:w="1456"/>
        <w:gridCol w:w="934"/>
        <w:gridCol w:w="1543"/>
        <w:gridCol w:w="1434"/>
        <w:gridCol w:w="17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vMerge w:val="restar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评价等级</w:t>
            </w:r>
          </w:p>
        </w:tc>
        <w:tc>
          <w:tcPr>
            <w:tcW w:w="800"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水温</w:t>
            </w:r>
          </w:p>
        </w:tc>
        <w:tc>
          <w:tcPr>
            <w:tcW w:w="1313" w:type="pct"/>
            <w:gridSpan w:val="2"/>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径流</w:t>
            </w:r>
          </w:p>
        </w:tc>
        <w:tc>
          <w:tcPr>
            <w:tcW w:w="2609" w:type="pct"/>
            <w:gridSpan w:val="3"/>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受影响地表水域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vMerge w:val="continue"/>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p>
        </w:tc>
        <w:tc>
          <w:tcPr>
            <w:tcW w:w="800" w:type="pct"/>
            <w:vMerge w:val="restar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年径流量与总库容百分比α/%</w:t>
            </w:r>
          </w:p>
        </w:tc>
        <w:tc>
          <w:tcPr>
            <w:tcW w:w="800" w:type="pct"/>
            <w:vMerge w:val="restar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兴利库容与年径流量百分比β/%</w:t>
            </w:r>
          </w:p>
        </w:tc>
        <w:tc>
          <w:tcPr>
            <w:tcW w:w="513" w:type="pct"/>
            <w:vMerge w:val="restar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取水量占多年平均径流量百分比γ/%</w:t>
            </w:r>
          </w:p>
        </w:tc>
        <w:tc>
          <w:tcPr>
            <w:tcW w:w="1636" w:type="pct"/>
            <w:gridSpan w:val="2"/>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工程垂直投影面积及外扩范围A</w:t>
            </w:r>
            <w:r>
              <w:rPr>
                <w:rFonts w:ascii="Times New Roman" w:hAnsi="Times New Roman" w:eastAsiaTheme="minorEastAsia"/>
                <w:b/>
                <w:color w:val="000000"/>
                <w:kern w:val="0"/>
                <w:sz w:val="13"/>
                <w:szCs w:val="13"/>
              </w:rPr>
              <w:t>1</w:t>
            </w:r>
            <w:r>
              <w:rPr>
                <w:rFonts w:ascii="Times New Roman" w:hAnsi="Times New Roman" w:eastAsiaTheme="minorEastAsia"/>
                <w:b/>
                <w:color w:val="000000"/>
                <w:kern w:val="0"/>
              </w:rPr>
              <w:t>/km</w:t>
            </w:r>
            <w:r>
              <w:rPr>
                <w:rFonts w:ascii="Times New Roman" w:hAnsi="Times New Roman" w:eastAsiaTheme="minorEastAsia"/>
                <w:b/>
                <w:color w:val="000000"/>
                <w:kern w:val="0"/>
                <w:vertAlign w:val="superscript"/>
              </w:rPr>
              <w:t>2</w:t>
            </w:r>
            <w:r>
              <w:rPr>
                <w:rFonts w:ascii="Times New Roman" w:hAnsi="Times New Roman" w:eastAsiaTheme="minorEastAsia"/>
                <w:b/>
                <w:color w:val="000000"/>
                <w:kern w:val="0"/>
              </w:rPr>
              <w:t>工程扰动水底面积A</w:t>
            </w:r>
            <w:r>
              <w:rPr>
                <w:rFonts w:ascii="Times New Roman" w:hAnsi="Times New Roman" w:eastAsiaTheme="minorEastAsia"/>
                <w:b/>
                <w:color w:val="000000"/>
                <w:kern w:val="0"/>
                <w:sz w:val="13"/>
                <w:szCs w:val="13"/>
              </w:rPr>
              <w:t>2</w:t>
            </w:r>
            <w:r>
              <w:rPr>
                <w:rFonts w:ascii="Times New Roman" w:hAnsi="Times New Roman" w:eastAsiaTheme="minorEastAsia"/>
                <w:b/>
                <w:color w:val="000000"/>
                <w:kern w:val="0"/>
              </w:rPr>
              <w:t>/km</w:t>
            </w:r>
            <w:r>
              <w:rPr>
                <w:rFonts w:ascii="Times New Roman" w:hAnsi="Times New Roman" w:eastAsiaTheme="minorEastAsia"/>
                <w:b/>
                <w:color w:val="000000"/>
                <w:kern w:val="0"/>
                <w:vertAlign w:val="superscript"/>
              </w:rPr>
              <w:t>2</w:t>
            </w:r>
            <w:r>
              <w:rPr>
                <w:rFonts w:ascii="Times New Roman" w:hAnsi="Times New Roman" w:eastAsiaTheme="minorEastAsia"/>
                <w:b/>
                <w:color w:val="000000"/>
                <w:kern w:val="0"/>
              </w:rPr>
              <w:t>过水断面宽度占用比例或占用水域面积比例R/%</w:t>
            </w:r>
          </w:p>
        </w:tc>
        <w:tc>
          <w:tcPr>
            <w:tcW w:w="973"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工程垂直投影面积及外扩范围A</w:t>
            </w:r>
            <w:r>
              <w:rPr>
                <w:rFonts w:ascii="Times New Roman" w:hAnsi="Times New Roman" w:eastAsiaTheme="minorEastAsia"/>
                <w:b/>
                <w:color w:val="000000"/>
                <w:kern w:val="0"/>
                <w:sz w:val="13"/>
                <w:szCs w:val="13"/>
              </w:rPr>
              <w:t>1</w:t>
            </w:r>
            <w:r>
              <w:rPr>
                <w:rFonts w:ascii="Times New Roman" w:hAnsi="Times New Roman" w:eastAsiaTheme="minorEastAsia"/>
                <w:b/>
                <w:color w:val="000000"/>
                <w:kern w:val="0"/>
              </w:rPr>
              <w:t>/km</w:t>
            </w:r>
            <w:r>
              <w:rPr>
                <w:rFonts w:ascii="Times New Roman" w:hAnsi="Times New Roman" w:eastAsiaTheme="minorEastAsia"/>
                <w:b/>
                <w:color w:val="000000"/>
                <w:kern w:val="0"/>
                <w:vertAlign w:val="superscript"/>
              </w:rPr>
              <w:t>2</w:t>
            </w:r>
            <w:r>
              <w:rPr>
                <w:rFonts w:ascii="Times New Roman" w:hAnsi="Times New Roman" w:eastAsiaTheme="minorEastAsia"/>
                <w:b/>
                <w:color w:val="000000"/>
                <w:kern w:val="0"/>
              </w:rPr>
              <w:t>工程扰动水底面积A</w:t>
            </w:r>
            <w:r>
              <w:rPr>
                <w:rFonts w:ascii="Times New Roman" w:hAnsi="Times New Roman" w:eastAsiaTheme="minorEastAsia"/>
                <w:b/>
                <w:color w:val="000000"/>
                <w:kern w:val="0"/>
                <w:sz w:val="13"/>
                <w:szCs w:val="13"/>
              </w:rPr>
              <w:t>2</w:t>
            </w:r>
            <w:r>
              <w:rPr>
                <w:rFonts w:ascii="Times New Roman" w:hAnsi="Times New Roman" w:eastAsiaTheme="minorEastAsia"/>
                <w:b/>
                <w:color w:val="000000"/>
                <w:kern w:val="0"/>
              </w:rPr>
              <w:t>/km</w:t>
            </w:r>
            <w:r>
              <w:rPr>
                <w:rFonts w:ascii="Times New Roman" w:hAnsi="Times New Roman" w:eastAsiaTheme="minorEastAsia"/>
                <w:b/>
                <w:color w:val="000000"/>
                <w:kern w:val="0"/>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vMerge w:val="continue"/>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p>
        </w:tc>
        <w:tc>
          <w:tcPr>
            <w:tcW w:w="800" w:type="pct"/>
            <w:vMerge w:val="continue"/>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p>
        </w:tc>
        <w:tc>
          <w:tcPr>
            <w:tcW w:w="800" w:type="pct"/>
            <w:vMerge w:val="continue"/>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p>
        </w:tc>
        <w:tc>
          <w:tcPr>
            <w:tcW w:w="513" w:type="pct"/>
            <w:vMerge w:val="continue"/>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p>
        </w:tc>
        <w:tc>
          <w:tcPr>
            <w:tcW w:w="848"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河流</w:t>
            </w:r>
          </w:p>
        </w:tc>
        <w:tc>
          <w:tcPr>
            <w:tcW w:w="788"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湖库</w:t>
            </w:r>
          </w:p>
        </w:tc>
        <w:tc>
          <w:tcPr>
            <w:tcW w:w="973"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入海河口、近岸海域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一级</w:t>
            </w:r>
          </w:p>
        </w:tc>
        <w:tc>
          <w:tcPr>
            <w:tcW w:w="80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α≤10；或稳定分层</w:t>
            </w:r>
          </w:p>
        </w:tc>
        <w:tc>
          <w:tcPr>
            <w:tcW w:w="80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β≥20；或完全年调节或多年调节</w:t>
            </w:r>
          </w:p>
        </w:tc>
        <w:tc>
          <w:tcPr>
            <w:tcW w:w="513"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γ≥3</w:t>
            </w:r>
          </w:p>
        </w:tc>
        <w:tc>
          <w:tcPr>
            <w:tcW w:w="848"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A</w:t>
            </w:r>
            <w:r>
              <w:rPr>
                <w:rFonts w:ascii="Times New Roman" w:hAnsi="Times New Roman" w:eastAsiaTheme="minorEastAsia"/>
                <w:color w:val="000000"/>
                <w:kern w:val="0"/>
                <w:sz w:val="13"/>
                <w:szCs w:val="13"/>
              </w:rPr>
              <w:t>1</w:t>
            </w:r>
            <w:r>
              <w:rPr>
                <w:rFonts w:ascii="Times New Roman" w:hAnsi="Times New Roman" w:eastAsiaTheme="minorEastAsia"/>
                <w:color w:val="000000"/>
                <w:kern w:val="0"/>
              </w:rPr>
              <w:t>≥0.3；或A</w:t>
            </w:r>
            <w:r>
              <w:rPr>
                <w:rFonts w:ascii="Times New Roman" w:hAnsi="Times New Roman" w:eastAsiaTheme="minorEastAsia"/>
                <w:color w:val="000000"/>
                <w:kern w:val="0"/>
                <w:sz w:val="13"/>
                <w:szCs w:val="13"/>
              </w:rPr>
              <w:t>2</w:t>
            </w:r>
            <w:r>
              <w:rPr>
                <w:rFonts w:ascii="Times New Roman" w:hAnsi="Times New Roman" w:eastAsiaTheme="minorEastAsia"/>
                <w:color w:val="000000"/>
                <w:kern w:val="0"/>
              </w:rPr>
              <w:t>≥1.5；或R≥10</w:t>
            </w:r>
          </w:p>
        </w:tc>
        <w:tc>
          <w:tcPr>
            <w:tcW w:w="788"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A</w:t>
            </w:r>
            <w:r>
              <w:rPr>
                <w:rFonts w:ascii="Times New Roman" w:hAnsi="Times New Roman" w:eastAsiaTheme="minorEastAsia"/>
                <w:color w:val="000000"/>
                <w:kern w:val="0"/>
                <w:sz w:val="13"/>
                <w:szCs w:val="13"/>
              </w:rPr>
              <w:t>1</w:t>
            </w:r>
            <w:r>
              <w:rPr>
                <w:rFonts w:ascii="Times New Roman" w:hAnsi="Times New Roman" w:eastAsiaTheme="minorEastAsia"/>
                <w:color w:val="000000"/>
                <w:kern w:val="0"/>
              </w:rPr>
              <w:t>≥0.3或A</w:t>
            </w:r>
            <w:r>
              <w:rPr>
                <w:rFonts w:ascii="Times New Roman" w:hAnsi="Times New Roman" w:eastAsiaTheme="minorEastAsia"/>
                <w:color w:val="000000"/>
                <w:kern w:val="0"/>
                <w:vertAlign w:val="subscript"/>
              </w:rPr>
              <w:t>2</w:t>
            </w:r>
            <w:r>
              <w:rPr>
                <w:rFonts w:ascii="Times New Roman" w:hAnsi="Times New Roman" w:eastAsiaTheme="minorEastAsia"/>
                <w:color w:val="000000"/>
                <w:kern w:val="0"/>
              </w:rPr>
              <w:t>≥1.5或R≥20</w:t>
            </w:r>
          </w:p>
        </w:tc>
        <w:tc>
          <w:tcPr>
            <w:tcW w:w="973"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A</w:t>
            </w:r>
            <w:r>
              <w:rPr>
                <w:rFonts w:ascii="Times New Roman" w:hAnsi="Times New Roman" w:eastAsiaTheme="minorEastAsia"/>
                <w:color w:val="000000"/>
                <w:kern w:val="0"/>
                <w:sz w:val="13"/>
                <w:szCs w:val="13"/>
              </w:rPr>
              <w:t>1</w:t>
            </w:r>
            <w:r>
              <w:rPr>
                <w:rFonts w:ascii="Times New Roman" w:hAnsi="Times New Roman" w:eastAsiaTheme="minorEastAsia"/>
                <w:color w:val="000000"/>
                <w:kern w:val="0"/>
              </w:rPr>
              <w:t>≥0.5；或A</w:t>
            </w:r>
            <w:r>
              <w:rPr>
                <w:rFonts w:ascii="Times New Roman" w:hAnsi="Times New Roman" w:eastAsiaTheme="minorEastAsia"/>
                <w:color w:val="000000"/>
                <w:kern w:val="0"/>
                <w:sz w:val="13"/>
                <w:szCs w:val="13"/>
              </w:rPr>
              <w:t>2</w:t>
            </w:r>
            <w:r>
              <w:rPr>
                <w:rFonts w:ascii="Times New Roman" w:hAnsi="Times New Roman" w:eastAsiaTheme="minorEastAsia"/>
                <w:color w:val="000000"/>
                <w:kern w:val="0"/>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二级</w:t>
            </w:r>
          </w:p>
        </w:tc>
        <w:tc>
          <w:tcPr>
            <w:tcW w:w="80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20＞α＞10；或不稳定分层</w:t>
            </w:r>
          </w:p>
        </w:tc>
        <w:tc>
          <w:tcPr>
            <w:tcW w:w="80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20＞β＞2；或季调节与不完全年调节</w:t>
            </w:r>
          </w:p>
        </w:tc>
        <w:tc>
          <w:tcPr>
            <w:tcW w:w="513"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30＞γ＞10</w:t>
            </w:r>
          </w:p>
        </w:tc>
        <w:tc>
          <w:tcPr>
            <w:tcW w:w="848"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0.3＞A</w:t>
            </w:r>
            <w:r>
              <w:rPr>
                <w:rFonts w:ascii="Times New Roman" w:hAnsi="Times New Roman" w:eastAsiaTheme="minorEastAsia"/>
                <w:color w:val="000000"/>
                <w:kern w:val="0"/>
                <w:sz w:val="13"/>
                <w:szCs w:val="13"/>
              </w:rPr>
              <w:t>1</w:t>
            </w:r>
            <w:r>
              <w:rPr>
                <w:rFonts w:ascii="Times New Roman" w:hAnsi="Times New Roman" w:eastAsiaTheme="minorEastAsia"/>
                <w:color w:val="000000"/>
                <w:kern w:val="0"/>
              </w:rPr>
              <w:t>＞0.05；1.5＞A</w:t>
            </w:r>
            <w:r>
              <w:rPr>
                <w:rFonts w:ascii="Times New Roman" w:hAnsi="Times New Roman" w:eastAsiaTheme="minorEastAsia"/>
                <w:color w:val="000000"/>
                <w:kern w:val="0"/>
                <w:sz w:val="13"/>
                <w:szCs w:val="13"/>
              </w:rPr>
              <w:t>2</w:t>
            </w:r>
            <w:r>
              <w:rPr>
                <w:rFonts w:ascii="Times New Roman" w:hAnsi="Times New Roman" w:eastAsiaTheme="minorEastAsia"/>
                <w:color w:val="000000"/>
                <w:kern w:val="0"/>
              </w:rPr>
              <w:t>＞0.2；或10＞R＞5</w:t>
            </w:r>
          </w:p>
          <w:p>
            <w:pPr>
              <w:autoSpaceDE w:val="0"/>
              <w:autoSpaceDN w:val="0"/>
              <w:adjustRightInd w:val="0"/>
              <w:snapToGrid w:val="0"/>
              <w:jc w:val="center"/>
              <w:rPr>
                <w:rFonts w:ascii="Times New Roman" w:hAnsi="Times New Roman" w:eastAsiaTheme="minorEastAsia"/>
                <w:color w:val="000000"/>
                <w:kern w:val="0"/>
              </w:rPr>
            </w:pPr>
          </w:p>
        </w:tc>
        <w:tc>
          <w:tcPr>
            <w:tcW w:w="788"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0.3＞A</w:t>
            </w:r>
            <w:r>
              <w:rPr>
                <w:rFonts w:ascii="Times New Roman" w:hAnsi="Times New Roman" w:eastAsiaTheme="minorEastAsia"/>
                <w:color w:val="000000"/>
                <w:kern w:val="0"/>
                <w:sz w:val="13"/>
                <w:szCs w:val="13"/>
              </w:rPr>
              <w:t>1</w:t>
            </w:r>
            <w:r>
              <w:rPr>
                <w:rFonts w:ascii="Times New Roman" w:hAnsi="Times New Roman" w:eastAsiaTheme="minorEastAsia"/>
                <w:color w:val="000000"/>
                <w:kern w:val="0"/>
              </w:rPr>
              <w:t>＞0.05；1.5＞A</w:t>
            </w:r>
            <w:r>
              <w:rPr>
                <w:rFonts w:ascii="Times New Roman" w:hAnsi="Times New Roman" w:eastAsiaTheme="minorEastAsia"/>
                <w:color w:val="000000"/>
                <w:kern w:val="0"/>
                <w:sz w:val="13"/>
                <w:szCs w:val="13"/>
              </w:rPr>
              <w:t>2</w:t>
            </w:r>
            <w:r>
              <w:rPr>
                <w:rFonts w:ascii="Times New Roman" w:hAnsi="Times New Roman" w:eastAsiaTheme="minorEastAsia"/>
                <w:color w:val="000000"/>
                <w:kern w:val="0"/>
              </w:rPr>
              <w:t>＞0.2或20＞R＞5</w:t>
            </w:r>
          </w:p>
        </w:tc>
        <w:tc>
          <w:tcPr>
            <w:tcW w:w="973"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0.5＞A</w:t>
            </w:r>
            <w:r>
              <w:rPr>
                <w:rFonts w:ascii="Times New Roman" w:hAnsi="Times New Roman" w:eastAsiaTheme="minorEastAsia"/>
                <w:color w:val="000000"/>
                <w:kern w:val="0"/>
                <w:sz w:val="13"/>
                <w:szCs w:val="13"/>
              </w:rPr>
              <w:t>1</w:t>
            </w:r>
            <w:r>
              <w:rPr>
                <w:rFonts w:ascii="Times New Roman" w:hAnsi="Times New Roman" w:eastAsiaTheme="minorEastAsia"/>
                <w:color w:val="000000"/>
                <w:kern w:val="0"/>
              </w:rPr>
              <w:t>＞0.15；3＞A</w:t>
            </w:r>
            <w:r>
              <w:rPr>
                <w:rFonts w:ascii="Times New Roman" w:hAnsi="Times New Roman" w:eastAsiaTheme="minorEastAsia"/>
                <w:color w:val="000000"/>
                <w:kern w:val="0"/>
                <w:sz w:val="13"/>
                <w:szCs w:val="13"/>
              </w:rPr>
              <w:t>2</w:t>
            </w:r>
            <w:r>
              <w:rPr>
                <w:rFonts w:ascii="Times New Roman" w:hAnsi="Times New Roman" w:eastAsiaTheme="minorEastAsia"/>
                <w:color w:val="000000"/>
                <w:kern w:val="0"/>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pct"/>
            <w:shd w:val="clear" w:color="auto" w:fill="BEBEBE" w:themeFill="background1" w:themeFillShade="BF"/>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三级</w:t>
            </w:r>
          </w:p>
        </w:tc>
        <w:tc>
          <w:tcPr>
            <w:tcW w:w="80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α≥20；或混合型</w:t>
            </w:r>
          </w:p>
        </w:tc>
        <w:tc>
          <w:tcPr>
            <w:tcW w:w="80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β≤2；或无调节</w:t>
            </w:r>
          </w:p>
        </w:tc>
        <w:tc>
          <w:tcPr>
            <w:tcW w:w="513"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γ≤10</w:t>
            </w:r>
          </w:p>
        </w:tc>
        <w:tc>
          <w:tcPr>
            <w:tcW w:w="848" w:type="pct"/>
            <w:shd w:val="clear" w:color="auto" w:fill="BEBEBE" w:themeFill="background1" w:themeFillShade="BF"/>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A</w:t>
            </w:r>
            <w:r>
              <w:rPr>
                <w:rFonts w:ascii="Times New Roman" w:hAnsi="Times New Roman" w:eastAsiaTheme="minorEastAsia"/>
                <w:color w:val="000000"/>
                <w:kern w:val="0"/>
                <w:sz w:val="13"/>
                <w:szCs w:val="13"/>
              </w:rPr>
              <w:t>1</w:t>
            </w:r>
            <w:r>
              <w:rPr>
                <w:rFonts w:ascii="Times New Roman" w:hAnsi="Times New Roman" w:eastAsiaTheme="minorEastAsia"/>
                <w:color w:val="000000"/>
                <w:kern w:val="0"/>
              </w:rPr>
              <w:t>≤0.05；或A</w:t>
            </w:r>
            <w:r>
              <w:rPr>
                <w:rFonts w:ascii="Times New Roman" w:hAnsi="Times New Roman" w:eastAsiaTheme="minorEastAsia"/>
                <w:color w:val="000000"/>
                <w:kern w:val="0"/>
                <w:sz w:val="13"/>
                <w:szCs w:val="13"/>
              </w:rPr>
              <w:t>2</w:t>
            </w:r>
            <w:r>
              <w:rPr>
                <w:rFonts w:ascii="Times New Roman" w:hAnsi="Times New Roman" w:eastAsiaTheme="minorEastAsia"/>
                <w:color w:val="000000"/>
                <w:kern w:val="0"/>
              </w:rPr>
              <w:t>≤0.2；或R≤5</w:t>
            </w:r>
          </w:p>
        </w:tc>
        <w:tc>
          <w:tcPr>
            <w:tcW w:w="788"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A</w:t>
            </w:r>
            <w:r>
              <w:rPr>
                <w:rFonts w:ascii="Times New Roman" w:hAnsi="Times New Roman" w:eastAsiaTheme="minorEastAsia"/>
                <w:color w:val="000000"/>
                <w:kern w:val="0"/>
                <w:sz w:val="13"/>
                <w:szCs w:val="13"/>
              </w:rPr>
              <w:t>1</w:t>
            </w:r>
            <w:r>
              <w:rPr>
                <w:rFonts w:ascii="Times New Roman" w:hAnsi="Times New Roman" w:eastAsiaTheme="minorEastAsia"/>
                <w:color w:val="000000"/>
                <w:kern w:val="0"/>
              </w:rPr>
              <w:t>≤0.05；或A</w:t>
            </w:r>
            <w:r>
              <w:rPr>
                <w:rFonts w:ascii="Times New Roman" w:hAnsi="Times New Roman" w:eastAsiaTheme="minorEastAsia"/>
                <w:color w:val="000000"/>
                <w:kern w:val="0"/>
                <w:sz w:val="13"/>
                <w:szCs w:val="13"/>
              </w:rPr>
              <w:t>2</w:t>
            </w:r>
            <w:r>
              <w:rPr>
                <w:rFonts w:ascii="Times New Roman" w:hAnsi="Times New Roman" w:eastAsiaTheme="minorEastAsia"/>
                <w:color w:val="000000"/>
                <w:kern w:val="0"/>
              </w:rPr>
              <w:t>≤0.2或R≤5</w:t>
            </w:r>
          </w:p>
        </w:tc>
        <w:tc>
          <w:tcPr>
            <w:tcW w:w="973"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A</w:t>
            </w:r>
            <w:r>
              <w:rPr>
                <w:rFonts w:ascii="Times New Roman" w:hAnsi="Times New Roman" w:eastAsiaTheme="minorEastAsia"/>
                <w:color w:val="000000"/>
                <w:kern w:val="0"/>
                <w:sz w:val="13"/>
                <w:szCs w:val="13"/>
              </w:rPr>
              <w:t>1</w:t>
            </w:r>
            <w:r>
              <w:rPr>
                <w:rFonts w:ascii="Times New Roman" w:hAnsi="Times New Roman" w:eastAsiaTheme="minorEastAsia"/>
                <w:color w:val="000000"/>
                <w:kern w:val="0"/>
              </w:rPr>
              <w:t>≤0.15；或A</w:t>
            </w:r>
            <w:r>
              <w:rPr>
                <w:rFonts w:ascii="Times New Roman" w:hAnsi="Times New Roman" w:eastAsiaTheme="minorEastAsia"/>
                <w:color w:val="000000"/>
                <w:kern w:val="0"/>
                <w:sz w:val="13"/>
                <w:szCs w:val="13"/>
              </w:rPr>
              <w:t>2</w:t>
            </w:r>
            <w:r>
              <w:rPr>
                <w:rFonts w:ascii="Times New Roman" w:hAnsi="Times New Roman" w:eastAsiaTheme="minorEastAsia"/>
                <w:color w:val="000000"/>
                <w:kern w:val="0"/>
              </w:rPr>
              <w:t>≤0.5</w:t>
            </w:r>
          </w:p>
        </w:tc>
      </w:tr>
    </w:tbl>
    <w:p>
      <w:pPr>
        <w:autoSpaceDE w:val="0"/>
        <w:autoSpaceDN w:val="0"/>
        <w:adjustRightInd w:val="0"/>
        <w:jc w:val="left"/>
        <w:rPr>
          <w:rFonts w:ascii="Times New Roman" w:hAnsi="Times New Roman" w:eastAsiaTheme="minorEastAsia"/>
          <w:kern w:val="0"/>
          <w:sz w:val="24"/>
          <w:szCs w:val="24"/>
        </w:rPr>
      </w:pP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sz w:val="24"/>
          <w:szCs w:val="24"/>
        </w:rPr>
        <w:t>本项目码头工程属于水域工程，</w:t>
      </w:r>
      <w:r>
        <w:rPr>
          <w:rFonts w:ascii="Times New Roman" w:hAnsi="Times New Roman" w:eastAsiaTheme="minorEastAsia"/>
          <w:color w:val="000000"/>
          <w:kern w:val="0"/>
          <w:sz w:val="24"/>
          <w:szCs w:val="24"/>
          <w:lang w:bidi="ar"/>
        </w:rPr>
        <w:t>输煤皮带线及转运站属于陆域工程</w:t>
      </w:r>
      <w:r>
        <w:rPr>
          <w:rFonts w:ascii="Times New Roman" w:hAnsi="Times New Roman" w:eastAsiaTheme="minorEastAsia"/>
          <w:color w:val="000000"/>
          <w:sz w:val="24"/>
          <w:szCs w:val="24"/>
        </w:rPr>
        <w:t>。因此，本项目的</w:t>
      </w:r>
      <w:r>
        <w:rPr>
          <w:rFonts w:ascii="Times New Roman" w:hAnsi="Times New Roman" w:eastAsiaTheme="minorEastAsia"/>
          <w:color w:val="000000" w:themeColor="text1"/>
          <w:sz w:val="24"/>
          <w:szCs w:val="24"/>
          <w14:textFill>
            <w14:solidFill>
              <w14:schemeClr w14:val="tx1"/>
            </w14:solidFill>
          </w14:textFill>
        </w:rPr>
        <w:t>地表水环境影响评价属于水污染影响型和水文要素型兼有的复合型。</w:t>
      </w:r>
    </w:p>
    <w:p>
      <w:pPr>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color w:val="000000" w:themeColor="text1"/>
          <w:sz w:val="24"/>
          <w:szCs w:val="24"/>
          <w14:textFill>
            <w14:solidFill>
              <w14:schemeClr w14:val="tx1"/>
            </w14:solidFill>
          </w14:textFill>
        </w:rPr>
        <w:t>本项目废水排放量为</w:t>
      </w:r>
      <w:r>
        <w:rPr>
          <w:rFonts w:ascii="Times New Roman" w:hAnsi="Times New Roman" w:eastAsiaTheme="minorEastAsia"/>
          <w:color w:val="000000" w:themeColor="text1"/>
          <w:kern w:val="0"/>
          <w:sz w:val="24"/>
          <w:szCs w:val="24"/>
          <w14:textFill>
            <w14:solidFill>
              <w14:schemeClr w14:val="tx1"/>
            </w14:solidFill>
          </w14:textFill>
        </w:rPr>
        <w:t>3546.604</w:t>
      </w:r>
      <w:r>
        <w:rPr>
          <w:rFonts w:ascii="Times New Roman" w:hAnsi="Times New Roman" w:eastAsiaTheme="minorEastAsia"/>
          <w:color w:val="000000" w:themeColor="text1"/>
          <w:sz w:val="24"/>
          <w:szCs w:val="24"/>
          <w14:textFill>
            <w14:solidFill>
              <w14:schemeClr w14:val="tx1"/>
            </w14:solidFill>
          </w14:textFill>
        </w:rPr>
        <w:t>m</w:t>
      </w:r>
      <w:r>
        <w:rPr>
          <w:rFonts w:ascii="Times New Roman" w:hAnsi="Times New Roman" w:eastAsiaTheme="minorEastAsia"/>
          <w:color w:val="000000" w:themeColor="text1"/>
          <w:sz w:val="24"/>
          <w:szCs w:val="24"/>
          <w:vertAlign w:val="super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/a，废水中主要污染物为COD、BOD</w:t>
      </w:r>
      <w:r>
        <w:rPr>
          <w:rFonts w:ascii="Times New Roman" w:hAnsi="Times New Roman" w:eastAsiaTheme="minorEastAsia"/>
          <w:color w:val="000000" w:themeColor="text1"/>
          <w:sz w:val="24"/>
          <w:szCs w:val="24"/>
          <w:vertAlign w:val="subscript"/>
          <w14:textFill>
            <w14:solidFill>
              <w14:schemeClr w14:val="tx1"/>
            </w14:solidFill>
          </w14:textFill>
        </w:rPr>
        <w:t>5</w:t>
      </w:r>
      <w:r>
        <w:rPr>
          <w:rFonts w:ascii="Times New Roman" w:hAnsi="Times New Roman" w:eastAsiaTheme="minorEastAsia"/>
          <w:color w:val="000000" w:themeColor="text1"/>
          <w:sz w:val="24"/>
          <w:szCs w:val="24"/>
          <w14:textFill>
            <w14:solidFill>
              <w14:schemeClr w14:val="tx1"/>
            </w14:solidFill>
          </w14:textFill>
        </w:rPr>
        <w:t>、SS、NH</w:t>
      </w:r>
      <w:r>
        <w:rPr>
          <w:rFonts w:ascii="Times New Roman" w:hAnsi="Times New Roman" w:eastAsiaTheme="minorEastAsia"/>
          <w:color w:val="000000" w:themeColor="text1"/>
          <w:sz w:val="24"/>
          <w:szCs w:val="24"/>
          <w:vertAlign w:val="sub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-N、石油类等。趸船装卸区四周设收</w:t>
      </w:r>
      <w:r>
        <w:rPr>
          <w:rFonts w:ascii="Times New Roman" w:hAnsi="Times New Roman" w:eastAsiaTheme="minorEastAsia"/>
          <w:color w:val="000000"/>
          <w:sz w:val="24"/>
          <w:szCs w:val="24"/>
        </w:rPr>
        <w:t>集坎</w:t>
      </w:r>
      <w:r>
        <w:rPr>
          <w:rFonts w:ascii="Times New Roman" w:hAnsi="Times New Roman" w:eastAsiaTheme="minorEastAsia"/>
          <w:color w:val="000000" w:themeColor="text1"/>
          <w:sz w:val="24"/>
          <w:szCs w:val="24"/>
          <w14:textFill>
            <w14:solidFill>
              <w14:schemeClr w14:val="tx1"/>
            </w14:solidFill>
          </w14:textFill>
        </w:rPr>
        <w:t>，在趸船内设煤水收集池（包括沉淀池与泵池），收集坎内初期雨水和冲洗废水经收集流入收集池中，经增压管道泵至后方码头院内的散货污水处理站；</w:t>
      </w:r>
      <w:r>
        <w:rPr>
          <w:rFonts w:ascii="Times New Roman" w:hAnsi="Times New Roman" w:eastAsiaTheme="minorEastAsia"/>
          <w:kern w:val="0"/>
          <w:sz w:val="24"/>
          <w:szCs w:val="24"/>
        </w:rPr>
        <w:t>码头趸船生活污水</w:t>
      </w:r>
      <w:r>
        <w:rPr>
          <w:rFonts w:ascii="Times New Roman" w:hAnsi="Times New Roman" w:eastAsiaTheme="minorEastAsia"/>
          <w:color w:val="000000" w:themeColor="text1"/>
          <w:sz w:val="24"/>
          <w:szCs w:val="24"/>
          <w14:textFill>
            <w14:solidFill>
              <w14:schemeClr w14:val="tx1"/>
            </w14:solidFill>
          </w14:textFill>
        </w:rPr>
        <w:t>经生活污水收集柜收集后，经生活污水输送泵至后方码头院内的生活污水处理站。生产和生活废水经沉</w:t>
      </w:r>
      <w:r>
        <w:rPr>
          <w:rFonts w:ascii="Times New Roman" w:hAnsi="Times New Roman" w:eastAsiaTheme="minorEastAsia"/>
          <w:kern w:val="0"/>
          <w:sz w:val="24"/>
          <w:szCs w:val="24"/>
        </w:rPr>
        <w:t>淀、调节、隔油等处理达到《污水综合排放标准》（GB8978-1996）一级标准水质要求后通过污水管网进入华能厂区蓄水池，用于华能电厂总厂区的绿化用水。</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通过表2.5-1，本项目水污染评价工作等级为三级A评价的要求。本项目码头采用浮码头结构，工程垂直投影面积及外扩面积A</w:t>
      </w:r>
      <w:r>
        <w:rPr>
          <w:rFonts w:ascii="Times New Roman" w:hAnsi="Times New Roman" w:eastAsiaTheme="minorEastAsia"/>
          <w:color w:val="000000"/>
          <w:sz w:val="24"/>
          <w:szCs w:val="24"/>
          <w:vertAlign w:val="subscript"/>
        </w:rPr>
        <w:t>1</w:t>
      </w:r>
      <w:r>
        <w:rPr>
          <w:rFonts w:ascii="Times New Roman" w:hAnsi="Times New Roman" w:eastAsiaTheme="minorEastAsia"/>
          <w:color w:val="000000"/>
          <w:sz w:val="24"/>
          <w:szCs w:val="24"/>
        </w:rPr>
        <w:t>约为0.038km</w:t>
      </w:r>
      <w:r>
        <w:rPr>
          <w:rFonts w:ascii="Times New Roman" w:hAnsi="Times New Roman" w:eastAsiaTheme="minorEastAsia"/>
          <w:color w:val="000000"/>
          <w:sz w:val="24"/>
          <w:szCs w:val="24"/>
          <w:vertAlign w:val="superscript"/>
        </w:rPr>
        <w:t>2</w:t>
      </w:r>
      <w:r>
        <w:rPr>
          <w:rFonts w:ascii="Times New Roman" w:hAnsi="Times New Roman" w:eastAsiaTheme="minorEastAsia"/>
          <w:color w:val="000000"/>
          <w:sz w:val="24"/>
          <w:szCs w:val="24"/>
        </w:rPr>
        <w:t>，工程扰动水底面积A</w:t>
      </w:r>
      <w:r>
        <w:rPr>
          <w:rFonts w:ascii="Times New Roman" w:hAnsi="Times New Roman" w:eastAsiaTheme="minorEastAsia"/>
          <w:color w:val="000000"/>
          <w:sz w:val="24"/>
          <w:szCs w:val="24"/>
          <w:vertAlign w:val="subscript"/>
        </w:rPr>
        <w:t>2</w:t>
      </w:r>
      <w:r>
        <w:rPr>
          <w:rFonts w:ascii="Times New Roman" w:hAnsi="Times New Roman" w:eastAsiaTheme="minorEastAsia"/>
          <w:color w:val="000000"/>
          <w:sz w:val="24"/>
          <w:szCs w:val="24"/>
        </w:rPr>
        <w:t>约为104.88m</w:t>
      </w:r>
      <w:r>
        <w:rPr>
          <w:rFonts w:ascii="Times New Roman" w:hAnsi="Times New Roman" w:eastAsiaTheme="minorEastAsia"/>
          <w:color w:val="000000"/>
          <w:sz w:val="24"/>
          <w:szCs w:val="24"/>
          <w:vertAlign w:val="superscript"/>
        </w:rPr>
        <w:t>2</w:t>
      </w:r>
      <w:r>
        <w:rPr>
          <w:rFonts w:ascii="Times New Roman" w:hAnsi="Times New Roman" w:eastAsiaTheme="minorEastAsia"/>
          <w:color w:val="000000"/>
          <w:sz w:val="24"/>
          <w:szCs w:val="24"/>
        </w:rPr>
        <w:t>，过水断面宽度占用比例或占用水域面积比例R为1.9%，根据表2.5-2，水文评价等级判定为三级。</w:t>
      </w:r>
    </w:p>
    <w:p>
      <w:pPr>
        <w:pStyle w:val="5"/>
        <w:rPr>
          <w:rFonts w:eastAsiaTheme="minorEastAsia"/>
        </w:rPr>
      </w:pPr>
      <w:r>
        <w:rPr>
          <w:rFonts w:eastAsiaTheme="minorEastAsia"/>
        </w:rPr>
        <w:t>地下水评价等级</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地下水评价等级根据《环境影响评价技术导则  地下水环境》（HJ610-2016）中的附录A地下水环境影响评价行业分类表，本项目属于“S 水运”中的“130、干散货（含煤炭、矿石）、件杂、多用途、通用码头”中“单个泊位1000吨级及以上的内河港口；单个泊位1万吨级及以上的沿海港口；涉及环境敏感区的”，对应的地下水环境影响评价项目类别见表2.5-3。</w:t>
      </w: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表2.5-3  地下水环境影响评价项目类别</w:t>
      </w:r>
    </w:p>
    <w:tbl>
      <w:tblPr>
        <w:tblStyle w:val="71"/>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374"/>
        <w:gridCol w:w="3012"/>
        <w:gridCol w:w="872"/>
        <w:gridCol w:w="1427"/>
        <w:gridCol w:w="14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305" w:type="pct"/>
            <w:vMerge w:val="restart"/>
            <w:tcBorders>
              <w:top w:val="single" w:color="000000" w:sz="12" w:space="0"/>
              <w:left w:val="single" w:color="000000" w:sz="12" w:space="0"/>
              <w:tl2br w:val="single" w:color="000000" w:sz="4" w:space="0"/>
            </w:tcBorders>
            <w:vAlign w:val="center"/>
          </w:tcPr>
          <w:p>
            <w:pPr>
              <w:autoSpaceDE w:val="0"/>
              <w:autoSpaceDN w:val="0"/>
              <w:adjustRightInd w:val="0"/>
              <w:snapToGrid w:val="0"/>
              <w:jc w:val="right"/>
              <w:rPr>
                <w:rFonts w:ascii="Times New Roman" w:hAnsi="Times New Roman" w:eastAsiaTheme="minorEastAsia"/>
                <w:b/>
                <w:color w:val="000000"/>
                <w:kern w:val="0"/>
              </w:rPr>
            </w:pPr>
            <w:r>
              <w:rPr>
                <w:rFonts w:ascii="Times New Roman" w:hAnsi="Times New Roman" w:eastAsiaTheme="minorEastAsia"/>
                <w:b/>
                <w:color w:val="000000"/>
                <w:kern w:val="0"/>
              </w:rPr>
              <w:t>行业类别</w:t>
            </w:r>
          </w:p>
          <w:p>
            <w:pPr>
              <w:autoSpaceDE w:val="0"/>
              <w:autoSpaceDN w:val="0"/>
              <w:adjustRightInd w:val="0"/>
              <w:snapToGrid w:val="0"/>
              <w:rPr>
                <w:rFonts w:ascii="Times New Roman" w:hAnsi="Times New Roman" w:eastAsiaTheme="minorEastAsia"/>
                <w:b/>
                <w:color w:val="000000"/>
                <w:kern w:val="0"/>
              </w:rPr>
            </w:pPr>
            <w:r>
              <w:rPr>
                <w:rFonts w:ascii="Times New Roman" w:hAnsi="Times New Roman" w:eastAsiaTheme="minorEastAsia"/>
                <w:b/>
                <w:color w:val="000000"/>
                <w:kern w:val="0"/>
              </w:rPr>
              <w:t>环评类别</w:t>
            </w:r>
          </w:p>
        </w:tc>
        <w:tc>
          <w:tcPr>
            <w:tcW w:w="1655" w:type="pct"/>
            <w:vMerge w:val="restart"/>
            <w:tcBorders>
              <w:top w:val="single" w:color="000000" w:sz="12" w:space="0"/>
            </w:tcBorders>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报告书</w:t>
            </w:r>
          </w:p>
        </w:tc>
        <w:tc>
          <w:tcPr>
            <w:tcW w:w="479" w:type="pct"/>
            <w:vMerge w:val="restart"/>
            <w:tcBorders>
              <w:top w:val="single" w:color="000000" w:sz="12" w:space="0"/>
            </w:tcBorders>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报告表</w:t>
            </w:r>
          </w:p>
        </w:tc>
        <w:tc>
          <w:tcPr>
            <w:tcW w:w="1559" w:type="pct"/>
            <w:gridSpan w:val="2"/>
            <w:tcBorders>
              <w:top w:val="single" w:color="000000" w:sz="12" w:space="0"/>
              <w:right w:val="single" w:color="000000" w:sz="12" w:space="0"/>
            </w:tcBorders>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地下水环境影响评价项目类别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305" w:type="pct"/>
            <w:vMerge w:val="continue"/>
            <w:tcBorders>
              <w:left w:val="single" w:color="000000" w:sz="12" w:space="0"/>
              <w:tl2br w:val="single" w:color="000000" w:sz="4" w:space="0"/>
            </w:tcBorders>
            <w:vAlign w:val="center"/>
          </w:tcPr>
          <w:p>
            <w:pPr>
              <w:autoSpaceDE w:val="0"/>
              <w:autoSpaceDN w:val="0"/>
              <w:adjustRightInd w:val="0"/>
              <w:snapToGrid w:val="0"/>
              <w:jc w:val="center"/>
              <w:rPr>
                <w:rFonts w:ascii="Times New Roman" w:hAnsi="Times New Roman" w:eastAsiaTheme="minorEastAsia"/>
                <w:b/>
                <w:color w:val="000000"/>
                <w:kern w:val="0"/>
              </w:rPr>
            </w:pPr>
          </w:p>
        </w:tc>
        <w:tc>
          <w:tcPr>
            <w:tcW w:w="1655" w:type="pct"/>
            <w:vMerge w:val="continue"/>
            <w:vAlign w:val="center"/>
          </w:tcPr>
          <w:p>
            <w:pPr>
              <w:autoSpaceDE w:val="0"/>
              <w:autoSpaceDN w:val="0"/>
              <w:adjustRightInd w:val="0"/>
              <w:snapToGrid w:val="0"/>
              <w:jc w:val="center"/>
              <w:rPr>
                <w:rFonts w:ascii="Times New Roman" w:hAnsi="Times New Roman" w:eastAsiaTheme="minorEastAsia"/>
                <w:b/>
                <w:color w:val="000000"/>
                <w:kern w:val="0"/>
              </w:rPr>
            </w:pPr>
          </w:p>
        </w:tc>
        <w:tc>
          <w:tcPr>
            <w:tcW w:w="479" w:type="pct"/>
            <w:vMerge w:val="continue"/>
            <w:vAlign w:val="center"/>
          </w:tcPr>
          <w:p>
            <w:pPr>
              <w:autoSpaceDE w:val="0"/>
              <w:autoSpaceDN w:val="0"/>
              <w:adjustRightInd w:val="0"/>
              <w:snapToGrid w:val="0"/>
              <w:jc w:val="center"/>
              <w:rPr>
                <w:rFonts w:ascii="Times New Roman" w:hAnsi="Times New Roman" w:eastAsiaTheme="minorEastAsia"/>
                <w:b/>
                <w:color w:val="000000"/>
                <w:kern w:val="0"/>
              </w:rPr>
            </w:pPr>
          </w:p>
        </w:tc>
        <w:tc>
          <w:tcPr>
            <w:tcW w:w="784"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报告书</w:t>
            </w:r>
          </w:p>
        </w:tc>
        <w:tc>
          <w:tcPr>
            <w:tcW w:w="775" w:type="pct"/>
            <w:tcBorders>
              <w:right w:val="single" w:color="000000" w:sz="12" w:space="0"/>
            </w:tcBorders>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报告表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305" w:type="pct"/>
            <w:tcBorders>
              <w:left w:val="single" w:color="000000" w:sz="12" w:space="0"/>
              <w:bottom w:val="single" w:color="000000" w:sz="12"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130、干散货（含煤炭、矿石）、件杂、多用途、通用码头</w:t>
            </w:r>
          </w:p>
        </w:tc>
        <w:tc>
          <w:tcPr>
            <w:tcW w:w="1655" w:type="pct"/>
            <w:tcBorders>
              <w:bottom w:val="single" w:color="000000" w:sz="12"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单个泊位1000吨级及以上的内河港口；单个泊位1万吨级及以上的沿海港口；涉及环境敏感区的</w:t>
            </w:r>
          </w:p>
        </w:tc>
        <w:tc>
          <w:tcPr>
            <w:tcW w:w="479" w:type="pct"/>
            <w:tcBorders>
              <w:bottom w:val="single" w:color="000000" w:sz="12"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其他</w:t>
            </w:r>
          </w:p>
        </w:tc>
        <w:tc>
          <w:tcPr>
            <w:tcW w:w="784" w:type="pct"/>
            <w:tcBorders>
              <w:bottom w:val="single" w:color="000000" w:sz="12"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宋体" w:hAnsi="宋体" w:cs="宋体"/>
                <w:bCs/>
                <w:color w:val="000000"/>
                <w:kern w:val="0"/>
              </w:rPr>
              <w:t>Ⅳ</w:t>
            </w:r>
            <w:r>
              <w:rPr>
                <w:rFonts w:ascii="Times New Roman" w:hAnsi="Times New Roman" w:eastAsiaTheme="minorEastAsia"/>
                <w:color w:val="000000"/>
                <w:kern w:val="0"/>
              </w:rPr>
              <w:t>类</w:t>
            </w:r>
          </w:p>
        </w:tc>
        <w:tc>
          <w:tcPr>
            <w:tcW w:w="775" w:type="pct"/>
            <w:tcBorders>
              <w:bottom w:val="single" w:color="000000" w:sz="12" w:space="0"/>
              <w:right w:val="single" w:color="000000" w:sz="12"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hint="eastAsia" w:ascii="宋体" w:hAnsi="宋体" w:cs="宋体"/>
                <w:bCs/>
                <w:color w:val="000000"/>
                <w:kern w:val="0"/>
              </w:rPr>
              <w:t>Ⅳ</w:t>
            </w:r>
            <w:r>
              <w:rPr>
                <w:rFonts w:ascii="Times New Roman" w:hAnsi="Times New Roman" w:eastAsiaTheme="minorEastAsia"/>
                <w:color w:val="000000"/>
                <w:kern w:val="0"/>
              </w:rPr>
              <w:t>类</w:t>
            </w:r>
          </w:p>
        </w:tc>
      </w:tr>
    </w:tbl>
    <w:p>
      <w:pPr>
        <w:adjustRightInd w:val="0"/>
        <w:snapToGrid w:val="0"/>
        <w:spacing w:line="360" w:lineRule="auto"/>
        <w:ind w:firstLine="420" w:firstLineChars="200"/>
        <w:rPr>
          <w:rFonts w:ascii="Times New Roman" w:hAnsi="Times New Roman" w:eastAsiaTheme="minorEastAsia"/>
          <w:color w:val="000000"/>
          <w:sz w:val="21"/>
          <w:szCs w:val="21"/>
        </w:rPr>
      </w:pP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本项目地下水为</w:t>
      </w:r>
      <w:r>
        <w:rPr>
          <w:rFonts w:hint="eastAsia" w:ascii="宋体" w:hAnsi="宋体" w:cs="宋体"/>
          <w:color w:val="000000"/>
          <w:sz w:val="24"/>
          <w:szCs w:val="24"/>
        </w:rPr>
        <w:t>Ⅳ</w:t>
      </w:r>
      <w:r>
        <w:rPr>
          <w:rFonts w:ascii="Times New Roman" w:hAnsi="Times New Roman" w:eastAsiaTheme="minorEastAsia"/>
          <w:color w:val="000000"/>
          <w:sz w:val="24"/>
          <w:szCs w:val="24"/>
        </w:rPr>
        <w:t>类项目，仅做简单分析。</w:t>
      </w:r>
    </w:p>
    <w:p>
      <w:pPr>
        <w:pStyle w:val="5"/>
        <w:rPr>
          <w:rFonts w:eastAsiaTheme="minorEastAsia"/>
        </w:rPr>
      </w:pPr>
      <w:r>
        <w:rPr>
          <w:rFonts w:eastAsiaTheme="minorEastAsia"/>
        </w:rPr>
        <w:t>大气环境评价等级</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根据《环境影响评价技术导则  大气环境》（HJ2.2-2018），分别计算项目排放主要污染物的最大地面空气质量浓度占标率P</w:t>
      </w:r>
      <w:r>
        <w:rPr>
          <w:rFonts w:ascii="Times New Roman" w:hAnsi="Times New Roman" w:eastAsiaTheme="minorEastAsia"/>
          <w:color w:val="000000"/>
          <w:sz w:val="24"/>
          <w:szCs w:val="24"/>
          <w:vertAlign w:val="subscript"/>
        </w:rPr>
        <w:t>i</w:t>
      </w:r>
      <w:r>
        <w:rPr>
          <w:rFonts w:ascii="Times New Roman" w:hAnsi="Times New Roman" w:eastAsiaTheme="minorEastAsia"/>
          <w:color w:val="000000"/>
          <w:sz w:val="24"/>
          <w:szCs w:val="24"/>
        </w:rPr>
        <w:t xml:space="preserve"> （第i个污染物，简称“最大浓度占标率”），及第i个污染物的地面空气质量浓度达到标准值的10%时所对应的最远距离D</w:t>
      </w:r>
      <w:r>
        <w:rPr>
          <w:rFonts w:ascii="Times New Roman" w:hAnsi="Times New Roman" w:eastAsiaTheme="minorEastAsia"/>
          <w:color w:val="000000"/>
          <w:sz w:val="24"/>
          <w:szCs w:val="24"/>
          <w:vertAlign w:val="subscript"/>
        </w:rPr>
        <w:t>10%</w:t>
      </w:r>
      <w:r>
        <w:rPr>
          <w:rFonts w:ascii="Times New Roman" w:hAnsi="Times New Roman" w:eastAsiaTheme="minorEastAsia"/>
          <w:color w:val="000000"/>
          <w:sz w:val="24"/>
          <w:szCs w:val="24"/>
        </w:rPr>
        <w:t xml:space="preserve"> 。其中P</w:t>
      </w:r>
      <w:r>
        <w:rPr>
          <w:rFonts w:ascii="Times New Roman" w:hAnsi="Times New Roman" w:eastAsiaTheme="minorEastAsia"/>
          <w:color w:val="000000"/>
          <w:sz w:val="24"/>
          <w:szCs w:val="24"/>
          <w:vertAlign w:val="subscript"/>
        </w:rPr>
        <w:t>i</w:t>
      </w:r>
      <w:r>
        <w:rPr>
          <w:rFonts w:ascii="Times New Roman" w:hAnsi="Times New Roman" w:eastAsiaTheme="minorEastAsia"/>
          <w:color w:val="000000"/>
          <w:sz w:val="24"/>
          <w:szCs w:val="24"/>
        </w:rPr>
        <w:t xml:space="preserve"> 定义为：</w:t>
      </w:r>
    </w:p>
    <w:p>
      <w:pPr>
        <w:adjustRightInd w:val="0"/>
        <w:snapToGrid w:val="0"/>
        <w:spacing w:line="360" w:lineRule="auto"/>
        <w:jc w:val="center"/>
        <w:rPr>
          <w:rFonts w:ascii="Times New Roman" w:hAnsi="Times New Roman" w:eastAsiaTheme="minorEastAsia"/>
          <w:color w:val="000000"/>
          <w:sz w:val="24"/>
          <w:szCs w:val="24"/>
        </w:rPr>
      </w:pPr>
      <w:r>
        <w:rPr>
          <w:rFonts w:ascii="Times New Roman" w:hAnsi="Times New Roman" w:eastAsiaTheme="minorEastAsia"/>
        </w:rPr>
        <w:drawing>
          <wp:inline distT="0" distB="0" distL="0" distR="0">
            <wp:extent cx="1009650" cy="4114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stretch>
                      <a:fillRect/>
                    </a:stretch>
                  </pic:blipFill>
                  <pic:spPr>
                    <a:xfrm>
                      <a:off x="0" y="0"/>
                      <a:ext cx="1032411" cy="420796"/>
                    </a:xfrm>
                    <a:prstGeom prst="rect">
                      <a:avLst/>
                    </a:prstGeom>
                  </pic:spPr>
                </pic:pic>
              </a:graphicData>
            </a:graphic>
          </wp:inline>
        </w:drawing>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式中：P</w:t>
      </w:r>
      <w:r>
        <w:rPr>
          <w:rFonts w:ascii="Times New Roman" w:hAnsi="Times New Roman" w:eastAsiaTheme="minorEastAsia"/>
          <w:color w:val="000000"/>
          <w:sz w:val="24"/>
          <w:szCs w:val="24"/>
          <w:vertAlign w:val="subscript"/>
        </w:rPr>
        <w:t>i</w:t>
      </w:r>
      <w:r>
        <w:rPr>
          <w:rFonts w:ascii="Times New Roman" w:hAnsi="Times New Roman" w:eastAsiaTheme="minorEastAsia"/>
          <w:color w:val="000000"/>
          <w:sz w:val="24"/>
          <w:szCs w:val="24"/>
        </w:rPr>
        <w:t>——第i个污染物的最大地面空气质量浓度占标率，%；</w:t>
      </w:r>
    </w:p>
    <w:p>
      <w:pPr>
        <w:adjustRightInd w:val="0"/>
        <w:snapToGrid w:val="0"/>
        <w:spacing w:line="360" w:lineRule="auto"/>
        <w:ind w:firstLine="1200" w:firstLineChars="500"/>
        <w:rPr>
          <w:rFonts w:ascii="Times New Roman" w:hAnsi="Times New Roman" w:eastAsiaTheme="minorEastAsia"/>
          <w:color w:val="000000"/>
          <w:sz w:val="24"/>
          <w:szCs w:val="24"/>
        </w:rPr>
      </w:pPr>
      <w:r>
        <w:rPr>
          <w:rFonts w:ascii="Times New Roman" w:hAnsi="Times New Roman" w:eastAsiaTheme="minorEastAsia"/>
          <w:color w:val="000000"/>
          <w:sz w:val="24"/>
          <w:szCs w:val="24"/>
        </w:rPr>
        <w:t>C</w:t>
      </w:r>
      <w:r>
        <w:rPr>
          <w:rFonts w:ascii="Times New Roman" w:hAnsi="Times New Roman" w:eastAsiaTheme="minorEastAsia"/>
          <w:color w:val="000000"/>
          <w:sz w:val="24"/>
          <w:szCs w:val="24"/>
          <w:vertAlign w:val="subscript"/>
        </w:rPr>
        <w:t>i</w:t>
      </w:r>
      <w:r>
        <w:rPr>
          <w:rFonts w:ascii="Times New Roman" w:hAnsi="Times New Roman" w:eastAsiaTheme="minorEastAsia"/>
          <w:color w:val="000000"/>
          <w:sz w:val="24"/>
          <w:szCs w:val="24"/>
        </w:rPr>
        <w:t>——采用估算模式计算出的第i个污染物的最大1h地面空气质量浓度，μg/m</w:t>
      </w:r>
      <w:r>
        <w:rPr>
          <w:rFonts w:ascii="Times New Roman" w:hAnsi="Times New Roman" w:eastAsiaTheme="minorEastAsia"/>
          <w:color w:val="000000"/>
          <w:sz w:val="24"/>
          <w:szCs w:val="24"/>
          <w:vertAlign w:val="superscript"/>
        </w:rPr>
        <w:t>3</w:t>
      </w:r>
      <w:r>
        <w:rPr>
          <w:rFonts w:ascii="Times New Roman" w:hAnsi="Times New Roman" w:eastAsiaTheme="minorEastAsia"/>
          <w:color w:val="000000"/>
          <w:sz w:val="24"/>
          <w:szCs w:val="24"/>
        </w:rPr>
        <w:t>；</w:t>
      </w:r>
    </w:p>
    <w:p>
      <w:pPr>
        <w:adjustRightInd w:val="0"/>
        <w:snapToGrid w:val="0"/>
        <w:spacing w:line="360" w:lineRule="auto"/>
        <w:ind w:firstLine="1200" w:firstLineChars="500"/>
        <w:rPr>
          <w:rFonts w:ascii="Times New Roman" w:hAnsi="Times New Roman" w:eastAsiaTheme="minorEastAsia"/>
          <w:color w:val="000000"/>
          <w:sz w:val="24"/>
          <w:szCs w:val="24"/>
        </w:rPr>
      </w:pPr>
      <w:r>
        <w:rPr>
          <w:rFonts w:ascii="Times New Roman" w:hAnsi="Times New Roman" w:eastAsiaTheme="minorEastAsia"/>
          <w:color w:val="000000"/>
          <w:sz w:val="24"/>
          <w:szCs w:val="24"/>
        </w:rPr>
        <w:t>C</w:t>
      </w:r>
      <w:r>
        <w:rPr>
          <w:rFonts w:ascii="Times New Roman" w:hAnsi="Times New Roman" w:eastAsiaTheme="minorEastAsia"/>
          <w:color w:val="000000"/>
          <w:sz w:val="24"/>
          <w:szCs w:val="24"/>
          <w:vertAlign w:val="subscript"/>
        </w:rPr>
        <w:t>oi</w:t>
      </w:r>
      <w:r>
        <w:rPr>
          <w:rFonts w:ascii="Times New Roman" w:hAnsi="Times New Roman" w:eastAsiaTheme="minorEastAsia"/>
          <w:color w:val="000000"/>
          <w:sz w:val="24"/>
          <w:szCs w:val="24"/>
        </w:rPr>
        <w:t>——第i个污染物的环境空气质量标准，μg/m</w:t>
      </w:r>
      <w:r>
        <w:rPr>
          <w:rFonts w:ascii="Times New Roman" w:hAnsi="Times New Roman" w:eastAsiaTheme="minorEastAsia"/>
          <w:color w:val="000000"/>
          <w:sz w:val="24"/>
          <w:szCs w:val="24"/>
          <w:vertAlign w:val="superscript"/>
        </w:rPr>
        <w:t>3</w:t>
      </w:r>
      <w:r>
        <w:rPr>
          <w:rFonts w:ascii="Times New Roman" w:hAnsi="Times New Roman" w:eastAsiaTheme="minorEastAsia"/>
          <w:color w:val="000000"/>
          <w:sz w:val="24"/>
          <w:szCs w:val="24"/>
        </w:rPr>
        <w:t>；</w:t>
      </w:r>
    </w:p>
    <w:p>
      <w:pPr>
        <w:adjustRightInd w:val="0"/>
        <w:snapToGrid w:val="0"/>
        <w:spacing w:line="360" w:lineRule="auto"/>
        <w:ind w:firstLine="1200" w:firstLineChars="500"/>
        <w:rPr>
          <w:rFonts w:ascii="Times New Roman" w:hAnsi="Times New Roman" w:eastAsiaTheme="minorEastAsia"/>
          <w:color w:val="000000"/>
          <w:sz w:val="24"/>
          <w:szCs w:val="24"/>
        </w:rPr>
      </w:pPr>
      <w:r>
        <w:rPr>
          <w:rFonts w:ascii="Times New Roman" w:hAnsi="Times New Roman" w:eastAsiaTheme="minorEastAsia"/>
          <w:color w:val="000000"/>
          <w:sz w:val="24"/>
          <w:szCs w:val="24"/>
        </w:rPr>
        <w:t>C</w:t>
      </w:r>
      <w:r>
        <w:rPr>
          <w:rFonts w:ascii="Times New Roman" w:hAnsi="Times New Roman" w:eastAsiaTheme="minorEastAsia"/>
          <w:color w:val="000000"/>
          <w:sz w:val="24"/>
          <w:szCs w:val="24"/>
          <w:vertAlign w:val="subscript"/>
        </w:rPr>
        <w:t>oi</w:t>
      </w:r>
      <w:r>
        <w:rPr>
          <w:rFonts w:ascii="Times New Roman" w:hAnsi="Times New Roman" w:eastAsiaTheme="minorEastAsia"/>
          <w:color w:val="000000"/>
          <w:sz w:val="24"/>
          <w:szCs w:val="24"/>
        </w:rPr>
        <w:t xml:space="preserve"> 一般选用《环境空气质量标准》（GB3095-2012）中1小时平均取样时间的二级标准的浓度限值；如项目位于一类环境空气功能区，应选择相应的一级浓度限值；对该标准中未包含的污染物，可参照附录D附录中的浓度限值。对上述标准中都未包含的污染物，可参照选用其他国家、国际组织发布的环境质量浓度限值或基准值，但应作出说明，经生态环境主管部门同意后执行。</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根据《环境影响评价技术导则  大气环境》（HJ2.2-2018）中规定的大气评价等级及推荐的估算模式计算P</w:t>
      </w:r>
      <w:r>
        <w:rPr>
          <w:rFonts w:ascii="Times New Roman" w:hAnsi="Times New Roman" w:eastAsiaTheme="minorEastAsia"/>
          <w:color w:val="FF0000"/>
          <w:sz w:val="24"/>
          <w:szCs w:val="24"/>
          <w:u w:val="single"/>
          <w:vertAlign w:val="subscript"/>
        </w:rPr>
        <w:t>i</w:t>
      </w:r>
      <w:r>
        <w:rPr>
          <w:rFonts w:ascii="Times New Roman" w:hAnsi="Times New Roman" w:eastAsiaTheme="minorEastAsia"/>
          <w:color w:val="FF0000"/>
          <w:sz w:val="24"/>
          <w:szCs w:val="24"/>
          <w:u w:val="single"/>
        </w:rPr>
        <w:t>，其计算依据见表2.5-4，相关污染物排放参数及计算结果见下表2.5-5、表2.5-6。</w:t>
      </w:r>
    </w:p>
    <w:p>
      <w:pPr>
        <w:tabs>
          <w:tab w:val="left" w:pos="900"/>
        </w:tabs>
        <w:snapToGrid w:val="0"/>
        <w:spacing w:line="276" w:lineRule="auto"/>
        <w:jc w:val="center"/>
        <w:rPr>
          <w:rFonts w:ascii="Times New Roman" w:hAnsi="Times New Roman" w:eastAsiaTheme="minorEastAsia"/>
          <w:b/>
          <w:color w:val="FF0000"/>
          <w:sz w:val="24"/>
          <w:szCs w:val="24"/>
          <w:u w:val="single"/>
        </w:rPr>
      </w:pPr>
      <w:r>
        <w:rPr>
          <w:rFonts w:ascii="Times New Roman" w:hAnsi="Times New Roman" w:eastAsiaTheme="minorEastAsia"/>
          <w:b/>
          <w:color w:val="FF0000"/>
          <w:sz w:val="24"/>
          <w:szCs w:val="24"/>
          <w:u w:val="single"/>
        </w:rPr>
        <w:t>表2.5-4  环境空气评价工作等级判据</w:t>
      </w:r>
    </w:p>
    <w:tbl>
      <w:tblPr>
        <w:tblStyle w:val="7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550"/>
        <w:gridCol w:w="45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00" w:type="pct"/>
            <w:vAlign w:val="center"/>
          </w:tcPr>
          <w:p>
            <w:pPr>
              <w:autoSpaceDE w:val="0"/>
              <w:autoSpaceDN w:val="0"/>
              <w:adjustRightInd w:val="0"/>
              <w:snapToGrid w:val="0"/>
              <w:jc w:val="center"/>
              <w:rPr>
                <w:rFonts w:ascii="Times New Roman" w:hAnsi="Times New Roman" w:eastAsiaTheme="minorEastAsia"/>
                <w:b/>
                <w:color w:val="FF0000"/>
                <w:kern w:val="0"/>
                <w:u w:val="single"/>
              </w:rPr>
            </w:pPr>
            <w:r>
              <w:rPr>
                <w:rFonts w:ascii="Times New Roman" w:hAnsi="Times New Roman" w:eastAsiaTheme="minorEastAsia"/>
                <w:b/>
                <w:color w:val="FF0000"/>
                <w:kern w:val="0"/>
                <w:u w:val="single"/>
              </w:rPr>
              <w:t>评价工作等级</w:t>
            </w:r>
          </w:p>
        </w:tc>
        <w:tc>
          <w:tcPr>
            <w:tcW w:w="2500" w:type="pct"/>
            <w:vAlign w:val="center"/>
          </w:tcPr>
          <w:p>
            <w:pPr>
              <w:autoSpaceDE w:val="0"/>
              <w:autoSpaceDN w:val="0"/>
              <w:adjustRightInd w:val="0"/>
              <w:snapToGrid w:val="0"/>
              <w:jc w:val="center"/>
              <w:rPr>
                <w:rFonts w:ascii="Times New Roman" w:hAnsi="Times New Roman" w:eastAsiaTheme="minorEastAsia"/>
                <w:b/>
                <w:color w:val="FF0000"/>
                <w:kern w:val="0"/>
                <w:u w:val="single"/>
              </w:rPr>
            </w:pPr>
            <w:r>
              <w:rPr>
                <w:rFonts w:ascii="Times New Roman" w:hAnsi="Times New Roman" w:eastAsiaTheme="minorEastAsia"/>
                <w:b/>
                <w:color w:val="FF0000"/>
                <w:kern w:val="0"/>
                <w:u w:val="single"/>
              </w:rPr>
              <w:t>评价工作等级判据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00" w:type="pct"/>
            <w:vAlign w:val="center"/>
          </w:tcPr>
          <w:p>
            <w:pPr>
              <w:autoSpaceDE w:val="0"/>
              <w:autoSpaceDN w:val="0"/>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一级</w:t>
            </w:r>
          </w:p>
        </w:tc>
        <w:tc>
          <w:tcPr>
            <w:tcW w:w="2500" w:type="pct"/>
            <w:vAlign w:val="center"/>
          </w:tcPr>
          <w:p>
            <w:pPr>
              <w:autoSpaceDE w:val="0"/>
              <w:autoSpaceDN w:val="0"/>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P</w:t>
            </w:r>
            <w:r>
              <w:rPr>
                <w:rFonts w:ascii="Times New Roman" w:hAnsi="Times New Roman" w:eastAsiaTheme="minorEastAsia"/>
                <w:color w:val="FF0000"/>
                <w:kern w:val="0"/>
                <w:u w:val="single"/>
                <w:vertAlign w:val="subscript"/>
              </w:rPr>
              <w:t>max</w:t>
            </w:r>
            <w:r>
              <w:rPr>
                <w:rFonts w:ascii="Times New Roman" w:hAnsi="Times New Roman" w:eastAsiaTheme="minorEastAsia"/>
                <w:color w:val="FF0000"/>
                <w:kern w:val="0"/>
                <w:u w:val="singl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00" w:type="pct"/>
            <w:vAlign w:val="center"/>
          </w:tcPr>
          <w:p>
            <w:pPr>
              <w:autoSpaceDE w:val="0"/>
              <w:autoSpaceDN w:val="0"/>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二级</w:t>
            </w:r>
          </w:p>
        </w:tc>
        <w:tc>
          <w:tcPr>
            <w:tcW w:w="2500" w:type="pct"/>
            <w:vAlign w:val="center"/>
          </w:tcPr>
          <w:p>
            <w:pPr>
              <w:autoSpaceDE w:val="0"/>
              <w:autoSpaceDN w:val="0"/>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1%≤P</w:t>
            </w:r>
            <w:r>
              <w:rPr>
                <w:rFonts w:ascii="Times New Roman" w:hAnsi="Times New Roman" w:eastAsiaTheme="minorEastAsia"/>
                <w:color w:val="FF0000"/>
                <w:kern w:val="0"/>
                <w:u w:val="single"/>
                <w:vertAlign w:val="subscript"/>
              </w:rPr>
              <w:t>max</w:t>
            </w:r>
            <w:r>
              <w:rPr>
                <w:rFonts w:ascii="Times New Roman" w:hAnsi="Times New Roman" w:eastAsiaTheme="minorEastAsia"/>
                <w:color w:val="FF0000"/>
                <w:kern w:val="0"/>
                <w:u w:val="singl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00" w:type="pct"/>
            <w:vAlign w:val="center"/>
          </w:tcPr>
          <w:p>
            <w:pPr>
              <w:autoSpaceDE w:val="0"/>
              <w:autoSpaceDN w:val="0"/>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三级</w:t>
            </w:r>
          </w:p>
        </w:tc>
        <w:tc>
          <w:tcPr>
            <w:tcW w:w="2500" w:type="pct"/>
            <w:vAlign w:val="center"/>
          </w:tcPr>
          <w:p>
            <w:pPr>
              <w:autoSpaceDE w:val="0"/>
              <w:autoSpaceDN w:val="0"/>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P</w:t>
            </w:r>
            <w:r>
              <w:rPr>
                <w:rFonts w:ascii="Times New Roman" w:hAnsi="Times New Roman" w:eastAsiaTheme="minorEastAsia"/>
                <w:color w:val="FF0000"/>
                <w:kern w:val="0"/>
                <w:u w:val="single"/>
                <w:vertAlign w:val="subscript"/>
              </w:rPr>
              <w:t>max</w:t>
            </w:r>
            <w:r>
              <w:rPr>
                <w:rFonts w:ascii="Times New Roman" w:hAnsi="Times New Roman" w:eastAsiaTheme="minorEastAsia"/>
                <w:color w:val="FF0000"/>
                <w:kern w:val="0"/>
                <w:u w:val="single"/>
              </w:rPr>
              <w:t>&lt;1%</w:t>
            </w:r>
          </w:p>
        </w:tc>
      </w:tr>
    </w:tbl>
    <w:p>
      <w:pPr>
        <w:tabs>
          <w:tab w:val="left" w:pos="900"/>
        </w:tabs>
        <w:snapToGrid w:val="0"/>
        <w:spacing w:line="276" w:lineRule="auto"/>
        <w:jc w:val="center"/>
        <w:rPr>
          <w:rFonts w:ascii="Times New Roman" w:hAnsi="Times New Roman" w:eastAsiaTheme="minorEastAsia"/>
          <w:b/>
          <w:color w:val="FF0000"/>
          <w:sz w:val="24"/>
          <w:szCs w:val="24"/>
          <w:u w:val="single"/>
        </w:rPr>
      </w:pPr>
      <w:r>
        <w:rPr>
          <w:rFonts w:ascii="Times New Roman" w:hAnsi="Times New Roman" w:eastAsiaTheme="minorEastAsia"/>
          <w:b/>
          <w:color w:val="FF0000"/>
          <w:sz w:val="24"/>
          <w:szCs w:val="24"/>
          <w:u w:val="single"/>
        </w:rPr>
        <w:t>表2.5-5  估算模型参数表</w:t>
      </w:r>
    </w:p>
    <w:tbl>
      <w:tblPr>
        <w:tblStyle w:val="71"/>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704"/>
        <w:gridCol w:w="1689"/>
        <w:gridCol w:w="1802"/>
        <w:gridCol w:w="29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2414" w:type="pct"/>
            <w:gridSpan w:val="2"/>
            <w:tcBorders>
              <w:tl2br w:val="nil"/>
              <w:tr2bl w:val="nil"/>
            </w:tcBorders>
            <w:vAlign w:val="center"/>
          </w:tcPr>
          <w:p>
            <w:pPr>
              <w:jc w:val="center"/>
              <w:rPr>
                <w:rFonts w:ascii="Times New Roman" w:hAnsi="Times New Roman"/>
                <w:b/>
                <w:color w:val="FF0000"/>
                <w:u w:val="single"/>
              </w:rPr>
            </w:pPr>
            <w:r>
              <w:rPr>
                <w:rFonts w:ascii="Times New Roman" w:hAnsi="Times New Roman"/>
                <w:b/>
                <w:color w:val="FF0000"/>
                <w:u w:val="single"/>
              </w:rPr>
              <w:t>参数</w:t>
            </w:r>
          </w:p>
        </w:tc>
        <w:tc>
          <w:tcPr>
            <w:tcW w:w="2585" w:type="pct"/>
            <w:gridSpan w:val="2"/>
            <w:tcBorders>
              <w:tl2br w:val="nil"/>
              <w:tr2bl w:val="nil"/>
            </w:tcBorders>
            <w:vAlign w:val="center"/>
          </w:tcPr>
          <w:p>
            <w:pPr>
              <w:jc w:val="center"/>
              <w:rPr>
                <w:rFonts w:ascii="Times New Roman" w:hAnsi="Times New Roman"/>
                <w:b/>
                <w:color w:val="FF0000"/>
                <w:u w:val="single"/>
              </w:rPr>
            </w:pPr>
            <w:r>
              <w:rPr>
                <w:rFonts w:ascii="Times New Roman" w:hAnsi="Times New Roman"/>
                <w:b/>
                <w:color w:val="FF0000"/>
                <w:u w:val="single"/>
              </w:rPr>
              <w:t>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86" w:type="pct"/>
            <w:vMerge w:val="restart"/>
            <w:tcBorders>
              <w:tl2br w:val="nil"/>
              <w:tr2bl w:val="nil"/>
            </w:tcBorders>
            <w:vAlign w:val="center"/>
          </w:tcPr>
          <w:p>
            <w:pPr>
              <w:jc w:val="center"/>
              <w:rPr>
                <w:rFonts w:ascii="Times New Roman" w:hAnsi="Times New Roman"/>
                <w:color w:val="FF0000"/>
                <w:u w:val="single"/>
              </w:rPr>
            </w:pPr>
            <w:r>
              <w:rPr>
                <w:rFonts w:ascii="Times New Roman" w:hAnsi="Times New Roman"/>
                <w:color w:val="FF0000"/>
                <w:u w:val="single"/>
              </w:rPr>
              <w:t>城市/农村选项</w:t>
            </w:r>
          </w:p>
        </w:tc>
        <w:tc>
          <w:tcPr>
            <w:tcW w:w="1918" w:type="pct"/>
            <w:gridSpan w:val="2"/>
            <w:tcBorders>
              <w:tl2br w:val="nil"/>
              <w:tr2bl w:val="nil"/>
            </w:tcBorders>
            <w:vAlign w:val="center"/>
          </w:tcPr>
          <w:p>
            <w:pPr>
              <w:jc w:val="center"/>
              <w:rPr>
                <w:rFonts w:ascii="Times New Roman" w:hAnsi="Times New Roman"/>
                <w:color w:val="FF0000"/>
                <w:u w:val="single"/>
              </w:rPr>
            </w:pPr>
            <w:r>
              <w:rPr>
                <w:rFonts w:ascii="Times New Roman" w:hAnsi="Times New Roman"/>
                <w:color w:val="FF0000"/>
                <w:u w:val="single"/>
              </w:rPr>
              <w:t>城市/农村</w:t>
            </w:r>
          </w:p>
        </w:tc>
        <w:tc>
          <w:tcPr>
            <w:tcW w:w="1595" w:type="pct"/>
            <w:tcBorders>
              <w:tl2br w:val="nil"/>
              <w:tr2bl w:val="nil"/>
            </w:tcBorders>
            <w:vAlign w:val="center"/>
          </w:tcPr>
          <w:p>
            <w:pPr>
              <w:jc w:val="center"/>
              <w:rPr>
                <w:rFonts w:ascii="Times New Roman" w:hAnsi="Times New Roman"/>
                <w:color w:val="FF0000"/>
                <w:u w:val="single"/>
              </w:rPr>
            </w:pPr>
            <w:r>
              <w:rPr>
                <w:rFonts w:ascii="Times New Roman" w:hAnsi="Times New Roman"/>
                <w:color w:val="FF0000"/>
                <w:u w:val="single"/>
              </w:rPr>
              <w:t>农村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86" w:type="pct"/>
            <w:vMerge w:val="continue"/>
            <w:tcBorders>
              <w:tl2br w:val="nil"/>
              <w:tr2bl w:val="nil"/>
            </w:tcBorders>
            <w:vAlign w:val="center"/>
          </w:tcPr>
          <w:p>
            <w:pPr>
              <w:jc w:val="center"/>
              <w:rPr>
                <w:rFonts w:ascii="Times New Roman" w:hAnsi="Times New Roman"/>
                <w:color w:val="FF0000"/>
                <w:u w:val="single"/>
              </w:rPr>
            </w:pPr>
          </w:p>
        </w:tc>
        <w:tc>
          <w:tcPr>
            <w:tcW w:w="1918" w:type="pct"/>
            <w:gridSpan w:val="2"/>
            <w:tcBorders>
              <w:tl2br w:val="nil"/>
              <w:tr2bl w:val="nil"/>
            </w:tcBorders>
            <w:vAlign w:val="center"/>
          </w:tcPr>
          <w:p>
            <w:pPr>
              <w:jc w:val="center"/>
              <w:rPr>
                <w:rFonts w:ascii="Times New Roman" w:hAnsi="Times New Roman"/>
                <w:color w:val="FF0000"/>
                <w:u w:val="single"/>
              </w:rPr>
            </w:pPr>
            <w:r>
              <w:rPr>
                <w:rFonts w:ascii="Times New Roman" w:hAnsi="Times New Roman"/>
                <w:color w:val="FF0000"/>
                <w:u w:val="single"/>
              </w:rPr>
              <w:t>人口数</w:t>
            </w:r>
            <w:r>
              <w:rPr>
                <w:rFonts w:hint="eastAsia" w:ascii="Times New Roman" w:hAnsi="Times New Roman"/>
                <w:color w:val="FF0000"/>
                <w:u w:val="single"/>
                <w:lang w:eastAsia="zh-CN"/>
              </w:rPr>
              <w:t>（</w:t>
            </w:r>
            <w:r>
              <w:rPr>
                <w:rFonts w:ascii="Times New Roman" w:hAnsi="Times New Roman"/>
                <w:color w:val="FF0000"/>
                <w:u w:val="single"/>
              </w:rPr>
              <w:t>城市人口数</w:t>
            </w:r>
            <w:r>
              <w:rPr>
                <w:rFonts w:hint="eastAsia" w:ascii="Times New Roman" w:hAnsi="Times New Roman"/>
                <w:color w:val="FF0000"/>
                <w:u w:val="single"/>
                <w:lang w:eastAsia="zh-CN"/>
              </w:rPr>
              <w:t>）</w:t>
            </w:r>
          </w:p>
        </w:tc>
        <w:tc>
          <w:tcPr>
            <w:tcW w:w="1595" w:type="pct"/>
            <w:tcBorders>
              <w:tl2br w:val="nil"/>
              <w:tr2bl w:val="nil"/>
            </w:tcBorders>
            <w:vAlign w:val="center"/>
          </w:tcPr>
          <w:p>
            <w:pPr>
              <w:jc w:val="center"/>
              <w:rPr>
                <w:rFonts w:ascii="Times New Roman" w:hAnsi="Times New Roman"/>
                <w:color w:val="FF0000"/>
                <w:u w:val="single"/>
              </w:rPr>
            </w:pPr>
            <w:r>
              <w:rPr>
                <w:rFonts w:ascii="Times New Roman" w:hAnsi="Times New Roman"/>
                <w:color w:val="FF0000"/>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14" w:type="pct"/>
            <w:gridSpan w:val="2"/>
            <w:tcBorders>
              <w:tl2br w:val="nil"/>
              <w:tr2bl w:val="nil"/>
            </w:tcBorders>
            <w:vAlign w:val="center"/>
          </w:tcPr>
          <w:p>
            <w:pPr>
              <w:jc w:val="center"/>
              <w:rPr>
                <w:rFonts w:ascii="Times New Roman" w:hAnsi="Times New Roman"/>
                <w:color w:val="FF0000"/>
                <w:u w:val="single"/>
              </w:rPr>
            </w:pPr>
            <w:r>
              <w:rPr>
                <w:rFonts w:ascii="Times New Roman" w:hAnsi="Times New Roman"/>
                <w:color w:val="FF0000"/>
                <w:u w:val="single"/>
              </w:rPr>
              <w:t>最高环境温度</w:t>
            </w:r>
          </w:p>
        </w:tc>
        <w:tc>
          <w:tcPr>
            <w:tcW w:w="2585" w:type="pct"/>
            <w:gridSpan w:val="2"/>
            <w:tcBorders>
              <w:tl2br w:val="nil"/>
              <w:tr2bl w:val="nil"/>
            </w:tcBorders>
            <w:vAlign w:val="center"/>
          </w:tcPr>
          <w:p>
            <w:pPr>
              <w:jc w:val="center"/>
              <w:rPr>
                <w:rFonts w:ascii="Times New Roman" w:hAnsi="Times New Roman"/>
                <w:color w:val="FF0000"/>
                <w:u w:val="single"/>
              </w:rPr>
            </w:pPr>
            <w:r>
              <w:rPr>
                <w:rFonts w:ascii="Times New Roman" w:hAnsi="Times New Roman"/>
                <w:color w:val="FF0000"/>
                <w:u w:val="single"/>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14" w:type="pct"/>
            <w:gridSpan w:val="2"/>
            <w:tcBorders>
              <w:tl2br w:val="nil"/>
              <w:tr2bl w:val="nil"/>
            </w:tcBorders>
            <w:vAlign w:val="center"/>
          </w:tcPr>
          <w:p>
            <w:pPr>
              <w:jc w:val="center"/>
              <w:rPr>
                <w:rFonts w:ascii="Times New Roman" w:hAnsi="Times New Roman"/>
                <w:color w:val="FF0000"/>
                <w:u w:val="single"/>
              </w:rPr>
            </w:pPr>
            <w:r>
              <w:rPr>
                <w:rFonts w:ascii="Times New Roman" w:hAnsi="Times New Roman"/>
                <w:color w:val="FF0000"/>
                <w:u w:val="single"/>
              </w:rPr>
              <w:t>最低环境温度</w:t>
            </w:r>
          </w:p>
        </w:tc>
        <w:tc>
          <w:tcPr>
            <w:tcW w:w="2585" w:type="pct"/>
            <w:gridSpan w:val="2"/>
            <w:tcBorders>
              <w:tl2br w:val="nil"/>
              <w:tr2bl w:val="nil"/>
            </w:tcBorders>
            <w:vAlign w:val="center"/>
          </w:tcPr>
          <w:p>
            <w:pPr>
              <w:jc w:val="center"/>
              <w:rPr>
                <w:rFonts w:ascii="Times New Roman" w:hAnsi="Times New Roman"/>
                <w:color w:val="FF0000"/>
                <w:u w:val="single"/>
              </w:rPr>
            </w:pPr>
            <w:r>
              <w:rPr>
                <w:rFonts w:ascii="Times New Roman" w:hAnsi="Times New Roman"/>
                <w:color w:val="FF0000"/>
                <w:u w:val="singl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14" w:type="pct"/>
            <w:gridSpan w:val="2"/>
            <w:tcBorders>
              <w:tl2br w:val="nil"/>
              <w:tr2bl w:val="nil"/>
            </w:tcBorders>
            <w:vAlign w:val="center"/>
          </w:tcPr>
          <w:p>
            <w:pPr>
              <w:jc w:val="center"/>
              <w:rPr>
                <w:rFonts w:ascii="Times New Roman" w:hAnsi="Times New Roman"/>
                <w:color w:val="FF0000"/>
                <w:u w:val="single"/>
              </w:rPr>
            </w:pPr>
            <w:r>
              <w:rPr>
                <w:rFonts w:ascii="Times New Roman" w:hAnsi="Times New Roman"/>
                <w:color w:val="FF0000"/>
                <w:u w:val="single"/>
              </w:rPr>
              <w:t>土地利用类型</w:t>
            </w:r>
          </w:p>
        </w:tc>
        <w:tc>
          <w:tcPr>
            <w:tcW w:w="2585" w:type="pct"/>
            <w:gridSpan w:val="2"/>
            <w:tcBorders>
              <w:tl2br w:val="nil"/>
              <w:tr2bl w:val="nil"/>
            </w:tcBorders>
            <w:vAlign w:val="center"/>
          </w:tcPr>
          <w:p>
            <w:pPr>
              <w:jc w:val="center"/>
              <w:rPr>
                <w:rFonts w:ascii="Times New Roman" w:hAnsi="Times New Roman"/>
                <w:color w:val="FF0000"/>
                <w:u w:val="single"/>
              </w:rPr>
            </w:pPr>
            <w:r>
              <w:rPr>
                <w:rFonts w:ascii="Times New Roman" w:hAnsi="Times New Roman" w:eastAsiaTheme="minorEastAsia"/>
                <w:color w:val="FF0000"/>
                <w:u w:val="single"/>
              </w:rPr>
              <w:t>农村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14" w:type="pct"/>
            <w:gridSpan w:val="2"/>
            <w:tcBorders>
              <w:tl2br w:val="nil"/>
              <w:tr2bl w:val="nil"/>
            </w:tcBorders>
            <w:vAlign w:val="center"/>
          </w:tcPr>
          <w:p>
            <w:pPr>
              <w:jc w:val="center"/>
              <w:rPr>
                <w:rFonts w:ascii="Times New Roman" w:hAnsi="Times New Roman"/>
                <w:color w:val="FF0000"/>
                <w:u w:val="single"/>
              </w:rPr>
            </w:pPr>
            <w:r>
              <w:rPr>
                <w:rFonts w:ascii="Times New Roman" w:hAnsi="Times New Roman"/>
                <w:color w:val="FF0000"/>
                <w:u w:val="single"/>
              </w:rPr>
              <w:t>区域湿度条件</w:t>
            </w:r>
          </w:p>
        </w:tc>
        <w:tc>
          <w:tcPr>
            <w:tcW w:w="2585" w:type="pct"/>
            <w:gridSpan w:val="2"/>
            <w:tcBorders>
              <w:tl2br w:val="nil"/>
              <w:tr2bl w:val="nil"/>
            </w:tcBorders>
            <w:vAlign w:val="center"/>
          </w:tcPr>
          <w:p>
            <w:pPr>
              <w:jc w:val="center"/>
              <w:rPr>
                <w:rFonts w:ascii="Times New Roman" w:hAnsi="Times New Roman"/>
                <w:color w:val="FF0000"/>
                <w:u w:val="single"/>
              </w:rPr>
            </w:pPr>
            <w:r>
              <w:rPr>
                <w:rFonts w:ascii="Times New Roman" w:hAnsi="Times New Roman"/>
                <w:color w:val="FF0000"/>
                <w:u w:val="single"/>
              </w:rPr>
              <w:t>湿润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86" w:type="pct"/>
            <w:vMerge w:val="restart"/>
            <w:tcBorders>
              <w:tl2br w:val="nil"/>
              <w:tr2bl w:val="nil"/>
            </w:tcBorders>
            <w:vAlign w:val="center"/>
          </w:tcPr>
          <w:p>
            <w:pPr>
              <w:jc w:val="center"/>
              <w:rPr>
                <w:rFonts w:ascii="Times New Roman" w:hAnsi="Times New Roman"/>
                <w:color w:val="FF0000"/>
                <w:u w:val="single"/>
              </w:rPr>
            </w:pPr>
            <w:r>
              <w:rPr>
                <w:rFonts w:ascii="Times New Roman" w:hAnsi="Times New Roman"/>
                <w:color w:val="FF0000"/>
                <w:u w:val="single"/>
              </w:rPr>
              <w:t>是否考虑地形</w:t>
            </w:r>
          </w:p>
        </w:tc>
        <w:tc>
          <w:tcPr>
            <w:tcW w:w="1918" w:type="pct"/>
            <w:gridSpan w:val="2"/>
            <w:tcBorders>
              <w:tl2br w:val="nil"/>
              <w:tr2bl w:val="nil"/>
            </w:tcBorders>
            <w:vAlign w:val="center"/>
          </w:tcPr>
          <w:p>
            <w:pPr>
              <w:jc w:val="center"/>
              <w:rPr>
                <w:rFonts w:ascii="Times New Roman" w:hAnsi="Times New Roman"/>
                <w:color w:val="FF0000"/>
                <w:u w:val="single"/>
              </w:rPr>
            </w:pPr>
            <w:r>
              <w:rPr>
                <w:rFonts w:ascii="Times New Roman" w:hAnsi="Times New Roman"/>
                <w:color w:val="FF0000"/>
                <w:u w:val="single"/>
              </w:rPr>
              <w:t>考虑地形</w:t>
            </w:r>
          </w:p>
        </w:tc>
        <w:tc>
          <w:tcPr>
            <w:tcW w:w="1595" w:type="pct"/>
            <w:tcBorders>
              <w:tl2br w:val="nil"/>
              <w:tr2bl w:val="nil"/>
            </w:tcBorders>
            <w:vAlign w:val="center"/>
          </w:tcPr>
          <w:p>
            <w:pPr>
              <w:jc w:val="center"/>
              <w:rPr>
                <w:rFonts w:ascii="Times New Roman" w:hAnsi="Times New Roman"/>
                <w:color w:val="FF0000"/>
                <w:u w:val="single"/>
              </w:rPr>
            </w:pPr>
            <w:r>
              <w:rPr>
                <w:rFonts w:ascii="Times New Roman" w:hAnsi="Times New Roman"/>
                <w:color w:val="FF0000"/>
                <w:u w:val="single"/>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86" w:type="pct"/>
            <w:vMerge w:val="continue"/>
            <w:tcBorders>
              <w:tl2br w:val="nil"/>
              <w:tr2bl w:val="nil"/>
            </w:tcBorders>
            <w:vAlign w:val="center"/>
          </w:tcPr>
          <w:p>
            <w:pPr>
              <w:jc w:val="center"/>
              <w:rPr>
                <w:rFonts w:ascii="Times New Roman" w:hAnsi="Times New Roman"/>
                <w:color w:val="FF0000"/>
                <w:u w:val="single"/>
              </w:rPr>
            </w:pPr>
          </w:p>
        </w:tc>
        <w:tc>
          <w:tcPr>
            <w:tcW w:w="1918" w:type="pct"/>
            <w:gridSpan w:val="2"/>
            <w:tcBorders>
              <w:tl2br w:val="nil"/>
              <w:tr2bl w:val="nil"/>
            </w:tcBorders>
            <w:vAlign w:val="center"/>
          </w:tcPr>
          <w:p>
            <w:pPr>
              <w:jc w:val="center"/>
              <w:rPr>
                <w:rFonts w:ascii="Times New Roman" w:hAnsi="Times New Roman"/>
                <w:color w:val="FF0000"/>
                <w:u w:val="single"/>
              </w:rPr>
            </w:pPr>
            <w:r>
              <w:rPr>
                <w:rFonts w:ascii="Times New Roman" w:hAnsi="Times New Roman"/>
                <w:color w:val="FF0000"/>
                <w:u w:val="single"/>
              </w:rPr>
              <w:t>地形数据分辨率(m)</w:t>
            </w:r>
          </w:p>
        </w:tc>
        <w:tc>
          <w:tcPr>
            <w:tcW w:w="1595" w:type="pct"/>
            <w:tcBorders>
              <w:tl2br w:val="nil"/>
              <w:tr2bl w:val="nil"/>
            </w:tcBorders>
            <w:vAlign w:val="center"/>
          </w:tcPr>
          <w:p>
            <w:pPr>
              <w:jc w:val="center"/>
              <w:rPr>
                <w:rFonts w:ascii="Times New Roman" w:hAnsi="Times New Roman"/>
                <w:color w:val="FF0000"/>
                <w:u w:val="single"/>
              </w:rPr>
            </w:pPr>
            <w:r>
              <w:rPr>
                <w:rFonts w:ascii="Times New Roman" w:hAnsi="Times New Roman"/>
                <w:color w:val="FF0000"/>
                <w:u w:val="single"/>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86" w:type="pct"/>
            <w:vMerge w:val="restart"/>
            <w:tcBorders>
              <w:tl2br w:val="nil"/>
              <w:tr2bl w:val="nil"/>
            </w:tcBorders>
            <w:vAlign w:val="center"/>
          </w:tcPr>
          <w:p>
            <w:pPr>
              <w:jc w:val="center"/>
              <w:rPr>
                <w:rFonts w:ascii="Times New Roman" w:hAnsi="Times New Roman"/>
                <w:color w:val="FF0000"/>
                <w:u w:val="single"/>
              </w:rPr>
            </w:pPr>
            <w:r>
              <w:rPr>
                <w:rFonts w:ascii="Times New Roman" w:hAnsi="Times New Roman"/>
                <w:color w:val="FF0000"/>
                <w:u w:val="single"/>
              </w:rPr>
              <w:t>是否考虑岸线熏烟</w:t>
            </w:r>
          </w:p>
        </w:tc>
        <w:tc>
          <w:tcPr>
            <w:tcW w:w="1918" w:type="pct"/>
            <w:gridSpan w:val="2"/>
            <w:tcBorders>
              <w:tl2br w:val="nil"/>
              <w:tr2bl w:val="nil"/>
            </w:tcBorders>
            <w:vAlign w:val="center"/>
          </w:tcPr>
          <w:p>
            <w:pPr>
              <w:jc w:val="center"/>
              <w:rPr>
                <w:rFonts w:ascii="Times New Roman" w:hAnsi="Times New Roman"/>
                <w:color w:val="FF0000"/>
                <w:u w:val="single"/>
              </w:rPr>
            </w:pPr>
            <w:r>
              <w:rPr>
                <w:rFonts w:ascii="Times New Roman" w:hAnsi="Times New Roman"/>
                <w:color w:val="FF0000"/>
                <w:u w:val="single"/>
              </w:rPr>
              <w:t>考虑岸线熏烟</w:t>
            </w:r>
          </w:p>
        </w:tc>
        <w:tc>
          <w:tcPr>
            <w:tcW w:w="1595" w:type="pct"/>
            <w:tcBorders>
              <w:tl2br w:val="nil"/>
              <w:tr2bl w:val="nil"/>
            </w:tcBorders>
            <w:vAlign w:val="center"/>
          </w:tcPr>
          <w:p>
            <w:pPr>
              <w:jc w:val="center"/>
              <w:rPr>
                <w:rFonts w:ascii="Times New Roman" w:hAnsi="Times New Roman"/>
                <w:color w:val="FF0000"/>
                <w:u w:val="single"/>
              </w:rPr>
            </w:pPr>
            <w:r>
              <w:rPr>
                <w:rFonts w:ascii="Times New Roman" w:hAnsi="Times New Roman"/>
                <w:color w:val="FF0000"/>
                <w:u w:val="singl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86" w:type="pct"/>
            <w:vMerge w:val="continue"/>
            <w:tcBorders>
              <w:tl2br w:val="nil"/>
              <w:tr2bl w:val="nil"/>
            </w:tcBorders>
            <w:vAlign w:val="center"/>
          </w:tcPr>
          <w:p>
            <w:pPr>
              <w:jc w:val="center"/>
              <w:rPr>
                <w:rFonts w:ascii="Times New Roman" w:hAnsi="Times New Roman"/>
                <w:color w:val="FF0000"/>
                <w:u w:val="single"/>
              </w:rPr>
            </w:pPr>
          </w:p>
        </w:tc>
        <w:tc>
          <w:tcPr>
            <w:tcW w:w="1918" w:type="pct"/>
            <w:gridSpan w:val="2"/>
            <w:tcBorders>
              <w:tl2br w:val="nil"/>
              <w:tr2bl w:val="nil"/>
            </w:tcBorders>
            <w:vAlign w:val="center"/>
          </w:tcPr>
          <w:p>
            <w:pPr>
              <w:jc w:val="center"/>
              <w:rPr>
                <w:rFonts w:ascii="Times New Roman" w:hAnsi="Times New Roman"/>
                <w:color w:val="FF0000"/>
                <w:u w:val="single"/>
              </w:rPr>
            </w:pPr>
            <w:r>
              <w:rPr>
                <w:rFonts w:ascii="Times New Roman" w:hAnsi="Times New Roman"/>
                <w:color w:val="FF0000"/>
                <w:u w:val="single"/>
              </w:rPr>
              <w:t>岸线距离/m</w:t>
            </w:r>
          </w:p>
        </w:tc>
        <w:tc>
          <w:tcPr>
            <w:tcW w:w="1595" w:type="pct"/>
            <w:tcBorders>
              <w:tl2br w:val="nil"/>
              <w:tr2bl w:val="nil"/>
            </w:tcBorders>
            <w:vAlign w:val="center"/>
          </w:tcPr>
          <w:p>
            <w:pPr>
              <w:jc w:val="center"/>
              <w:rPr>
                <w:rFonts w:ascii="Times New Roman" w:hAnsi="Times New Roman"/>
                <w:color w:val="FF0000"/>
                <w:u w:val="single"/>
              </w:rPr>
            </w:pPr>
            <w:r>
              <w:rPr>
                <w:rFonts w:ascii="Times New Roman" w:hAnsi="Times New Roman"/>
                <w:color w:val="FF0000"/>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86" w:type="pct"/>
            <w:vMerge w:val="continue"/>
            <w:tcBorders>
              <w:tl2br w:val="nil"/>
              <w:tr2bl w:val="nil"/>
            </w:tcBorders>
            <w:vAlign w:val="center"/>
          </w:tcPr>
          <w:p>
            <w:pPr>
              <w:jc w:val="center"/>
              <w:rPr>
                <w:rFonts w:ascii="Times New Roman" w:hAnsi="Times New Roman"/>
                <w:color w:val="FF0000"/>
                <w:u w:val="single"/>
              </w:rPr>
            </w:pPr>
          </w:p>
        </w:tc>
        <w:tc>
          <w:tcPr>
            <w:tcW w:w="1918" w:type="pct"/>
            <w:gridSpan w:val="2"/>
            <w:tcBorders>
              <w:tl2br w:val="nil"/>
              <w:tr2bl w:val="nil"/>
            </w:tcBorders>
            <w:vAlign w:val="center"/>
          </w:tcPr>
          <w:p>
            <w:pPr>
              <w:jc w:val="center"/>
              <w:rPr>
                <w:rFonts w:ascii="Times New Roman" w:hAnsi="Times New Roman"/>
                <w:color w:val="FF0000"/>
                <w:u w:val="single"/>
              </w:rPr>
            </w:pPr>
            <w:r>
              <w:rPr>
                <w:rFonts w:ascii="Times New Roman" w:hAnsi="Times New Roman"/>
                <w:color w:val="FF0000"/>
                <w:u w:val="single"/>
              </w:rPr>
              <w:t>岸线方向/°</w:t>
            </w:r>
          </w:p>
        </w:tc>
        <w:tc>
          <w:tcPr>
            <w:tcW w:w="1595" w:type="pct"/>
            <w:tcBorders>
              <w:tl2br w:val="nil"/>
              <w:tr2bl w:val="nil"/>
            </w:tcBorders>
            <w:vAlign w:val="center"/>
          </w:tcPr>
          <w:p>
            <w:pPr>
              <w:jc w:val="center"/>
              <w:rPr>
                <w:rFonts w:ascii="Times New Roman" w:hAnsi="Times New Roman"/>
                <w:color w:val="FF0000"/>
                <w:u w:val="single"/>
              </w:rPr>
            </w:pPr>
            <w:r>
              <w:rPr>
                <w:rFonts w:ascii="Times New Roman" w:hAnsi="Times New Roman"/>
                <w:color w:val="FF0000"/>
                <w:u w:val="single"/>
              </w:rPr>
              <w:t>/</w:t>
            </w:r>
          </w:p>
        </w:tc>
      </w:tr>
    </w:tbl>
    <w:p>
      <w:pPr>
        <w:adjustRightInd w:val="0"/>
        <w:snapToGrid w:val="0"/>
        <w:spacing w:line="360" w:lineRule="auto"/>
        <w:ind w:firstLine="480" w:firstLineChars="200"/>
        <w:rPr>
          <w:rFonts w:ascii="Times New Roman" w:hAnsi="Times New Roman" w:eastAsiaTheme="minorEastAsia"/>
          <w:color w:val="FF0000"/>
          <w:sz w:val="24"/>
          <w:szCs w:val="24"/>
          <w:u w:val="single"/>
        </w:rPr>
      </w:pP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经过采用估算模式计算，所得的计算结果如下表2.5-6。</w:t>
      </w:r>
    </w:p>
    <w:p>
      <w:pPr>
        <w:tabs>
          <w:tab w:val="left" w:pos="900"/>
        </w:tabs>
        <w:snapToGrid w:val="0"/>
        <w:spacing w:line="276" w:lineRule="auto"/>
        <w:jc w:val="center"/>
        <w:rPr>
          <w:rFonts w:ascii="Times New Roman" w:hAnsi="Times New Roman" w:eastAsiaTheme="minorEastAsia"/>
          <w:b/>
          <w:color w:val="FF0000"/>
          <w:sz w:val="24"/>
          <w:szCs w:val="24"/>
          <w:u w:val="single"/>
        </w:rPr>
      </w:pPr>
      <w:r>
        <w:rPr>
          <w:rFonts w:ascii="Times New Roman" w:hAnsi="Times New Roman" w:eastAsiaTheme="minorEastAsia"/>
          <w:b/>
          <w:color w:val="FF0000"/>
          <w:sz w:val="24"/>
          <w:szCs w:val="24"/>
          <w:u w:val="single"/>
        </w:rPr>
        <w:t>表2.5-6  项目废气排放估算模式参数取值一览表</w:t>
      </w:r>
    </w:p>
    <w:tbl>
      <w:tblPr>
        <w:tblStyle w:val="71"/>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414"/>
        <w:gridCol w:w="1195"/>
        <w:gridCol w:w="1801"/>
        <w:gridCol w:w="1560"/>
        <w:gridCol w:w="1560"/>
        <w:gridCol w:w="15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1" w:hRule="atLeast"/>
        </w:trPr>
        <w:tc>
          <w:tcPr>
            <w:tcW w:w="778" w:type="pct"/>
            <w:tcBorders>
              <w:tl2br w:val="nil"/>
              <w:tr2bl w:val="nil"/>
            </w:tcBorders>
            <w:vAlign w:val="center"/>
          </w:tcPr>
          <w:p>
            <w:pPr>
              <w:jc w:val="center"/>
              <w:rPr>
                <w:rFonts w:ascii="Times New Roman" w:hAnsi="Times New Roman"/>
                <w:b/>
                <w:color w:val="FF0000"/>
                <w:u w:val="single"/>
              </w:rPr>
            </w:pPr>
            <w:r>
              <w:rPr>
                <w:rFonts w:ascii="Times New Roman" w:hAnsi="Times New Roman"/>
                <w:b/>
                <w:color w:val="FF0000"/>
                <w:u w:val="single"/>
              </w:rPr>
              <w:t>污染源名称</w:t>
            </w:r>
          </w:p>
        </w:tc>
        <w:tc>
          <w:tcPr>
            <w:tcW w:w="657" w:type="pct"/>
            <w:tcBorders>
              <w:tl2br w:val="nil"/>
              <w:tr2bl w:val="nil"/>
            </w:tcBorders>
            <w:vAlign w:val="center"/>
          </w:tcPr>
          <w:p>
            <w:pPr>
              <w:jc w:val="center"/>
              <w:rPr>
                <w:rFonts w:ascii="Times New Roman" w:hAnsi="Times New Roman"/>
                <w:b/>
                <w:color w:val="FF0000"/>
                <w:u w:val="single"/>
              </w:rPr>
            </w:pPr>
            <w:r>
              <w:rPr>
                <w:rFonts w:ascii="Times New Roman" w:hAnsi="Times New Roman"/>
                <w:b/>
                <w:color w:val="FF0000"/>
                <w:u w:val="single"/>
              </w:rPr>
              <w:t>评价因子</w:t>
            </w:r>
          </w:p>
        </w:tc>
        <w:tc>
          <w:tcPr>
            <w:tcW w:w="990" w:type="pct"/>
            <w:tcBorders>
              <w:tl2br w:val="nil"/>
              <w:tr2bl w:val="nil"/>
            </w:tcBorders>
            <w:vAlign w:val="center"/>
          </w:tcPr>
          <w:p>
            <w:pPr>
              <w:jc w:val="center"/>
              <w:rPr>
                <w:rFonts w:ascii="Times New Roman" w:hAnsi="Times New Roman"/>
                <w:b/>
                <w:color w:val="FF0000"/>
                <w:u w:val="single"/>
              </w:rPr>
            </w:pPr>
            <w:r>
              <w:rPr>
                <w:rFonts w:ascii="Times New Roman" w:hAnsi="Times New Roman"/>
                <w:b/>
                <w:color w:val="FF0000"/>
                <w:u w:val="single"/>
              </w:rPr>
              <w:t>评价标准</w:t>
            </w:r>
            <w:r>
              <w:rPr>
                <w:rFonts w:hint="eastAsia" w:ascii="Times New Roman" w:hAnsi="Times New Roman"/>
                <w:b/>
                <w:color w:val="FF0000"/>
                <w:u w:val="single"/>
                <w:lang w:eastAsia="zh-CN"/>
              </w:rPr>
              <w:t>（</w:t>
            </w:r>
            <w:r>
              <w:rPr>
                <w:rFonts w:ascii="Times New Roman" w:hAnsi="Times New Roman"/>
                <w:b/>
                <w:color w:val="FF0000"/>
                <w:u w:val="single"/>
              </w:rPr>
              <w:t>μg/m³</w:t>
            </w:r>
            <w:r>
              <w:rPr>
                <w:rFonts w:hint="eastAsia" w:ascii="Times New Roman" w:hAnsi="Times New Roman"/>
                <w:b/>
                <w:color w:val="FF0000"/>
                <w:u w:val="single"/>
                <w:lang w:eastAsia="zh-CN"/>
              </w:rPr>
              <w:t>）</w:t>
            </w:r>
          </w:p>
        </w:tc>
        <w:tc>
          <w:tcPr>
            <w:tcW w:w="858" w:type="pct"/>
            <w:tcBorders>
              <w:tl2br w:val="nil"/>
              <w:tr2bl w:val="nil"/>
            </w:tcBorders>
            <w:vAlign w:val="center"/>
          </w:tcPr>
          <w:p>
            <w:pPr>
              <w:jc w:val="center"/>
              <w:rPr>
                <w:rFonts w:ascii="Times New Roman" w:hAnsi="Times New Roman"/>
                <w:b/>
                <w:color w:val="FF0000"/>
                <w:u w:val="single"/>
              </w:rPr>
            </w:pPr>
            <w:r>
              <w:rPr>
                <w:rFonts w:ascii="Times New Roman" w:hAnsi="Times New Roman"/>
                <w:b/>
                <w:color w:val="FF0000"/>
                <w:u w:val="single"/>
              </w:rPr>
              <w:t>C</w:t>
            </w:r>
            <w:r>
              <w:rPr>
                <w:rFonts w:ascii="Times New Roman" w:hAnsi="Times New Roman"/>
                <w:b/>
                <w:color w:val="FF0000"/>
                <w:u w:val="single"/>
                <w:vertAlign w:val="subscript"/>
              </w:rPr>
              <w:t>max</w:t>
            </w:r>
            <w:r>
              <w:rPr>
                <w:rFonts w:hint="eastAsia" w:ascii="Times New Roman" w:hAnsi="Times New Roman"/>
                <w:b/>
                <w:color w:val="FF0000"/>
                <w:u w:val="single"/>
                <w:lang w:eastAsia="zh-CN"/>
              </w:rPr>
              <w:t>（</w:t>
            </w:r>
            <w:r>
              <w:rPr>
                <w:rFonts w:ascii="Times New Roman" w:hAnsi="Times New Roman"/>
                <w:b/>
                <w:color w:val="FF0000"/>
                <w:u w:val="single"/>
              </w:rPr>
              <w:t>μg/m³</w:t>
            </w:r>
            <w:r>
              <w:rPr>
                <w:rFonts w:hint="eastAsia" w:ascii="Times New Roman" w:hAnsi="Times New Roman"/>
                <w:b/>
                <w:color w:val="FF0000"/>
                <w:u w:val="single"/>
                <w:lang w:eastAsia="zh-CN"/>
              </w:rPr>
              <w:t>）</w:t>
            </w:r>
          </w:p>
        </w:tc>
        <w:tc>
          <w:tcPr>
            <w:tcW w:w="858" w:type="pct"/>
            <w:tcBorders>
              <w:tl2br w:val="nil"/>
              <w:tr2bl w:val="nil"/>
            </w:tcBorders>
            <w:vAlign w:val="center"/>
          </w:tcPr>
          <w:p>
            <w:pPr>
              <w:jc w:val="center"/>
              <w:rPr>
                <w:rFonts w:ascii="Times New Roman" w:hAnsi="Times New Roman"/>
                <w:b/>
                <w:color w:val="FF0000"/>
                <w:u w:val="single"/>
              </w:rPr>
            </w:pPr>
            <w:r>
              <w:rPr>
                <w:rFonts w:ascii="Times New Roman" w:hAnsi="Times New Roman"/>
                <w:b/>
                <w:color w:val="FF0000"/>
                <w:u w:val="single"/>
              </w:rPr>
              <w:t>P</w:t>
            </w:r>
            <w:r>
              <w:rPr>
                <w:rFonts w:ascii="Times New Roman" w:hAnsi="Times New Roman"/>
                <w:b/>
                <w:color w:val="FF0000"/>
                <w:u w:val="single"/>
                <w:vertAlign w:val="subscript"/>
              </w:rPr>
              <w:t>max</w:t>
            </w:r>
            <w:r>
              <w:rPr>
                <w:rFonts w:hint="eastAsia" w:ascii="Times New Roman" w:hAnsi="Times New Roman"/>
                <w:b/>
                <w:color w:val="FF0000"/>
                <w:u w:val="single"/>
                <w:lang w:eastAsia="zh-CN"/>
              </w:rPr>
              <w:t>（</w:t>
            </w:r>
            <w:r>
              <w:rPr>
                <w:rFonts w:ascii="Times New Roman" w:hAnsi="Times New Roman"/>
                <w:b/>
                <w:color w:val="FF0000"/>
                <w:u w:val="single"/>
              </w:rPr>
              <w:t>%</w:t>
            </w:r>
            <w:r>
              <w:rPr>
                <w:rFonts w:hint="eastAsia" w:ascii="Times New Roman" w:hAnsi="Times New Roman"/>
                <w:b/>
                <w:color w:val="FF0000"/>
                <w:u w:val="single"/>
                <w:lang w:eastAsia="zh-CN"/>
              </w:rPr>
              <w:t>）</w:t>
            </w:r>
          </w:p>
        </w:tc>
        <w:tc>
          <w:tcPr>
            <w:tcW w:w="859" w:type="pct"/>
            <w:tcBorders>
              <w:tl2br w:val="nil"/>
              <w:tr2bl w:val="nil"/>
            </w:tcBorders>
            <w:vAlign w:val="center"/>
          </w:tcPr>
          <w:p>
            <w:pPr>
              <w:jc w:val="center"/>
              <w:rPr>
                <w:rFonts w:ascii="Times New Roman" w:hAnsi="Times New Roman"/>
                <w:b/>
                <w:color w:val="FF0000"/>
                <w:u w:val="single"/>
              </w:rPr>
            </w:pPr>
            <w:r>
              <w:rPr>
                <w:rFonts w:ascii="Times New Roman" w:hAnsi="Times New Roman"/>
                <w:b/>
                <w:color w:val="FF0000"/>
                <w:u w:val="single"/>
              </w:rPr>
              <w:t>D</w:t>
            </w:r>
            <w:r>
              <w:rPr>
                <w:rFonts w:ascii="Times New Roman" w:hAnsi="Times New Roman"/>
                <w:b/>
                <w:color w:val="FF0000"/>
                <w:u w:val="single"/>
                <w:vertAlign w:val="subscript"/>
              </w:rPr>
              <w:t>10%</w:t>
            </w:r>
            <w:r>
              <w:rPr>
                <w:rFonts w:hint="eastAsia" w:ascii="Times New Roman" w:hAnsi="Times New Roman"/>
                <w:b/>
                <w:color w:val="FF0000"/>
                <w:u w:val="single"/>
                <w:lang w:eastAsia="zh-CN"/>
              </w:rPr>
              <w:t>（</w:t>
            </w:r>
            <w:r>
              <w:rPr>
                <w:rFonts w:ascii="Times New Roman" w:hAnsi="Times New Roman"/>
                <w:b/>
                <w:color w:val="FF0000"/>
                <w:u w:val="single"/>
              </w:rPr>
              <w:t>m</w:t>
            </w:r>
            <w:r>
              <w:rPr>
                <w:rFonts w:hint="eastAsia" w:ascii="Times New Roman" w:hAnsi="Times New Roman"/>
                <w:b/>
                <w:color w:val="FF0000"/>
                <w:u w:val="singl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9" w:hRule="atLeast"/>
        </w:trPr>
        <w:tc>
          <w:tcPr>
            <w:tcW w:w="778" w:type="pct"/>
            <w:tcBorders>
              <w:tl2br w:val="nil"/>
              <w:tr2bl w:val="nil"/>
            </w:tcBorders>
            <w:vAlign w:val="center"/>
          </w:tcPr>
          <w:p>
            <w:pPr>
              <w:jc w:val="center"/>
              <w:rPr>
                <w:rFonts w:ascii="Times New Roman" w:hAnsi="Times New Roman"/>
                <w:color w:val="FF0000"/>
                <w:u w:val="single"/>
              </w:rPr>
            </w:pPr>
            <w:r>
              <w:rPr>
                <w:rFonts w:ascii="Times New Roman" w:hAnsi="Times New Roman"/>
                <w:color w:val="FF0000"/>
                <w:sz w:val="23"/>
                <w:szCs w:val="23"/>
                <w:u w:val="single"/>
              </w:rPr>
              <w:t>矩形面源</w:t>
            </w:r>
          </w:p>
        </w:tc>
        <w:tc>
          <w:tcPr>
            <w:tcW w:w="657" w:type="pct"/>
            <w:tcBorders>
              <w:tl2br w:val="nil"/>
              <w:tr2bl w:val="nil"/>
            </w:tcBorders>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TSP</w:t>
            </w:r>
          </w:p>
        </w:tc>
        <w:tc>
          <w:tcPr>
            <w:tcW w:w="990" w:type="pct"/>
            <w:tcBorders>
              <w:tl2br w:val="nil"/>
              <w:tr2bl w:val="nil"/>
            </w:tcBorders>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900.0</w:t>
            </w:r>
          </w:p>
        </w:tc>
        <w:tc>
          <w:tcPr>
            <w:tcW w:w="858" w:type="pct"/>
            <w:tcBorders>
              <w:tl2br w:val="nil"/>
              <w:tr2bl w:val="nil"/>
            </w:tcBorders>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18.6620</w:t>
            </w:r>
          </w:p>
        </w:tc>
        <w:tc>
          <w:tcPr>
            <w:tcW w:w="858" w:type="pct"/>
            <w:tcBorders>
              <w:tl2br w:val="nil"/>
              <w:tr2bl w:val="nil"/>
            </w:tcBorders>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2.0700</w:t>
            </w:r>
          </w:p>
        </w:tc>
        <w:tc>
          <w:tcPr>
            <w:tcW w:w="859" w:type="pct"/>
            <w:tcBorders>
              <w:tl2br w:val="nil"/>
              <w:tr2bl w:val="nil"/>
            </w:tcBorders>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w:t>
            </w:r>
          </w:p>
        </w:tc>
      </w:tr>
    </w:tbl>
    <w:p>
      <w:pPr>
        <w:adjustRightInd w:val="0"/>
        <w:snapToGrid w:val="0"/>
        <w:spacing w:line="360" w:lineRule="auto"/>
        <w:ind w:firstLine="480" w:firstLineChars="200"/>
        <w:rPr>
          <w:rFonts w:ascii="Times New Roman" w:hAnsi="Times New Roman"/>
          <w:color w:val="FF0000"/>
          <w:sz w:val="24"/>
          <w:szCs w:val="24"/>
          <w:u w:val="single"/>
        </w:rPr>
      </w:pP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根据导则规定，项目污染物数大于1，取P值中最大的（P</w:t>
      </w:r>
      <w:r>
        <w:rPr>
          <w:rFonts w:ascii="Times New Roman" w:hAnsi="Times New Roman" w:eastAsiaTheme="minorEastAsia"/>
          <w:color w:val="FF0000"/>
          <w:sz w:val="24"/>
          <w:szCs w:val="24"/>
          <w:u w:val="single"/>
          <w:vertAlign w:val="subscript"/>
        </w:rPr>
        <w:t>max</w:t>
      </w:r>
      <w:r>
        <w:rPr>
          <w:rFonts w:ascii="Times New Roman" w:hAnsi="Times New Roman" w:eastAsiaTheme="minorEastAsia"/>
          <w:color w:val="FF0000"/>
          <w:sz w:val="24"/>
          <w:szCs w:val="24"/>
          <w:u w:val="single"/>
        </w:rPr>
        <w:t>）和其对应的D</w:t>
      </w:r>
      <w:r>
        <w:rPr>
          <w:rFonts w:ascii="Times New Roman" w:hAnsi="Times New Roman" w:eastAsiaTheme="minorEastAsia"/>
          <w:color w:val="FF0000"/>
          <w:sz w:val="24"/>
          <w:szCs w:val="24"/>
          <w:u w:val="single"/>
          <w:vertAlign w:val="subscript"/>
        </w:rPr>
        <w:t>10%</w:t>
      </w:r>
      <w:r>
        <w:rPr>
          <w:rFonts w:ascii="Times New Roman" w:hAnsi="Times New Roman" w:eastAsiaTheme="minorEastAsia"/>
          <w:color w:val="FF0000"/>
          <w:sz w:val="24"/>
          <w:szCs w:val="24"/>
          <w:u w:val="single"/>
        </w:rPr>
        <w:t>作为等级划分依据，本项目P</w:t>
      </w:r>
      <w:r>
        <w:rPr>
          <w:rFonts w:ascii="Times New Roman" w:hAnsi="Times New Roman" w:eastAsiaTheme="minorEastAsia"/>
          <w:color w:val="FF0000"/>
          <w:sz w:val="24"/>
          <w:szCs w:val="24"/>
          <w:u w:val="single"/>
          <w:vertAlign w:val="subscript"/>
        </w:rPr>
        <w:t>max</w:t>
      </w:r>
      <w:r>
        <w:rPr>
          <w:rFonts w:ascii="Times New Roman" w:hAnsi="Times New Roman" w:eastAsiaTheme="minorEastAsia"/>
          <w:color w:val="FF0000"/>
          <w:sz w:val="24"/>
          <w:szCs w:val="24"/>
          <w:u w:val="single"/>
        </w:rPr>
        <w:t>最大值出现为矩形面源排放的TSP P</w:t>
      </w:r>
      <w:r>
        <w:rPr>
          <w:rFonts w:ascii="Times New Roman" w:hAnsi="Times New Roman" w:eastAsiaTheme="minorEastAsia"/>
          <w:color w:val="FF0000"/>
          <w:sz w:val="24"/>
          <w:szCs w:val="24"/>
          <w:u w:val="single"/>
          <w:vertAlign w:val="subscript"/>
        </w:rPr>
        <w:t>max</w:t>
      </w:r>
      <w:r>
        <w:rPr>
          <w:rFonts w:ascii="Times New Roman" w:hAnsi="Times New Roman" w:eastAsiaTheme="minorEastAsia"/>
          <w:color w:val="FF0000"/>
          <w:sz w:val="24"/>
          <w:szCs w:val="24"/>
          <w:u w:val="single"/>
        </w:rPr>
        <w:t>值为2.07%，C</w:t>
      </w:r>
      <w:r>
        <w:rPr>
          <w:rFonts w:ascii="Times New Roman" w:hAnsi="Times New Roman" w:eastAsiaTheme="minorEastAsia"/>
          <w:color w:val="FF0000"/>
          <w:sz w:val="24"/>
          <w:szCs w:val="24"/>
          <w:u w:val="single"/>
          <w:vertAlign w:val="subscript"/>
        </w:rPr>
        <w:t>max</w:t>
      </w:r>
      <w:r>
        <w:rPr>
          <w:rFonts w:ascii="Times New Roman" w:hAnsi="Times New Roman" w:eastAsiaTheme="minorEastAsia"/>
          <w:color w:val="FF0000"/>
          <w:sz w:val="24"/>
          <w:szCs w:val="24"/>
          <w:u w:val="single"/>
        </w:rPr>
        <w:t>为18.662μg/m³，根据《环境影响评价技术导则  大气环境》（HJ2.2-2018）分级判据，确定本项目大气环境影响评价工作等级为二级。</w:t>
      </w:r>
    </w:p>
    <w:p>
      <w:pPr>
        <w:pStyle w:val="5"/>
        <w:rPr>
          <w:rFonts w:eastAsiaTheme="minorEastAsia"/>
        </w:rPr>
      </w:pPr>
      <w:r>
        <w:rPr>
          <w:rFonts w:eastAsiaTheme="minorEastAsia"/>
        </w:rPr>
        <w:t>声环境评价等级</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本项目位于岳阳市城陵矶港区</w:t>
      </w:r>
      <w:r>
        <w:rPr>
          <w:rFonts w:ascii="Times New Roman" w:hAnsi="Times New Roman" w:eastAsiaTheme="minorEastAsia"/>
          <w:kern w:val="0"/>
          <w:sz w:val="24"/>
          <w:szCs w:val="24"/>
        </w:rPr>
        <w:t>松阳湖作业区</w:t>
      </w:r>
      <w:r>
        <w:rPr>
          <w:rFonts w:ascii="Times New Roman" w:hAnsi="Times New Roman" w:eastAsiaTheme="minorEastAsia"/>
          <w:color w:val="000000"/>
          <w:sz w:val="24"/>
          <w:szCs w:val="24"/>
        </w:rPr>
        <w:t>岸线。航道两侧35m红线范围内声环境功能要求为4a类，码头其他区域规划为交通运输用地及仓储物流用地，声环境功能要求为3类。项目建成后噪声级增加不明显，受噪声影响人口较少。根据《环境影响评价技术导则  声环境》（HJ2.4-2009）要求，本项目噪声影响评价工作等级确定为三级。</w:t>
      </w:r>
    </w:p>
    <w:p>
      <w:pPr>
        <w:pStyle w:val="5"/>
        <w:rPr>
          <w:rFonts w:eastAsiaTheme="minorEastAsia"/>
        </w:rPr>
      </w:pPr>
      <w:r>
        <w:rPr>
          <w:rFonts w:eastAsiaTheme="minorEastAsia"/>
        </w:rPr>
        <w:t>生态环境评价等级</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本项目作为提质改造项目，提质改造的工程内容均在原有工程的用地范围内，因此本次提质改造项目不涉及征地。本次提质改造工程不新增用地，新增</w:t>
      </w:r>
      <w:r>
        <w:rPr>
          <w:rFonts w:ascii="Times New Roman" w:hAnsi="Times New Roman" w:eastAsiaTheme="minorEastAsia"/>
          <w:color w:val="000000"/>
          <w:kern w:val="0"/>
          <w:sz w:val="24"/>
          <w:szCs w:val="24"/>
          <w:lang w:bidi="ar"/>
        </w:rPr>
        <w:t>输煤皮带线</w:t>
      </w:r>
      <w:r>
        <w:rPr>
          <w:rFonts w:ascii="Times New Roman" w:hAnsi="Times New Roman" w:eastAsiaTheme="minorEastAsia"/>
          <w:color w:val="000000"/>
          <w:sz w:val="24"/>
          <w:szCs w:val="24"/>
        </w:rPr>
        <w:t>长度约1200m，现有工程占地面积小于2km</w:t>
      </w:r>
      <w:r>
        <w:rPr>
          <w:rFonts w:ascii="Times New Roman" w:hAnsi="Times New Roman" w:eastAsiaTheme="minorEastAsia"/>
          <w:color w:val="000000"/>
          <w:sz w:val="24"/>
          <w:szCs w:val="24"/>
          <w:vertAlign w:val="superscript"/>
        </w:rPr>
        <w:t>2</w:t>
      </w:r>
      <w:r>
        <w:rPr>
          <w:rFonts w:ascii="Times New Roman" w:hAnsi="Times New Roman" w:eastAsiaTheme="minorEastAsia"/>
          <w:color w:val="000000"/>
          <w:sz w:val="24"/>
          <w:szCs w:val="24"/>
        </w:rPr>
        <w:t>，依据《环境影响评价技术导则  生态影响》（HJ19-2011），根据现场踏勘，项目码头工程位于长江岳阳段右岸，位于</w:t>
      </w:r>
      <w:r>
        <w:rPr>
          <w:rFonts w:ascii="Times New Roman" w:hAnsi="Times New Roman" w:eastAsiaTheme="minorEastAsia"/>
          <w:bCs/>
          <w:sz w:val="24"/>
        </w:rPr>
        <w:t>洞庭湖口铜鱼短颌鲚国家级水产种质资源保护区实验区</w:t>
      </w:r>
      <w:r>
        <w:rPr>
          <w:rFonts w:ascii="Times New Roman" w:hAnsi="Times New Roman" w:eastAsiaTheme="minorEastAsia"/>
          <w:color w:val="000000"/>
          <w:sz w:val="24"/>
          <w:szCs w:val="24"/>
        </w:rPr>
        <w:t>，生态环境较为敏感。</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因此，确定该项目生态环境影响评价工作等级为三级。</w:t>
      </w: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表2.5-7  生态影响评价工作等级划分表</w:t>
      </w:r>
    </w:p>
    <w:tbl>
      <w:tblPr>
        <w:tblStyle w:val="71"/>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971"/>
        <w:gridCol w:w="2153"/>
        <w:gridCol w:w="2985"/>
        <w:gridCol w:w="199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1083" w:type="pct"/>
            <w:vMerge w:val="restart"/>
            <w:vAlign w:val="center"/>
          </w:tcPr>
          <w:p>
            <w:pPr>
              <w:autoSpaceDE w:val="0"/>
              <w:autoSpaceDN w:val="0"/>
              <w:adjustRightInd w:val="0"/>
              <w:snapToGrid w:val="0"/>
              <w:jc w:val="center"/>
              <w:rPr>
                <w:rFonts w:ascii="Times New Roman" w:hAnsi="Times New Roman" w:eastAsiaTheme="minorEastAsia"/>
                <w:b/>
                <w:kern w:val="0"/>
                <w:sz w:val="24"/>
                <w:szCs w:val="24"/>
              </w:rPr>
            </w:pPr>
            <w:r>
              <w:rPr>
                <w:rFonts w:ascii="Times New Roman" w:hAnsi="Times New Roman" w:eastAsiaTheme="minorEastAsia"/>
                <w:b/>
                <w:color w:val="000000"/>
                <w:kern w:val="0"/>
              </w:rPr>
              <w:t>影响区域生态敏感性</w:t>
            </w:r>
          </w:p>
        </w:tc>
        <w:tc>
          <w:tcPr>
            <w:tcW w:w="3917" w:type="pct"/>
            <w:gridSpan w:val="3"/>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工程占地（水域）范围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1083" w:type="pct"/>
            <w:vMerge w:val="continue"/>
            <w:vAlign w:val="center"/>
          </w:tcPr>
          <w:p>
            <w:pPr>
              <w:autoSpaceDE w:val="0"/>
              <w:autoSpaceDN w:val="0"/>
              <w:adjustRightInd w:val="0"/>
              <w:snapToGrid w:val="0"/>
              <w:jc w:val="center"/>
              <w:rPr>
                <w:rFonts w:ascii="Times New Roman" w:hAnsi="Times New Roman" w:eastAsiaTheme="minorEastAsia"/>
                <w:b/>
                <w:kern w:val="0"/>
                <w:sz w:val="24"/>
                <w:szCs w:val="24"/>
              </w:rPr>
            </w:pPr>
          </w:p>
        </w:tc>
        <w:tc>
          <w:tcPr>
            <w:tcW w:w="1183"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面积</w:t>
            </w:r>
            <w:r>
              <w:rPr>
                <w:rFonts w:ascii="Times New Roman" w:hAnsi="Times New Roman" w:eastAsiaTheme="minorEastAsia"/>
                <w:b/>
                <w:bCs/>
                <w:color w:val="000000"/>
                <w:kern w:val="0"/>
              </w:rPr>
              <w:t>≥20km</w:t>
            </w:r>
            <w:r>
              <w:rPr>
                <w:rFonts w:ascii="Times New Roman" w:hAnsi="Times New Roman" w:eastAsiaTheme="minorEastAsia"/>
                <w:b/>
                <w:bCs/>
                <w:color w:val="000000"/>
                <w:kern w:val="0"/>
                <w:vertAlign w:val="superscript"/>
              </w:rPr>
              <w:t>2</w:t>
            </w:r>
            <w:r>
              <w:rPr>
                <w:rFonts w:ascii="Times New Roman" w:hAnsi="Times New Roman" w:eastAsiaTheme="minorEastAsia"/>
                <w:b/>
                <w:color w:val="000000"/>
                <w:kern w:val="0"/>
              </w:rPr>
              <w:t>或长度</w:t>
            </w:r>
            <w:r>
              <w:rPr>
                <w:rFonts w:ascii="Times New Roman" w:hAnsi="Times New Roman" w:eastAsiaTheme="minorEastAsia"/>
                <w:b/>
                <w:bCs/>
                <w:color w:val="000000"/>
                <w:kern w:val="0"/>
              </w:rPr>
              <w:t>≥100km</w:t>
            </w:r>
          </w:p>
        </w:tc>
        <w:tc>
          <w:tcPr>
            <w:tcW w:w="1640"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面积</w:t>
            </w:r>
            <w:r>
              <w:rPr>
                <w:rFonts w:ascii="Times New Roman" w:hAnsi="Times New Roman" w:eastAsiaTheme="minorEastAsia"/>
                <w:b/>
                <w:bCs/>
                <w:color w:val="000000"/>
                <w:kern w:val="0"/>
              </w:rPr>
              <w:t>2km</w:t>
            </w:r>
            <w:r>
              <w:rPr>
                <w:rFonts w:ascii="Times New Roman" w:hAnsi="Times New Roman" w:eastAsiaTheme="minorEastAsia"/>
                <w:b/>
                <w:bCs/>
                <w:color w:val="000000"/>
                <w:kern w:val="0"/>
                <w:vertAlign w:val="superscript"/>
              </w:rPr>
              <w:t>2</w:t>
            </w:r>
            <w:r>
              <w:rPr>
                <w:rFonts w:ascii="Times New Roman" w:hAnsi="Times New Roman" w:eastAsiaTheme="minorEastAsia"/>
                <w:b/>
                <w:bCs/>
                <w:color w:val="000000"/>
                <w:kern w:val="0"/>
              </w:rPr>
              <w:t>~20km</w:t>
            </w:r>
            <w:r>
              <w:rPr>
                <w:rFonts w:ascii="Times New Roman" w:hAnsi="Times New Roman" w:eastAsiaTheme="minorEastAsia"/>
                <w:b/>
                <w:bCs/>
                <w:color w:val="000000"/>
                <w:kern w:val="0"/>
                <w:vertAlign w:val="superscript"/>
              </w:rPr>
              <w:t>2</w:t>
            </w:r>
            <w:r>
              <w:rPr>
                <w:rFonts w:ascii="Times New Roman" w:hAnsi="Times New Roman" w:eastAsiaTheme="minorEastAsia"/>
                <w:b/>
                <w:color w:val="000000"/>
                <w:kern w:val="0"/>
              </w:rPr>
              <w:t>或长度</w:t>
            </w:r>
            <w:r>
              <w:rPr>
                <w:rFonts w:ascii="Times New Roman" w:hAnsi="Times New Roman" w:eastAsiaTheme="minorEastAsia"/>
                <w:b/>
                <w:bCs/>
                <w:color w:val="000000"/>
                <w:kern w:val="0"/>
              </w:rPr>
              <w:t>50km~100km</w:t>
            </w:r>
          </w:p>
        </w:tc>
        <w:tc>
          <w:tcPr>
            <w:tcW w:w="1093"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面积</w:t>
            </w:r>
            <w:r>
              <w:rPr>
                <w:rFonts w:ascii="Times New Roman" w:hAnsi="Times New Roman" w:eastAsiaTheme="minorEastAsia"/>
                <w:b/>
                <w:bCs/>
                <w:color w:val="000000"/>
                <w:kern w:val="0"/>
              </w:rPr>
              <w:t>≤2km</w:t>
            </w:r>
            <w:r>
              <w:rPr>
                <w:rFonts w:ascii="Times New Roman" w:hAnsi="Times New Roman" w:eastAsiaTheme="minorEastAsia"/>
                <w:b/>
                <w:bCs/>
                <w:color w:val="000000"/>
                <w:kern w:val="0"/>
                <w:vertAlign w:val="superscript"/>
              </w:rPr>
              <w:t>2</w:t>
            </w:r>
            <w:r>
              <w:rPr>
                <w:rFonts w:ascii="Times New Roman" w:hAnsi="Times New Roman" w:eastAsiaTheme="minorEastAsia"/>
                <w:b/>
                <w:color w:val="000000"/>
                <w:kern w:val="0"/>
              </w:rPr>
              <w:t>或长度</w:t>
            </w:r>
            <w:r>
              <w:rPr>
                <w:rFonts w:ascii="Times New Roman" w:hAnsi="Times New Roman" w:eastAsiaTheme="minorEastAsia"/>
                <w:b/>
                <w:bCs/>
                <w:color w:val="000000"/>
                <w:kern w:val="0"/>
              </w:rPr>
              <w:t>≤50km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8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特殊生态敏感区</w:t>
            </w:r>
          </w:p>
        </w:tc>
        <w:tc>
          <w:tcPr>
            <w:tcW w:w="118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一级</w:t>
            </w:r>
          </w:p>
        </w:tc>
        <w:tc>
          <w:tcPr>
            <w:tcW w:w="1640" w:type="pct"/>
            <w:shd w:val="clear" w:color="auto" w:fill="auto"/>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一级</w:t>
            </w:r>
          </w:p>
        </w:tc>
        <w:tc>
          <w:tcPr>
            <w:tcW w:w="1093" w:type="pct"/>
            <w:shd w:val="clear" w:color="auto" w:fill="auto"/>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8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重要生态敏感区</w:t>
            </w:r>
          </w:p>
        </w:tc>
        <w:tc>
          <w:tcPr>
            <w:tcW w:w="118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一级</w:t>
            </w:r>
          </w:p>
        </w:tc>
        <w:tc>
          <w:tcPr>
            <w:tcW w:w="164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二级</w:t>
            </w:r>
          </w:p>
        </w:tc>
        <w:tc>
          <w:tcPr>
            <w:tcW w:w="1093" w:type="pct"/>
            <w:shd w:val="clear" w:color="auto" w:fill="BEBEBE" w:themeFill="background1" w:themeFillShade="BF"/>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三级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8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一般区域</w:t>
            </w:r>
          </w:p>
        </w:tc>
        <w:tc>
          <w:tcPr>
            <w:tcW w:w="118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二级</w:t>
            </w:r>
          </w:p>
        </w:tc>
        <w:tc>
          <w:tcPr>
            <w:tcW w:w="164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三级</w:t>
            </w:r>
          </w:p>
        </w:tc>
        <w:tc>
          <w:tcPr>
            <w:tcW w:w="109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三级</w:t>
            </w:r>
          </w:p>
        </w:tc>
      </w:tr>
    </w:tbl>
    <w:p>
      <w:pPr>
        <w:autoSpaceDE w:val="0"/>
        <w:autoSpaceDN w:val="0"/>
        <w:adjustRightInd w:val="0"/>
        <w:snapToGrid w:val="0"/>
        <w:ind w:firstLine="480" w:firstLineChars="200"/>
        <w:jc w:val="left"/>
        <w:rPr>
          <w:rFonts w:ascii="Times New Roman" w:hAnsi="Times New Roman" w:eastAsiaTheme="minorEastAsia"/>
          <w:kern w:val="0"/>
          <w:sz w:val="24"/>
          <w:szCs w:val="24"/>
        </w:rPr>
      </w:pPr>
    </w:p>
    <w:p>
      <w:pPr>
        <w:pStyle w:val="5"/>
        <w:rPr>
          <w:rFonts w:eastAsiaTheme="minorEastAsia"/>
        </w:rPr>
      </w:pPr>
      <w:r>
        <w:rPr>
          <w:rFonts w:eastAsiaTheme="minorEastAsia"/>
        </w:rPr>
        <w:t>环境风险评价等级</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建设项目环境风险评价技术导则》（HJ169-2018）的规定，根据建设项目涉及的物质及工艺系统危险性和所在地的环境敏感性确定环境风险潜势，将环境风险评价工作划分为一、二、三级及简单分析。本项目主要进口煤炭，仅涉及煤炭转运，不涉及煤炭的存储环节，环境风险潜势为</w:t>
      </w:r>
      <w:r>
        <w:rPr>
          <w:rFonts w:hint="eastAsia" w:ascii="宋体" w:hAnsi="宋体" w:cs="宋体"/>
          <w:color w:val="000000"/>
          <w:sz w:val="24"/>
          <w:szCs w:val="24"/>
        </w:rPr>
        <w:t>Ⅰ</w:t>
      </w:r>
      <w:r>
        <w:rPr>
          <w:rFonts w:ascii="Times New Roman" w:hAnsi="Times New Roman" w:eastAsiaTheme="minorEastAsia"/>
          <w:color w:val="000000"/>
          <w:sz w:val="24"/>
          <w:szCs w:val="24"/>
        </w:rPr>
        <w:t>，进行简单分析。</w:t>
      </w: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表2.5-8  风险评价工作等级判定表</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479"/>
        <w:gridCol w:w="1785"/>
        <w:gridCol w:w="1540"/>
        <w:gridCol w:w="1600"/>
        <w:gridCol w:w="169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1362"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环境风险潜势</w:t>
            </w:r>
          </w:p>
        </w:tc>
        <w:tc>
          <w:tcPr>
            <w:tcW w:w="981"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hint="eastAsia" w:ascii="宋体" w:hAnsi="宋体" w:cs="宋体"/>
                <w:b/>
                <w:color w:val="000000"/>
                <w:kern w:val="0"/>
              </w:rPr>
              <w:t>Ⅳ</w:t>
            </w:r>
            <w:r>
              <w:rPr>
                <w:rFonts w:ascii="Times New Roman" w:hAnsi="Times New Roman" w:eastAsiaTheme="minorEastAsia"/>
                <w:b/>
                <w:color w:val="000000"/>
                <w:kern w:val="0"/>
              </w:rPr>
              <w:t>、</w:t>
            </w:r>
            <w:r>
              <w:rPr>
                <w:rFonts w:hint="eastAsia" w:ascii="宋体" w:hAnsi="宋体" w:cs="宋体"/>
                <w:b/>
                <w:color w:val="000000"/>
                <w:kern w:val="0"/>
              </w:rPr>
              <w:t>Ⅳ</w:t>
            </w:r>
            <w:r>
              <w:rPr>
                <w:rFonts w:ascii="Times New Roman" w:hAnsi="Times New Roman" w:eastAsiaTheme="minorEastAsia"/>
                <w:b/>
                <w:color w:val="000000"/>
                <w:kern w:val="0"/>
                <w:vertAlign w:val="superscript"/>
              </w:rPr>
              <w:t>+</w:t>
            </w:r>
          </w:p>
        </w:tc>
        <w:tc>
          <w:tcPr>
            <w:tcW w:w="846"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hint="eastAsia" w:ascii="宋体" w:hAnsi="宋体" w:cs="宋体"/>
                <w:b/>
                <w:color w:val="000000"/>
                <w:kern w:val="0"/>
              </w:rPr>
              <w:t>Ⅲ</w:t>
            </w:r>
          </w:p>
        </w:tc>
        <w:tc>
          <w:tcPr>
            <w:tcW w:w="879"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hint="eastAsia" w:ascii="宋体" w:hAnsi="宋体" w:cs="宋体"/>
                <w:b/>
                <w:color w:val="000000"/>
                <w:kern w:val="0"/>
              </w:rPr>
              <w:t>Ⅱ</w:t>
            </w:r>
          </w:p>
        </w:tc>
        <w:tc>
          <w:tcPr>
            <w:tcW w:w="931"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hint="eastAsia" w:ascii="宋体" w:hAnsi="宋体" w:cs="宋体"/>
                <w:b/>
                <w:color w:val="000000"/>
                <w:kern w:val="0"/>
              </w:rPr>
              <w:t>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136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评价工作等级</w:t>
            </w:r>
          </w:p>
        </w:tc>
        <w:tc>
          <w:tcPr>
            <w:tcW w:w="98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w:t>
            </w:r>
          </w:p>
        </w:tc>
        <w:tc>
          <w:tcPr>
            <w:tcW w:w="846" w:type="pct"/>
            <w:shd w:val="clear" w:color="auto" w:fill="auto"/>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二</w:t>
            </w:r>
          </w:p>
        </w:tc>
        <w:tc>
          <w:tcPr>
            <w:tcW w:w="87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三</w:t>
            </w:r>
          </w:p>
        </w:tc>
        <w:tc>
          <w:tcPr>
            <w:tcW w:w="931" w:type="pct"/>
            <w:shd w:val="clear" w:color="auto" w:fill="D8D8D8" w:themeFill="background1" w:themeFillShade="D9"/>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简单分析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5000" w:type="pct"/>
            <w:gridSpan w:val="5"/>
            <w:vAlign w:val="center"/>
          </w:tcPr>
          <w:p>
            <w:pPr>
              <w:autoSpaceDE w:val="0"/>
              <w:autoSpaceDN w:val="0"/>
              <w:adjustRightInd w:val="0"/>
              <w:snapToGrid w:val="0"/>
              <w:rPr>
                <w:rFonts w:ascii="Times New Roman" w:hAnsi="Times New Roman" w:eastAsiaTheme="minorEastAsia"/>
                <w:color w:val="000000"/>
                <w:kern w:val="0"/>
              </w:rPr>
            </w:pPr>
            <w:r>
              <w:rPr>
                <w:rFonts w:ascii="Times New Roman" w:hAnsi="Times New Roman" w:eastAsiaTheme="minorEastAsia"/>
                <w:color w:val="000000"/>
              </w:rPr>
              <w:t>a是相对于详细评价评价工作内容而言，在描述危险物质、环境影响途经、环境危害后果、风险防范措施等方面给出定型的说明。见附录A。</w:t>
            </w:r>
          </w:p>
        </w:tc>
      </w:tr>
    </w:tbl>
    <w:p>
      <w:pPr>
        <w:pStyle w:val="331"/>
        <w:snapToGrid w:val="0"/>
        <w:spacing w:after="0" w:line="360" w:lineRule="auto"/>
        <w:jc w:val="both"/>
        <w:rPr>
          <w:rFonts w:ascii="Times New Roman" w:eastAsiaTheme="minorEastAsia"/>
          <w:color w:val="000000"/>
        </w:rPr>
      </w:pPr>
    </w:p>
    <w:p>
      <w:pPr>
        <w:pStyle w:val="5"/>
        <w:rPr>
          <w:rFonts w:eastAsiaTheme="minorEastAsia"/>
        </w:rPr>
      </w:pPr>
      <w:r>
        <w:rPr>
          <w:rFonts w:eastAsiaTheme="minorEastAsia"/>
        </w:rPr>
        <w:t>土壤环境评价等级</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本项目工程内容包括码头和输煤廊道两部分，根据《环境影响评价技术导则  土壤环境》（HJ964-2018），本项目属于“交通运输仓储邮政类”中“其他”类，按土壤环境影响评价项目类别划分为</w:t>
      </w:r>
      <w:r>
        <w:rPr>
          <w:rFonts w:hint="eastAsia" w:ascii="宋体" w:hAnsi="宋体" w:cs="宋体"/>
          <w:color w:val="000000"/>
          <w:sz w:val="24"/>
          <w:szCs w:val="24"/>
        </w:rPr>
        <w:t>Ⅳ</w:t>
      </w:r>
      <w:r>
        <w:rPr>
          <w:rFonts w:ascii="Times New Roman" w:hAnsi="Times New Roman" w:eastAsiaTheme="minorEastAsia"/>
          <w:color w:val="000000"/>
          <w:sz w:val="24"/>
          <w:szCs w:val="24"/>
        </w:rPr>
        <w:t>类项目，进行简单分析。</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本项目环境评价工作等级汇总见下表。</w:t>
      </w: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表2.5-9  本项目环境评价工作级汇总表</w:t>
      </w:r>
    </w:p>
    <w:tbl>
      <w:tblPr>
        <w:tblStyle w:val="71"/>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099"/>
        <w:gridCol w:w="2000"/>
        <w:gridCol w:w="2664"/>
        <w:gridCol w:w="2331"/>
        <w:gridCol w:w="100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604" w:type="pct"/>
            <w:vAlign w:val="center"/>
          </w:tcPr>
          <w:p>
            <w:pPr>
              <w:pStyle w:val="342"/>
              <w:snapToGrid w:val="0"/>
              <w:spacing w:after="0"/>
              <w:jc w:val="center"/>
              <w:rPr>
                <w:rFonts w:ascii="Times New Roman" w:eastAsiaTheme="minorEastAsia"/>
                <w:b/>
                <w:color w:val="000000"/>
                <w:sz w:val="21"/>
                <w:szCs w:val="21"/>
              </w:rPr>
            </w:pPr>
            <w:r>
              <w:rPr>
                <w:rFonts w:ascii="Times New Roman" w:eastAsiaTheme="minorEastAsia"/>
                <w:b/>
                <w:color w:val="000000"/>
                <w:sz w:val="21"/>
                <w:szCs w:val="21"/>
              </w:rPr>
              <w:t>序号</w:t>
            </w:r>
          </w:p>
        </w:tc>
        <w:tc>
          <w:tcPr>
            <w:tcW w:w="2563" w:type="pct"/>
            <w:gridSpan w:val="2"/>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rPr>
              <w:t>评价内容</w:t>
            </w:r>
          </w:p>
        </w:tc>
        <w:tc>
          <w:tcPr>
            <w:tcW w:w="1281" w:type="pct"/>
            <w:vAlign w:val="center"/>
          </w:tcPr>
          <w:p>
            <w:pPr>
              <w:pStyle w:val="342"/>
              <w:snapToGrid w:val="0"/>
              <w:spacing w:after="0"/>
              <w:jc w:val="center"/>
              <w:rPr>
                <w:rFonts w:ascii="Times New Roman" w:eastAsiaTheme="minorEastAsia"/>
                <w:b/>
                <w:color w:val="000000"/>
                <w:sz w:val="21"/>
                <w:szCs w:val="21"/>
              </w:rPr>
            </w:pPr>
            <w:r>
              <w:rPr>
                <w:rFonts w:ascii="Times New Roman" w:eastAsiaTheme="minorEastAsia"/>
                <w:b/>
                <w:color w:val="000000"/>
                <w:sz w:val="21"/>
                <w:szCs w:val="21"/>
              </w:rPr>
              <w:t>评价工作等级</w:t>
            </w:r>
          </w:p>
        </w:tc>
        <w:tc>
          <w:tcPr>
            <w:tcW w:w="552"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4" w:type="pct"/>
            <w:vMerge w:val="restar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w:t>
            </w:r>
          </w:p>
        </w:tc>
        <w:tc>
          <w:tcPr>
            <w:tcW w:w="1099" w:type="pct"/>
            <w:vMerge w:val="restar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地表水环境</w:t>
            </w:r>
          </w:p>
        </w:tc>
        <w:tc>
          <w:tcPr>
            <w:tcW w:w="146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水污染影响型</w:t>
            </w:r>
          </w:p>
        </w:tc>
        <w:tc>
          <w:tcPr>
            <w:tcW w:w="128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三级A</w:t>
            </w:r>
          </w:p>
        </w:tc>
        <w:tc>
          <w:tcPr>
            <w:tcW w:w="552" w:type="pct"/>
            <w:vAlign w:val="center"/>
          </w:tcPr>
          <w:p>
            <w:pPr>
              <w:autoSpaceDE w:val="0"/>
              <w:autoSpaceDN w:val="0"/>
              <w:adjustRightInd w:val="0"/>
              <w:snapToGrid w:val="0"/>
              <w:jc w:val="center"/>
              <w:rPr>
                <w:rFonts w:ascii="Times New Roman" w:hAnsi="Times New Roman" w:eastAsiaTheme="minorEastAsia"/>
                <w:color w:val="000000"/>
                <w:kern w:val="0"/>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4"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1099"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146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水文要素影响型</w:t>
            </w:r>
          </w:p>
        </w:tc>
        <w:tc>
          <w:tcPr>
            <w:tcW w:w="128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三级</w:t>
            </w:r>
          </w:p>
        </w:tc>
        <w:tc>
          <w:tcPr>
            <w:tcW w:w="552" w:type="pct"/>
            <w:vAlign w:val="center"/>
          </w:tcPr>
          <w:p>
            <w:pPr>
              <w:autoSpaceDE w:val="0"/>
              <w:autoSpaceDN w:val="0"/>
              <w:adjustRightInd w:val="0"/>
              <w:snapToGrid w:val="0"/>
              <w:jc w:val="center"/>
              <w:rPr>
                <w:rFonts w:ascii="Times New Roman" w:hAnsi="Times New Roman" w:eastAsiaTheme="minorEastAsia"/>
                <w:color w:val="000000"/>
                <w:kern w:val="0"/>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w:t>
            </w:r>
          </w:p>
        </w:tc>
        <w:tc>
          <w:tcPr>
            <w:tcW w:w="2563"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环境空气</w:t>
            </w:r>
          </w:p>
        </w:tc>
        <w:tc>
          <w:tcPr>
            <w:tcW w:w="1281" w:type="pct"/>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二级</w:t>
            </w:r>
          </w:p>
        </w:tc>
        <w:tc>
          <w:tcPr>
            <w:tcW w:w="552" w:type="pct"/>
            <w:vAlign w:val="center"/>
          </w:tcPr>
          <w:p>
            <w:pPr>
              <w:autoSpaceDE w:val="0"/>
              <w:autoSpaceDN w:val="0"/>
              <w:adjustRightInd w:val="0"/>
              <w:snapToGrid w:val="0"/>
              <w:jc w:val="center"/>
              <w:rPr>
                <w:rFonts w:ascii="Times New Roman" w:hAnsi="Times New Roman" w:eastAsiaTheme="minorEastAsia"/>
                <w:color w:val="000000"/>
                <w:kern w:val="0"/>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w:t>
            </w:r>
          </w:p>
        </w:tc>
        <w:tc>
          <w:tcPr>
            <w:tcW w:w="2563"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声环境</w:t>
            </w:r>
          </w:p>
        </w:tc>
        <w:tc>
          <w:tcPr>
            <w:tcW w:w="1281" w:type="pct"/>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三级</w:t>
            </w:r>
          </w:p>
        </w:tc>
        <w:tc>
          <w:tcPr>
            <w:tcW w:w="552" w:type="pct"/>
            <w:vAlign w:val="center"/>
          </w:tcPr>
          <w:p>
            <w:pPr>
              <w:autoSpaceDE w:val="0"/>
              <w:autoSpaceDN w:val="0"/>
              <w:adjustRightInd w:val="0"/>
              <w:snapToGrid w:val="0"/>
              <w:jc w:val="center"/>
              <w:rPr>
                <w:rFonts w:ascii="Times New Roman" w:hAnsi="Times New Roman" w:eastAsiaTheme="minorEastAsia"/>
                <w:color w:val="000000"/>
                <w:kern w:val="0"/>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w:t>
            </w:r>
          </w:p>
        </w:tc>
        <w:tc>
          <w:tcPr>
            <w:tcW w:w="2563"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地下水环境</w:t>
            </w:r>
          </w:p>
        </w:tc>
        <w:tc>
          <w:tcPr>
            <w:tcW w:w="1281" w:type="pct"/>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简单分析</w:t>
            </w:r>
          </w:p>
        </w:tc>
        <w:tc>
          <w:tcPr>
            <w:tcW w:w="552" w:type="pct"/>
            <w:vAlign w:val="center"/>
          </w:tcPr>
          <w:p>
            <w:pPr>
              <w:autoSpaceDE w:val="0"/>
              <w:autoSpaceDN w:val="0"/>
              <w:adjustRightInd w:val="0"/>
              <w:snapToGrid w:val="0"/>
              <w:jc w:val="center"/>
              <w:rPr>
                <w:rFonts w:ascii="Times New Roman" w:hAnsi="Times New Roman" w:eastAsiaTheme="minorEastAsia"/>
                <w:color w:val="000000"/>
                <w:kern w:val="0"/>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w:t>
            </w:r>
          </w:p>
        </w:tc>
        <w:tc>
          <w:tcPr>
            <w:tcW w:w="2563"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生态环境</w:t>
            </w:r>
          </w:p>
        </w:tc>
        <w:tc>
          <w:tcPr>
            <w:tcW w:w="1281" w:type="pct"/>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三级</w:t>
            </w:r>
          </w:p>
        </w:tc>
        <w:tc>
          <w:tcPr>
            <w:tcW w:w="552" w:type="pct"/>
            <w:vAlign w:val="center"/>
          </w:tcPr>
          <w:p>
            <w:pPr>
              <w:autoSpaceDE w:val="0"/>
              <w:autoSpaceDN w:val="0"/>
              <w:adjustRightInd w:val="0"/>
              <w:snapToGrid w:val="0"/>
              <w:jc w:val="center"/>
              <w:rPr>
                <w:rFonts w:ascii="Times New Roman" w:hAnsi="Times New Roman" w:eastAsiaTheme="minorEastAsia"/>
                <w:color w:val="000000"/>
                <w:kern w:val="0"/>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w:t>
            </w:r>
          </w:p>
        </w:tc>
        <w:tc>
          <w:tcPr>
            <w:tcW w:w="2563"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环境风险</w:t>
            </w:r>
          </w:p>
        </w:tc>
        <w:tc>
          <w:tcPr>
            <w:tcW w:w="1281" w:type="pct"/>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简单分析</w:t>
            </w:r>
          </w:p>
        </w:tc>
        <w:tc>
          <w:tcPr>
            <w:tcW w:w="552" w:type="pct"/>
            <w:vAlign w:val="center"/>
          </w:tcPr>
          <w:p>
            <w:pPr>
              <w:autoSpaceDE w:val="0"/>
              <w:autoSpaceDN w:val="0"/>
              <w:adjustRightInd w:val="0"/>
              <w:snapToGrid w:val="0"/>
              <w:jc w:val="center"/>
              <w:rPr>
                <w:rFonts w:ascii="Times New Roman" w:hAnsi="Times New Roman" w:eastAsiaTheme="minorEastAsia"/>
                <w:color w:val="000000"/>
                <w:kern w:val="0"/>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0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7</w:t>
            </w:r>
          </w:p>
        </w:tc>
        <w:tc>
          <w:tcPr>
            <w:tcW w:w="2563"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土壤环境</w:t>
            </w:r>
          </w:p>
        </w:tc>
        <w:tc>
          <w:tcPr>
            <w:tcW w:w="1281" w:type="pct"/>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简单分析</w:t>
            </w:r>
          </w:p>
        </w:tc>
        <w:tc>
          <w:tcPr>
            <w:tcW w:w="552" w:type="pct"/>
            <w:vAlign w:val="center"/>
          </w:tcPr>
          <w:p>
            <w:pPr>
              <w:autoSpaceDE w:val="0"/>
              <w:autoSpaceDN w:val="0"/>
              <w:adjustRightInd w:val="0"/>
              <w:snapToGrid w:val="0"/>
              <w:jc w:val="center"/>
              <w:rPr>
                <w:rFonts w:ascii="Times New Roman" w:hAnsi="Times New Roman" w:eastAsiaTheme="minorEastAsia"/>
                <w:color w:val="000000"/>
                <w:kern w:val="0"/>
              </w:rPr>
            </w:pPr>
          </w:p>
        </w:tc>
      </w:tr>
    </w:tbl>
    <w:p>
      <w:pPr>
        <w:adjustRightInd w:val="0"/>
        <w:snapToGrid w:val="0"/>
        <w:spacing w:line="360" w:lineRule="auto"/>
        <w:ind w:firstLine="480" w:firstLineChars="200"/>
        <w:rPr>
          <w:rFonts w:ascii="Times New Roman" w:hAnsi="Times New Roman" w:eastAsiaTheme="minorEastAsia"/>
          <w:kern w:val="0"/>
          <w:sz w:val="24"/>
          <w:szCs w:val="24"/>
        </w:rPr>
      </w:pPr>
    </w:p>
    <w:p>
      <w:pPr>
        <w:pStyle w:val="4"/>
        <w:rPr>
          <w:rFonts w:eastAsiaTheme="minorEastAsia"/>
        </w:rPr>
      </w:pPr>
      <w:r>
        <w:rPr>
          <w:rFonts w:eastAsiaTheme="minorEastAsia"/>
        </w:rPr>
        <w:t>评价范围</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本项目包括码头及</w:t>
      </w:r>
      <w:r>
        <w:rPr>
          <w:rFonts w:ascii="Times New Roman" w:hAnsi="Times New Roman" w:eastAsiaTheme="minorEastAsia"/>
          <w:color w:val="000000"/>
          <w:kern w:val="0"/>
          <w:sz w:val="24"/>
          <w:szCs w:val="24"/>
          <w:lang w:bidi="ar"/>
        </w:rPr>
        <w:t>输煤皮</w:t>
      </w:r>
      <w:r>
        <w:rPr>
          <w:rFonts w:ascii="Times New Roman" w:hAnsi="Times New Roman" w:eastAsiaTheme="minorEastAsia"/>
          <w:color w:val="000000" w:themeColor="text1"/>
          <w:kern w:val="0"/>
          <w:sz w:val="24"/>
          <w:szCs w:val="24"/>
          <w:lang w:bidi="ar"/>
          <w14:textFill>
            <w14:solidFill>
              <w14:schemeClr w14:val="tx1"/>
            </w14:solidFill>
          </w14:textFill>
        </w:rPr>
        <w:t>带线</w:t>
      </w:r>
      <w:r>
        <w:rPr>
          <w:rFonts w:ascii="Times New Roman" w:hAnsi="Times New Roman" w:eastAsiaTheme="minorEastAsia"/>
          <w:color w:val="000000" w:themeColor="text1"/>
          <w:sz w:val="24"/>
          <w:szCs w:val="24"/>
          <w14:textFill>
            <w14:solidFill>
              <w14:schemeClr w14:val="tx1"/>
            </w14:solidFill>
          </w14:textFill>
        </w:rPr>
        <w:t>转运站。根据拟建项目</w:t>
      </w:r>
      <w:r>
        <w:rPr>
          <w:rFonts w:ascii="Times New Roman" w:hAnsi="Times New Roman" w:eastAsiaTheme="minorEastAsia"/>
          <w:color w:val="000000"/>
          <w:sz w:val="24"/>
          <w:szCs w:val="24"/>
        </w:rPr>
        <w:t>评价等级，确定各环境要素的评价范围，具体见表2.5-10。</w:t>
      </w: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表2.5-10  评价范围一览表</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11"/>
        <w:gridCol w:w="754"/>
        <w:gridCol w:w="782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789" w:type="pct"/>
            <w:gridSpan w:val="2"/>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评价内容</w:t>
            </w:r>
          </w:p>
        </w:tc>
        <w:tc>
          <w:tcPr>
            <w:tcW w:w="4210"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评价范围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9"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地表水环境</w:t>
            </w:r>
          </w:p>
        </w:tc>
        <w:tc>
          <w:tcPr>
            <w:tcW w:w="4210" w:type="pct"/>
            <w:vAlign w:val="center"/>
          </w:tcPr>
          <w:p>
            <w:pPr>
              <w:autoSpaceDE w:val="0"/>
              <w:autoSpaceDN w:val="0"/>
              <w:adjustRightInd w:val="0"/>
              <w:snapToGrid w:val="0"/>
              <w:jc w:val="left"/>
              <w:rPr>
                <w:rFonts w:ascii="Times New Roman" w:hAnsi="Times New Roman" w:eastAsiaTheme="minorEastAsia"/>
                <w:kern w:val="0"/>
              </w:rPr>
            </w:pPr>
            <w:r>
              <w:rPr>
                <w:rFonts w:ascii="Times New Roman" w:hAnsi="Times New Roman" w:eastAsiaTheme="minorEastAsia"/>
                <w:kern w:val="0"/>
              </w:rPr>
              <w:t>码头上游5km至下游30km共约35km的长江干流水域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9"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地下水环境</w:t>
            </w:r>
          </w:p>
        </w:tc>
        <w:tc>
          <w:tcPr>
            <w:tcW w:w="4210" w:type="pct"/>
            <w:vAlign w:val="center"/>
          </w:tcPr>
          <w:p>
            <w:pPr>
              <w:autoSpaceDE w:val="0"/>
              <w:autoSpaceDN w:val="0"/>
              <w:adjustRightInd w:val="0"/>
              <w:snapToGrid w:val="0"/>
              <w:jc w:val="left"/>
              <w:rPr>
                <w:rFonts w:ascii="Times New Roman" w:hAnsi="Times New Roman" w:eastAsiaTheme="minorEastAsia"/>
                <w:kern w:val="0"/>
              </w:rPr>
            </w:pPr>
            <w:r>
              <w:rPr>
                <w:rFonts w:ascii="Times New Roman" w:hAnsi="Times New Roman" w:eastAsiaTheme="minorEastAsia"/>
                <w:kern w:val="0"/>
              </w:rPr>
              <w:t>码头所在水文地质单元，周边6km</w:t>
            </w:r>
            <w:r>
              <w:rPr>
                <w:rFonts w:ascii="Times New Roman" w:hAnsi="Times New Roman" w:eastAsiaTheme="minorEastAsia"/>
                <w:kern w:val="0"/>
                <w:vertAlign w:val="superscript"/>
              </w:rPr>
              <w:t>2</w:t>
            </w:r>
            <w:r>
              <w:rPr>
                <w:rFonts w:ascii="Times New Roman" w:hAnsi="Times New Roman" w:eastAsiaTheme="minorEastAsia"/>
                <w:kern w:val="0"/>
              </w:rPr>
              <w:t>的范围内，输煤皮带线两侧各200m内区域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9"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大气环境</w:t>
            </w:r>
          </w:p>
        </w:tc>
        <w:tc>
          <w:tcPr>
            <w:tcW w:w="4210" w:type="pct"/>
            <w:vAlign w:val="center"/>
          </w:tcPr>
          <w:p>
            <w:pPr>
              <w:autoSpaceDE w:val="0"/>
              <w:autoSpaceDN w:val="0"/>
              <w:adjustRightInd w:val="0"/>
              <w:snapToGrid w:val="0"/>
              <w:jc w:val="left"/>
              <w:rPr>
                <w:rFonts w:ascii="Times New Roman" w:hAnsi="Times New Roman" w:eastAsiaTheme="minorEastAsia"/>
                <w:color w:val="2306FA"/>
                <w:kern w:val="0"/>
              </w:rPr>
            </w:pPr>
            <w:r>
              <w:rPr>
                <w:rFonts w:ascii="Times New Roman" w:hAnsi="Times New Roman" w:eastAsiaTheme="minorEastAsia"/>
                <w:color w:val="000000" w:themeColor="text1"/>
                <w:spacing w:val="-6"/>
                <w14:textFill>
                  <w14:solidFill>
                    <w14:schemeClr w14:val="tx1"/>
                  </w14:solidFill>
                </w14:textFill>
              </w:rPr>
              <w:t>以项目码头区域中心为中心，边长为5km矩形范围；</w:t>
            </w:r>
            <w:r>
              <w:rPr>
                <w:rFonts w:ascii="Times New Roman" w:hAnsi="Times New Roman" w:eastAsiaTheme="minorEastAsia"/>
                <w:kern w:val="0"/>
              </w:rPr>
              <w:t>输煤皮带线</w:t>
            </w:r>
            <w:r>
              <w:rPr>
                <w:rFonts w:ascii="Times New Roman" w:hAnsi="Times New Roman" w:eastAsiaTheme="minorEastAsia"/>
                <w:color w:val="000000" w:themeColor="text1"/>
                <w:spacing w:val="-6"/>
                <w14:textFill>
                  <w14:solidFill>
                    <w14:schemeClr w14:val="tx1"/>
                  </w14:solidFill>
                </w14:textFill>
              </w:rPr>
              <w:t>两侧各200m内</w:t>
            </w:r>
            <w:r>
              <w:rPr>
                <w:rFonts w:ascii="Times New Roman" w:hAnsi="Times New Roman" w:eastAsiaTheme="minorEastAsia"/>
                <w:kern w:val="0"/>
              </w:rPr>
              <w:t>区域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9"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声环境</w:t>
            </w:r>
          </w:p>
        </w:tc>
        <w:tc>
          <w:tcPr>
            <w:tcW w:w="4210" w:type="pct"/>
            <w:vAlign w:val="center"/>
          </w:tcPr>
          <w:p>
            <w:pPr>
              <w:autoSpaceDE w:val="0"/>
              <w:autoSpaceDN w:val="0"/>
              <w:adjustRightInd w:val="0"/>
              <w:snapToGrid w:val="0"/>
              <w:jc w:val="left"/>
              <w:rPr>
                <w:rFonts w:ascii="Times New Roman" w:hAnsi="Times New Roman" w:eastAsiaTheme="minorEastAsia"/>
                <w:kern w:val="0"/>
              </w:rPr>
            </w:pPr>
            <w:r>
              <w:rPr>
                <w:rFonts w:ascii="Times New Roman" w:hAnsi="Times New Roman" w:eastAsiaTheme="minorEastAsia"/>
                <w:kern w:val="0"/>
              </w:rPr>
              <w:t>码头四周场界200m范围内，输煤皮带线两侧各200m内区域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9"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土壤环境</w:t>
            </w:r>
          </w:p>
        </w:tc>
        <w:tc>
          <w:tcPr>
            <w:tcW w:w="4210" w:type="pct"/>
            <w:vAlign w:val="center"/>
          </w:tcPr>
          <w:p>
            <w:pPr>
              <w:autoSpaceDE w:val="0"/>
              <w:autoSpaceDN w:val="0"/>
              <w:adjustRightInd w:val="0"/>
              <w:snapToGrid w:val="0"/>
              <w:jc w:val="left"/>
              <w:rPr>
                <w:rFonts w:ascii="Times New Roman" w:hAnsi="Times New Roman" w:eastAsiaTheme="minorEastAsia"/>
                <w:kern w:val="0"/>
              </w:rPr>
            </w:pPr>
            <w:r>
              <w:rPr>
                <w:rFonts w:ascii="Times New Roman" w:hAnsi="Times New Roman" w:eastAsiaTheme="minorEastAsia"/>
                <w:kern w:val="0"/>
              </w:rPr>
              <w:t>码头及输煤皮带线两侧各200m内区域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3" w:type="pct"/>
            <w:vMerge w:val="restar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生态环境</w:t>
            </w:r>
          </w:p>
        </w:tc>
        <w:tc>
          <w:tcPr>
            <w:tcW w:w="40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水域</w:t>
            </w:r>
          </w:p>
        </w:tc>
        <w:tc>
          <w:tcPr>
            <w:tcW w:w="4210" w:type="pct"/>
            <w:vAlign w:val="center"/>
          </w:tcPr>
          <w:p>
            <w:pPr>
              <w:autoSpaceDE w:val="0"/>
              <w:autoSpaceDN w:val="0"/>
              <w:adjustRightInd w:val="0"/>
              <w:snapToGrid w:val="0"/>
              <w:jc w:val="left"/>
              <w:rPr>
                <w:rFonts w:ascii="Times New Roman" w:hAnsi="Times New Roman" w:eastAsiaTheme="minorEastAsia"/>
                <w:kern w:val="0"/>
              </w:rPr>
            </w:pPr>
            <w:r>
              <w:rPr>
                <w:rFonts w:ascii="Times New Roman" w:hAnsi="Times New Roman" w:eastAsiaTheme="minorEastAsia"/>
                <w:kern w:val="0"/>
              </w:rPr>
              <w:t>码头上游5km至下游10km共约11km的长江干流水域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3"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40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陆域</w:t>
            </w:r>
          </w:p>
        </w:tc>
        <w:tc>
          <w:tcPr>
            <w:tcW w:w="4210" w:type="pct"/>
            <w:vAlign w:val="center"/>
          </w:tcPr>
          <w:p>
            <w:pPr>
              <w:autoSpaceDE w:val="0"/>
              <w:autoSpaceDN w:val="0"/>
              <w:adjustRightInd w:val="0"/>
              <w:snapToGrid w:val="0"/>
              <w:jc w:val="left"/>
              <w:rPr>
                <w:rFonts w:ascii="Times New Roman" w:hAnsi="Times New Roman" w:eastAsiaTheme="minorEastAsia"/>
                <w:kern w:val="0"/>
              </w:rPr>
            </w:pPr>
            <w:r>
              <w:rPr>
                <w:rFonts w:ascii="Times New Roman" w:hAnsi="Times New Roman" w:eastAsiaTheme="minorEastAsia"/>
                <w:kern w:val="0"/>
              </w:rPr>
              <w:t>码头边界周围200m以内范围输煤皮带线两侧各200m内区域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9" w:type="pct"/>
            <w:gridSpan w:val="2"/>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环境风险</w:t>
            </w:r>
          </w:p>
        </w:tc>
        <w:tc>
          <w:tcPr>
            <w:tcW w:w="4210" w:type="pct"/>
            <w:vAlign w:val="center"/>
          </w:tcPr>
          <w:p>
            <w:pPr>
              <w:autoSpaceDE w:val="0"/>
              <w:autoSpaceDN w:val="0"/>
              <w:adjustRightInd w:val="0"/>
              <w:snapToGrid w:val="0"/>
              <w:jc w:val="left"/>
              <w:rPr>
                <w:rFonts w:ascii="Times New Roman" w:hAnsi="Times New Roman" w:eastAsiaTheme="minorEastAsia"/>
                <w:kern w:val="0"/>
              </w:rPr>
            </w:pPr>
            <w:r>
              <w:rPr>
                <w:rFonts w:ascii="Times New Roman" w:hAnsi="Times New Roman" w:eastAsiaTheme="minorEastAsia"/>
                <w:kern w:val="0"/>
              </w:rPr>
              <w:t>地表水环境风险评价范围：码头上游5km至下游30km，共约35km的长江干流水域</w:t>
            </w:r>
          </w:p>
        </w:tc>
      </w:tr>
    </w:tbl>
    <w:p>
      <w:pPr>
        <w:autoSpaceDE w:val="0"/>
        <w:autoSpaceDN w:val="0"/>
        <w:adjustRightInd w:val="0"/>
        <w:snapToGrid w:val="0"/>
        <w:spacing w:line="360" w:lineRule="auto"/>
        <w:ind w:firstLine="480" w:firstLineChars="200"/>
        <w:jc w:val="left"/>
        <w:rPr>
          <w:rFonts w:ascii="Times New Roman" w:hAnsi="Times New Roman" w:eastAsiaTheme="minorEastAsia"/>
          <w:kern w:val="0"/>
          <w:sz w:val="24"/>
          <w:szCs w:val="24"/>
        </w:rPr>
      </w:pPr>
    </w:p>
    <w:p>
      <w:pPr>
        <w:pStyle w:val="3"/>
        <w:rPr>
          <w:rFonts w:ascii="Times New Roman" w:hAnsi="Times New Roman" w:eastAsiaTheme="minorEastAsia"/>
          <w:b/>
          <w:color w:val="000000"/>
          <w:szCs w:val="24"/>
          <w:lang w:bidi="ar"/>
        </w:rPr>
      </w:pPr>
      <w:bookmarkStart w:id="26" w:name="_Toc19869"/>
      <w:r>
        <w:rPr>
          <w:rFonts w:ascii="Times New Roman" w:hAnsi="Times New Roman" w:eastAsiaTheme="minorEastAsia"/>
          <w:b/>
        </w:rPr>
        <w:t>环境功能区划与评价标准</w:t>
      </w:r>
      <w:bookmarkEnd w:id="26"/>
    </w:p>
    <w:p>
      <w:pPr>
        <w:pStyle w:val="4"/>
        <w:rPr>
          <w:rFonts w:eastAsiaTheme="minorEastAsia"/>
        </w:rPr>
      </w:pPr>
      <w:r>
        <w:rPr>
          <w:rFonts w:eastAsiaTheme="minorEastAsia"/>
        </w:rPr>
        <w:t>环境功能区划</w:t>
      </w:r>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1、地表水</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本项目地表水体为长江干流岳阳段（即“塔市驿（湖北省流入湖南省断面）至黄盖湖（湖南省流入湖北省断面）”，属渔业用水区），长江岳阳段属于《地表水环境质量标准》（GB3838-2002）中</w:t>
      </w:r>
      <w:r>
        <w:rPr>
          <w:rFonts w:hint="eastAsia" w:ascii="宋体" w:hAnsi="宋体" w:cs="宋体"/>
          <w:color w:val="000000"/>
          <w:sz w:val="24"/>
          <w:szCs w:val="24"/>
        </w:rPr>
        <w:t>Ⅲ</w:t>
      </w:r>
      <w:r>
        <w:rPr>
          <w:rFonts w:ascii="Times New Roman" w:hAnsi="Times New Roman" w:eastAsiaTheme="minorEastAsia"/>
          <w:color w:val="000000"/>
          <w:sz w:val="24"/>
          <w:szCs w:val="24"/>
        </w:rPr>
        <w:t>类水体。</w:t>
      </w:r>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2、地下水</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本项目所在地地下水执行《地下水质量标准》（GB/T14848-2017）</w:t>
      </w:r>
      <w:r>
        <w:rPr>
          <w:rFonts w:hint="eastAsia" w:ascii="宋体" w:hAnsi="宋体" w:cs="宋体"/>
          <w:color w:val="000000"/>
          <w:sz w:val="24"/>
          <w:szCs w:val="24"/>
        </w:rPr>
        <w:t>Ⅲ</w:t>
      </w:r>
      <w:r>
        <w:rPr>
          <w:rFonts w:ascii="Times New Roman" w:hAnsi="Times New Roman" w:eastAsiaTheme="minorEastAsia"/>
          <w:color w:val="000000"/>
          <w:sz w:val="24"/>
          <w:szCs w:val="24"/>
        </w:rPr>
        <w:t>类标准。</w:t>
      </w:r>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3、环境空气</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本项目所在区域属于《环境空气质量标准》（GB3095-2012）二类功能区，执行环境空气质量标准》（GB3095-2012）二级标准。</w:t>
      </w:r>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4、声环境</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根据《声环境质量标准》（GB3096-2008）的规定，按区域的使用功能特点和环境质量要求，声环境功能区分为以下五种类型：</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0类声环境功能区：指康复疗养区等特别需要安静的区域。</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1类声环境功能区：指以居民住宅、医疗卫生、文化教育、科研设计、行政办公为主要功能，需要保持安静的区域。</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2类声环境功能区：指以商业金融、集市贸易为主要功能，或者居住、商业、工业混杂，需要维护住宅安静的区域。</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3类声环境功能区：指以工业生产、仓储物流为主要功能，需要防止工业噪声对周围环境产生严重影响的区域。</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4类声环境功能区：指交通干线两侧一定距离之内，需要防止交通噪声对周围环境产生严重影响的区域，包括4a类和4b类两种类型。4a类为高速公路、一级公路、二级公路、城市快速路、城市主干路、城市次干路、城市轨道交通（地面段）、内河航道两侧区域；4b类为铁路干线两侧区域。</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本项目航道两侧35m红线范围内声环境质量执行《声环境质量标准》（GB3096-2008）4a类标准，码头其他区域及输煤皮带线声环境质量执行《声环境质量标准》（GB3096-2008）3类标准。</w:t>
      </w:r>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5、土壤</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本项目码头工程区域底泥参考执行《土壤环境质量建设用地土壤污染风险管控标准》（GB</w:t>
      </w:r>
      <w:r>
        <w:rPr>
          <w:rFonts w:hint="eastAsia" w:ascii="Times New Roman" w:hAnsi="Times New Roman" w:eastAsiaTheme="minorEastAsia"/>
          <w:color w:val="000000"/>
          <w:sz w:val="24"/>
          <w:szCs w:val="24"/>
          <w:lang w:val="en-US" w:eastAsia="zh-CN"/>
        </w:rPr>
        <w:t xml:space="preserve"> </w:t>
      </w:r>
      <w:r>
        <w:rPr>
          <w:rFonts w:ascii="Times New Roman" w:hAnsi="Times New Roman" w:eastAsiaTheme="minorEastAsia"/>
          <w:color w:val="000000"/>
          <w:sz w:val="24"/>
          <w:szCs w:val="24"/>
        </w:rPr>
        <w:t>36600-2018）中二类用地筛选值限值</w:t>
      </w:r>
      <w:r>
        <w:rPr>
          <w:rFonts w:ascii="Times New Roman" w:hAnsi="Times New Roman" w:eastAsiaTheme="minorEastAsia"/>
          <w:color w:val="000000" w:themeColor="text1"/>
          <w:sz w:val="24"/>
          <w:szCs w:val="24"/>
          <w14:textFill>
            <w14:solidFill>
              <w14:schemeClr w14:val="tx1"/>
            </w14:solidFill>
          </w14:textFill>
        </w:rPr>
        <w:t>要求和《土壤环境质量农用地土壤污染风险管控标准》（GB 15618-2018）中用地筛选值限值要求</w:t>
      </w:r>
      <w:r>
        <w:rPr>
          <w:rFonts w:ascii="Times New Roman" w:hAnsi="Times New Roman" w:eastAsiaTheme="minorEastAsia"/>
          <w:color w:val="000000"/>
          <w:sz w:val="24"/>
          <w:szCs w:val="24"/>
        </w:rPr>
        <w:t>。</w:t>
      </w:r>
    </w:p>
    <w:p>
      <w:pPr>
        <w:pStyle w:val="4"/>
        <w:rPr>
          <w:rFonts w:eastAsiaTheme="minorEastAsia"/>
        </w:rPr>
      </w:pPr>
      <w:r>
        <w:rPr>
          <w:rFonts w:eastAsiaTheme="minorEastAsia"/>
        </w:rPr>
        <w:t>环境质量标准</w:t>
      </w:r>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1、地表水</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根据环境功能区划，长江（岳阳段）水质执行《地表水环境质量标准》（GB3838-2002）III类标准，详见表2.6-1。</w:t>
      </w:r>
    </w:p>
    <w:p>
      <w:pPr>
        <w:tabs>
          <w:tab w:val="left" w:pos="900"/>
        </w:tabs>
        <w:wordWrap w:val="0"/>
        <w:snapToGrid w:val="0"/>
        <w:spacing w:line="276" w:lineRule="auto"/>
        <w:jc w:val="right"/>
        <w:rPr>
          <w:rFonts w:ascii="Times New Roman" w:hAnsi="Times New Roman" w:eastAsiaTheme="minorEastAsia"/>
          <w:color w:val="000000"/>
          <w:sz w:val="24"/>
          <w:szCs w:val="24"/>
        </w:rPr>
      </w:pPr>
      <w:r>
        <w:rPr>
          <w:rFonts w:ascii="Times New Roman" w:hAnsi="Times New Roman" w:eastAsiaTheme="minorEastAsia"/>
          <w:b/>
          <w:color w:val="000000"/>
          <w:sz w:val="24"/>
          <w:szCs w:val="24"/>
        </w:rPr>
        <w:t xml:space="preserve">表2.6-1  地表水环境质量评价标准             </w:t>
      </w:r>
      <w:r>
        <w:rPr>
          <w:rFonts w:ascii="Times New Roman" w:hAnsi="Times New Roman" w:eastAsiaTheme="minorEastAsia"/>
          <w:color w:val="000000"/>
          <w:sz w:val="24"/>
          <w:szCs w:val="24"/>
        </w:rPr>
        <w:t>单位：mg/L</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267"/>
        <w:gridCol w:w="2992"/>
        <w:gridCol w:w="284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795"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项目</w:t>
            </w:r>
          </w:p>
        </w:tc>
        <w:tc>
          <w:tcPr>
            <w:tcW w:w="1644"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hint="eastAsia" w:ascii="宋体" w:hAnsi="宋体" w:cs="宋体"/>
                <w:b/>
                <w:bCs/>
                <w:color w:val="000000"/>
                <w:kern w:val="0"/>
              </w:rPr>
              <w:t>Ⅲ</w:t>
            </w:r>
            <w:r>
              <w:rPr>
                <w:rFonts w:ascii="Times New Roman" w:hAnsi="Times New Roman" w:eastAsiaTheme="minorEastAsia"/>
                <w:b/>
                <w:color w:val="000000"/>
                <w:kern w:val="0"/>
              </w:rPr>
              <w:t>类标准</w:t>
            </w:r>
          </w:p>
        </w:tc>
        <w:tc>
          <w:tcPr>
            <w:tcW w:w="1561"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执行标准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9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pH值（无量纲）</w:t>
            </w:r>
          </w:p>
        </w:tc>
        <w:tc>
          <w:tcPr>
            <w:tcW w:w="164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6~9</w:t>
            </w:r>
          </w:p>
        </w:tc>
        <w:tc>
          <w:tcPr>
            <w:tcW w:w="1561" w:type="pct"/>
            <w:vMerge w:val="restart"/>
            <w:vAlign w:val="center"/>
          </w:tcPr>
          <w:p>
            <w:pPr>
              <w:autoSpaceDE w:val="0"/>
              <w:autoSpaceDN w:val="0"/>
              <w:adjustRightInd w:val="0"/>
              <w:snapToGrid w:val="0"/>
              <w:rPr>
                <w:rFonts w:ascii="Times New Roman" w:hAnsi="Times New Roman" w:eastAsiaTheme="minorEastAsia"/>
                <w:color w:val="000000"/>
                <w:kern w:val="0"/>
              </w:rPr>
            </w:pPr>
            <w:r>
              <w:rPr>
                <w:rFonts w:ascii="Times New Roman" w:hAnsi="Times New Roman" w:eastAsiaTheme="minorEastAsia"/>
                <w:color w:val="000000"/>
                <w:kern w:val="0"/>
              </w:rPr>
              <w:t>《地表水环境质量标准》（GB3838-2002）</w:t>
            </w:r>
            <w:r>
              <w:rPr>
                <w:rFonts w:hint="eastAsia" w:ascii="宋体" w:hAnsi="宋体" w:cs="宋体"/>
                <w:color w:val="000000"/>
                <w:kern w:val="0"/>
                <w:lang w:eastAsia="ja-JP"/>
              </w:rPr>
              <w:t>Ⅲ</w:t>
            </w:r>
            <w:r>
              <w:rPr>
                <w:rFonts w:ascii="Times New Roman" w:hAnsi="Times New Roman" w:eastAsiaTheme="minorEastAsia"/>
                <w:color w:val="000000"/>
                <w:kern w:val="0"/>
              </w:rPr>
              <w:t>类标准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9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溶解氧（DO）</w:t>
            </w:r>
          </w:p>
        </w:tc>
        <w:tc>
          <w:tcPr>
            <w:tcW w:w="164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w:t>
            </w:r>
          </w:p>
        </w:tc>
        <w:tc>
          <w:tcPr>
            <w:tcW w:w="1561" w:type="pct"/>
            <w:vMerge w:val="continue"/>
            <w:vAlign w:val="center"/>
          </w:tcPr>
          <w:p>
            <w:pPr>
              <w:autoSpaceDE w:val="0"/>
              <w:autoSpaceDN w:val="0"/>
              <w:adjustRightInd w:val="0"/>
              <w:snapToGrid w:val="0"/>
              <w:rPr>
                <w:rFonts w:ascii="Times New Roman" w:hAnsi="Times New Roman" w:eastAsiaTheme="minorEastAsia"/>
                <w:color w:val="000000"/>
                <w:kern w:val="0"/>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9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rPr>
              <w:t>化学需氧量（COD）</w:t>
            </w:r>
          </w:p>
        </w:tc>
        <w:tc>
          <w:tcPr>
            <w:tcW w:w="164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≤20</w:t>
            </w:r>
          </w:p>
        </w:tc>
        <w:tc>
          <w:tcPr>
            <w:tcW w:w="1561" w:type="pct"/>
            <w:vMerge w:val="continue"/>
            <w:vAlign w:val="center"/>
          </w:tcPr>
          <w:p>
            <w:pPr>
              <w:autoSpaceDE w:val="0"/>
              <w:autoSpaceDN w:val="0"/>
              <w:adjustRightInd w:val="0"/>
              <w:snapToGrid w:val="0"/>
              <w:jc w:val="left"/>
              <w:rPr>
                <w:rFonts w:ascii="Times New Roman" w:hAnsi="Times New Roman" w:eastAsiaTheme="minorEastAsia"/>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9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rPr>
              <w:t>五日生化需氧量（BOD</w:t>
            </w:r>
            <w:r>
              <w:rPr>
                <w:rFonts w:ascii="Times New Roman" w:hAnsi="Times New Roman" w:eastAsiaTheme="minorEastAsia"/>
                <w:color w:val="000000"/>
                <w:vertAlign w:val="subscript"/>
              </w:rPr>
              <w:t>5</w:t>
            </w:r>
            <w:r>
              <w:rPr>
                <w:rFonts w:ascii="Times New Roman" w:hAnsi="Times New Roman" w:eastAsiaTheme="minorEastAsia"/>
                <w:color w:val="000000"/>
              </w:rPr>
              <w:t>）</w:t>
            </w:r>
          </w:p>
        </w:tc>
        <w:tc>
          <w:tcPr>
            <w:tcW w:w="164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w:t>
            </w:r>
          </w:p>
        </w:tc>
        <w:tc>
          <w:tcPr>
            <w:tcW w:w="1561" w:type="pct"/>
            <w:vMerge w:val="continue"/>
            <w:vAlign w:val="center"/>
          </w:tcPr>
          <w:p>
            <w:pPr>
              <w:autoSpaceDE w:val="0"/>
              <w:autoSpaceDN w:val="0"/>
              <w:adjustRightInd w:val="0"/>
              <w:snapToGrid w:val="0"/>
              <w:jc w:val="left"/>
              <w:rPr>
                <w:rFonts w:ascii="Times New Roman" w:hAnsi="Times New Roman" w:eastAsiaTheme="minorEastAsia"/>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95" w:type="pct"/>
            <w:vAlign w:val="center"/>
          </w:tcPr>
          <w:p>
            <w:pPr>
              <w:autoSpaceDE w:val="0"/>
              <w:autoSpaceDN w:val="0"/>
              <w:adjustRightInd w:val="0"/>
              <w:snapToGrid w:val="0"/>
              <w:jc w:val="center"/>
              <w:rPr>
                <w:rFonts w:ascii="Times New Roman" w:hAnsi="Times New Roman" w:eastAsiaTheme="minorEastAsia"/>
                <w:color w:val="000000"/>
              </w:rPr>
            </w:pPr>
            <w:r>
              <w:rPr>
                <w:rFonts w:ascii="Times New Roman" w:hAnsi="Times New Roman" w:eastAsiaTheme="minorEastAsia"/>
                <w:color w:val="000000"/>
                <w:kern w:val="0"/>
              </w:rPr>
              <w:t>氨氮（NH</w:t>
            </w:r>
            <w:r>
              <w:rPr>
                <w:rFonts w:ascii="Times New Roman" w:hAnsi="Times New Roman" w:eastAsiaTheme="minorEastAsia"/>
                <w:color w:val="000000"/>
                <w:kern w:val="0"/>
                <w:vertAlign w:val="subscript"/>
              </w:rPr>
              <w:t>3</w:t>
            </w:r>
            <w:r>
              <w:rPr>
                <w:rFonts w:ascii="Times New Roman" w:hAnsi="Times New Roman" w:eastAsiaTheme="minorEastAsia"/>
                <w:color w:val="000000"/>
                <w:kern w:val="0"/>
              </w:rPr>
              <w:t>-N）</w:t>
            </w:r>
          </w:p>
        </w:tc>
        <w:tc>
          <w:tcPr>
            <w:tcW w:w="164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w:t>
            </w:r>
          </w:p>
        </w:tc>
        <w:tc>
          <w:tcPr>
            <w:tcW w:w="1561" w:type="pct"/>
            <w:vMerge w:val="continue"/>
            <w:vAlign w:val="center"/>
          </w:tcPr>
          <w:p>
            <w:pPr>
              <w:autoSpaceDE w:val="0"/>
              <w:autoSpaceDN w:val="0"/>
              <w:adjustRightInd w:val="0"/>
              <w:snapToGrid w:val="0"/>
              <w:jc w:val="left"/>
              <w:rPr>
                <w:rFonts w:ascii="Times New Roman" w:hAnsi="Times New Roman" w:eastAsiaTheme="minorEastAsia"/>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9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总磷（以P计）</w:t>
            </w:r>
          </w:p>
        </w:tc>
        <w:tc>
          <w:tcPr>
            <w:tcW w:w="164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w:t>
            </w:r>
          </w:p>
        </w:tc>
        <w:tc>
          <w:tcPr>
            <w:tcW w:w="1561" w:type="pct"/>
            <w:vMerge w:val="continue"/>
            <w:vAlign w:val="center"/>
          </w:tcPr>
          <w:p>
            <w:pPr>
              <w:autoSpaceDE w:val="0"/>
              <w:autoSpaceDN w:val="0"/>
              <w:adjustRightInd w:val="0"/>
              <w:snapToGrid w:val="0"/>
              <w:jc w:val="left"/>
              <w:rPr>
                <w:rFonts w:ascii="Times New Roman" w:hAnsi="Times New Roman" w:eastAsiaTheme="minorEastAsia"/>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9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总氮（以N计）</w:t>
            </w:r>
          </w:p>
        </w:tc>
        <w:tc>
          <w:tcPr>
            <w:tcW w:w="164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w:t>
            </w:r>
          </w:p>
        </w:tc>
        <w:tc>
          <w:tcPr>
            <w:tcW w:w="1561" w:type="pct"/>
            <w:vMerge w:val="continue"/>
            <w:vAlign w:val="center"/>
          </w:tcPr>
          <w:p>
            <w:pPr>
              <w:autoSpaceDE w:val="0"/>
              <w:autoSpaceDN w:val="0"/>
              <w:adjustRightInd w:val="0"/>
              <w:snapToGrid w:val="0"/>
              <w:jc w:val="left"/>
              <w:rPr>
                <w:rFonts w:ascii="Times New Roman" w:hAnsi="Times New Roman" w:eastAsiaTheme="minorEastAsia"/>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9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rPr>
              <w:t>氟化物（以F</w:t>
            </w:r>
            <w:r>
              <w:rPr>
                <w:rFonts w:ascii="Times New Roman" w:hAnsi="Times New Roman" w:eastAsiaTheme="minorEastAsia"/>
                <w:color w:val="000000"/>
                <w:vertAlign w:val="superscript"/>
              </w:rPr>
              <w:t>—</w:t>
            </w:r>
            <w:r>
              <w:rPr>
                <w:rFonts w:ascii="Times New Roman" w:hAnsi="Times New Roman" w:eastAsiaTheme="minorEastAsia"/>
                <w:color w:val="000000"/>
              </w:rPr>
              <w:t>）</w:t>
            </w:r>
          </w:p>
        </w:tc>
        <w:tc>
          <w:tcPr>
            <w:tcW w:w="164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w:t>
            </w:r>
          </w:p>
        </w:tc>
        <w:tc>
          <w:tcPr>
            <w:tcW w:w="1561" w:type="pct"/>
            <w:vMerge w:val="continue"/>
            <w:vAlign w:val="center"/>
          </w:tcPr>
          <w:p>
            <w:pPr>
              <w:autoSpaceDE w:val="0"/>
              <w:autoSpaceDN w:val="0"/>
              <w:adjustRightInd w:val="0"/>
              <w:snapToGrid w:val="0"/>
              <w:jc w:val="left"/>
              <w:rPr>
                <w:rFonts w:ascii="Times New Roman" w:hAnsi="Times New Roman" w:eastAsiaTheme="minorEastAsia"/>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9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石油类</w:t>
            </w:r>
          </w:p>
        </w:tc>
        <w:tc>
          <w:tcPr>
            <w:tcW w:w="164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≤0.05</w:t>
            </w:r>
          </w:p>
        </w:tc>
        <w:tc>
          <w:tcPr>
            <w:tcW w:w="1561" w:type="pct"/>
            <w:vMerge w:val="continue"/>
            <w:vAlign w:val="center"/>
          </w:tcPr>
          <w:p>
            <w:pPr>
              <w:autoSpaceDE w:val="0"/>
              <w:autoSpaceDN w:val="0"/>
              <w:adjustRightInd w:val="0"/>
              <w:snapToGrid w:val="0"/>
              <w:jc w:val="left"/>
              <w:rPr>
                <w:rFonts w:ascii="Times New Roman" w:hAnsi="Times New Roman" w:eastAsiaTheme="minorEastAsia"/>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9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rPr>
              <w:t>悬浮物（SS）</w:t>
            </w:r>
          </w:p>
        </w:tc>
        <w:tc>
          <w:tcPr>
            <w:tcW w:w="164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rPr>
              <w:t>≤30</w:t>
            </w:r>
          </w:p>
        </w:tc>
        <w:tc>
          <w:tcPr>
            <w:tcW w:w="1561" w:type="pct"/>
            <w:vMerge w:val="continue"/>
            <w:vAlign w:val="center"/>
          </w:tcPr>
          <w:p>
            <w:pPr>
              <w:autoSpaceDE w:val="0"/>
              <w:autoSpaceDN w:val="0"/>
              <w:adjustRightInd w:val="0"/>
              <w:snapToGrid w:val="0"/>
              <w:jc w:val="left"/>
              <w:rPr>
                <w:rFonts w:ascii="Times New Roman" w:hAnsi="Times New Roman" w:eastAsiaTheme="minorEastAsia"/>
                <w:kern w:val="0"/>
                <w:sz w:val="24"/>
                <w:szCs w:val="24"/>
              </w:rPr>
            </w:pPr>
          </w:p>
        </w:tc>
      </w:tr>
    </w:tbl>
    <w:p>
      <w:pPr>
        <w:pStyle w:val="347"/>
        <w:snapToGrid w:val="0"/>
        <w:spacing w:line="360" w:lineRule="auto"/>
        <w:rPr>
          <w:rFonts w:ascii="Times New Roman" w:eastAsiaTheme="minorEastAsia"/>
          <w:sz w:val="21"/>
          <w:szCs w:val="21"/>
        </w:rPr>
      </w:pPr>
      <w:r>
        <w:rPr>
          <w:rFonts w:ascii="Times New Roman" w:eastAsiaTheme="minorEastAsia"/>
          <w:sz w:val="21"/>
          <w:szCs w:val="21"/>
        </w:rPr>
        <w:t>注：悬浮物参照《地表水资源质量标准》中的相应标准值。</w:t>
      </w:r>
    </w:p>
    <w:p>
      <w:pPr>
        <w:pStyle w:val="145"/>
        <w:snapToGrid w:val="0"/>
        <w:ind w:firstLine="480" w:firstLineChars="200"/>
        <w:rPr>
          <w:rFonts w:ascii="Times New Roman" w:hAnsi="Times New Roman" w:cs="Times New Roman"/>
        </w:rPr>
      </w:pPr>
    </w:p>
    <w:p>
      <w:pPr>
        <w:pStyle w:val="347"/>
        <w:snapToGrid w:val="0"/>
        <w:spacing w:line="360" w:lineRule="auto"/>
        <w:ind w:firstLine="482"/>
        <w:rPr>
          <w:rFonts w:ascii="Times New Roman" w:eastAsiaTheme="minorEastAsia"/>
          <w:b/>
          <w:color w:val="000000"/>
        </w:rPr>
      </w:pPr>
      <w:r>
        <w:rPr>
          <w:rFonts w:ascii="Times New Roman" w:eastAsiaTheme="minorEastAsia"/>
          <w:b/>
          <w:color w:val="000000"/>
        </w:rPr>
        <w:t>2、环境空气</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本项目所在区域常规大气污染因子SO</w:t>
      </w:r>
      <w:r>
        <w:rPr>
          <w:rFonts w:ascii="Times New Roman" w:hAnsi="Times New Roman" w:eastAsiaTheme="minorEastAsia"/>
          <w:color w:val="000000"/>
          <w:sz w:val="24"/>
          <w:szCs w:val="24"/>
          <w:vertAlign w:val="subscript"/>
        </w:rPr>
        <w:t>2</w:t>
      </w:r>
      <w:r>
        <w:rPr>
          <w:rFonts w:ascii="Times New Roman" w:hAnsi="Times New Roman" w:eastAsiaTheme="minorEastAsia"/>
          <w:color w:val="000000"/>
          <w:sz w:val="24"/>
          <w:szCs w:val="24"/>
        </w:rPr>
        <w:t>、NO</w:t>
      </w:r>
      <w:r>
        <w:rPr>
          <w:rFonts w:ascii="Times New Roman" w:hAnsi="Times New Roman" w:eastAsiaTheme="minorEastAsia"/>
          <w:color w:val="000000"/>
          <w:sz w:val="24"/>
          <w:szCs w:val="24"/>
          <w:vertAlign w:val="subscript"/>
        </w:rPr>
        <w:t>2</w:t>
      </w:r>
      <w:r>
        <w:rPr>
          <w:rFonts w:ascii="Times New Roman" w:hAnsi="Times New Roman" w:eastAsiaTheme="minorEastAsia"/>
          <w:color w:val="000000"/>
          <w:sz w:val="24"/>
          <w:szCs w:val="24"/>
        </w:rPr>
        <w:t>、PM</w:t>
      </w:r>
      <w:r>
        <w:rPr>
          <w:rFonts w:ascii="Times New Roman" w:hAnsi="Times New Roman" w:eastAsiaTheme="minorEastAsia"/>
          <w:color w:val="000000"/>
          <w:sz w:val="24"/>
          <w:szCs w:val="24"/>
          <w:vertAlign w:val="subscript"/>
        </w:rPr>
        <w:t>10</w:t>
      </w:r>
      <w:r>
        <w:rPr>
          <w:rFonts w:ascii="Times New Roman" w:hAnsi="Times New Roman" w:eastAsiaTheme="minorEastAsia"/>
          <w:color w:val="000000"/>
          <w:sz w:val="24"/>
          <w:szCs w:val="24"/>
        </w:rPr>
        <w:t>、PM</w:t>
      </w:r>
      <w:r>
        <w:rPr>
          <w:rFonts w:ascii="Times New Roman" w:hAnsi="Times New Roman" w:eastAsiaTheme="minorEastAsia"/>
          <w:color w:val="000000"/>
          <w:sz w:val="24"/>
          <w:szCs w:val="24"/>
          <w:vertAlign w:val="subscript"/>
        </w:rPr>
        <w:t>2.5</w:t>
      </w:r>
      <w:r>
        <w:rPr>
          <w:rFonts w:ascii="Times New Roman" w:hAnsi="Times New Roman" w:eastAsiaTheme="minorEastAsia"/>
          <w:color w:val="000000"/>
          <w:sz w:val="24"/>
          <w:szCs w:val="24"/>
        </w:rPr>
        <w:t>、CO、O</w:t>
      </w:r>
      <w:r>
        <w:rPr>
          <w:rFonts w:ascii="Times New Roman" w:hAnsi="Times New Roman" w:eastAsiaTheme="minorEastAsia"/>
          <w:color w:val="000000"/>
          <w:sz w:val="24"/>
          <w:szCs w:val="24"/>
          <w:vertAlign w:val="subscript"/>
        </w:rPr>
        <w:t>3</w:t>
      </w:r>
      <w:r>
        <w:rPr>
          <w:rFonts w:ascii="Times New Roman" w:hAnsi="Times New Roman" w:eastAsiaTheme="minorEastAsia"/>
          <w:color w:val="000000"/>
          <w:sz w:val="24"/>
          <w:szCs w:val="24"/>
        </w:rPr>
        <w:t>和TSP执行《环境空气质量标准》（GB3095-2012）中二级标准。详下见表2.6-2。</w:t>
      </w: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表2.6-2  评价采用环境质量标准一览表</w:t>
      </w:r>
    </w:p>
    <w:tbl>
      <w:tblPr>
        <w:tblStyle w:val="71"/>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268"/>
        <w:gridCol w:w="3104"/>
        <w:gridCol w:w="701"/>
        <w:gridCol w:w="1558"/>
        <w:gridCol w:w="1225"/>
        <w:gridCol w:w="12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97" w:type="pct"/>
            <w:vAlign w:val="center"/>
          </w:tcPr>
          <w:p>
            <w:pPr>
              <w:adjustRightInd w:val="0"/>
              <w:snapToGrid w:val="0"/>
              <w:jc w:val="center"/>
              <w:rPr>
                <w:rFonts w:hint="default" w:ascii="Times New Roman" w:hAnsi="Times New Roman" w:cs="Times New Roman" w:eastAsiaTheme="minorEastAsia"/>
                <w:b/>
                <w:color w:val="000000"/>
                <w:sz w:val="24"/>
                <w:szCs w:val="24"/>
              </w:rPr>
            </w:pPr>
            <w:r>
              <w:rPr>
                <w:rFonts w:hint="default" w:ascii="Times New Roman" w:hAnsi="Times New Roman" w:cs="Times New Roman" w:eastAsiaTheme="minorEastAsia"/>
                <w:b/>
                <w:color w:val="000000"/>
                <w:kern w:val="0"/>
              </w:rPr>
              <w:t>要素分类</w:t>
            </w:r>
          </w:p>
        </w:tc>
        <w:tc>
          <w:tcPr>
            <w:tcW w:w="1705" w:type="pct"/>
            <w:vAlign w:val="center"/>
          </w:tcPr>
          <w:p>
            <w:pPr>
              <w:adjustRightInd w:val="0"/>
              <w:snapToGrid w:val="0"/>
              <w:jc w:val="center"/>
              <w:rPr>
                <w:rFonts w:hint="default" w:ascii="Times New Roman" w:hAnsi="Times New Roman" w:cs="Times New Roman" w:eastAsiaTheme="minorEastAsia"/>
                <w:b/>
                <w:color w:val="000000"/>
                <w:sz w:val="24"/>
                <w:szCs w:val="24"/>
              </w:rPr>
            </w:pPr>
            <w:r>
              <w:rPr>
                <w:rFonts w:hint="default" w:ascii="Times New Roman" w:hAnsi="Times New Roman" w:cs="Times New Roman" w:eastAsiaTheme="minorEastAsia"/>
                <w:b/>
                <w:color w:val="000000"/>
                <w:kern w:val="0"/>
              </w:rPr>
              <w:t>标准名称</w:t>
            </w:r>
          </w:p>
        </w:tc>
        <w:tc>
          <w:tcPr>
            <w:tcW w:w="2596" w:type="pct"/>
            <w:gridSpan w:val="4"/>
            <w:vAlign w:val="center"/>
          </w:tcPr>
          <w:p>
            <w:pPr>
              <w:adjustRightInd w:val="0"/>
              <w:snapToGrid w:val="0"/>
              <w:jc w:val="center"/>
              <w:rPr>
                <w:rFonts w:hint="default" w:ascii="Times New Roman" w:hAnsi="Times New Roman" w:cs="Times New Roman" w:eastAsiaTheme="minorEastAsia"/>
                <w:b/>
                <w:color w:val="000000"/>
                <w:sz w:val="24"/>
                <w:szCs w:val="24"/>
              </w:rPr>
            </w:pPr>
            <w:r>
              <w:rPr>
                <w:rFonts w:hint="default" w:ascii="Times New Roman" w:hAnsi="Times New Roman" w:cs="Times New Roman" w:eastAsiaTheme="minorEastAsia"/>
                <w:b/>
                <w:color w:val="000000"/>
                <w:kern w:val="0"/>
              </w:rPr>
              <w:t>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7" w:type="pct"/>
            <w:vMerge w:val="restart"/>
            <w:vAlign w:val="center"/>
          </w:tcPr>
          <w:p>
            <w:pPr>
              <w:adjustRightInd w:val="0"/>
              <w:snapToGrid w:val="0"/>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kern w:val="0"/>
              </w:rPr>
              <w:t>环境空气</w:t>
            </w:r>
          </w:p>
        </w:tc>
        <w:tc>
          <w:tcPr>
            <w:tcW w:w="1705" w:type="pct"/>
            <w:vMerge w:val="restart"/>
            <w:vAlign w:val="center"/>
          </w:tcPr>
          <w:p>
            <w:pPr>
              <w:adjustRightInd w:val="0"/>
              <w:snapToGrid w:val="0"/>
              <w:jc w:val="center"/>
              <w:rPr>
                <w:rFonts w:hint="default" w:ascii="Times New Roman" w:hAnsi="Times New Roman" w:cs="Times New Roman" w:eastAsiaTheme="minorEastAsia"/>
                <w:color w:val="000000"/>
                <w:kern w:val="0"/>
              </w:rPr>
            </w:pPr>
            <w:r>
              <w:rPr>
                <w:rFonts w:hint="default" w:ascii="Times New Roman" w:hAnsi="Times New Roman" w:cs="Times New Roman" w:eastAsiaTheme="minorEastAsia"/>
                <w:color w:val="000000"/>
                <w:kern w:val="0"/>
              </w:rPr>
              <w:t>《环境空气质量标准》</w:t>
            </w:r>
          </w:p>
          <w:p>
            <w:pPr>
              <w:adjustRightInd w:val="0"/>
              <w:snapToGrid w:val="0"/>
              <w:jc w:val="center"/>
              <w:rPr>
                <w:rFonts w:hint="default" w:ascii="Times New Roman" w:hAnsi="Times New Roman" w:cs="Times New Roman" w:eastAsiaTheme="minorEastAsia"/>
                <w:color w:val="000000"/>
                <w:sz w:val="24"/>
                <w:szCs w:val="24"/>
              </w:rPr>
            </w:pPr>
            <w:r>
              <w:rPr>
                <w:rFonts w:hint="default" w:ascii="Times New Roman" w:hAnsi="Times New Roman" w:cs="Times New Roman" w:eastAsiaTheme="minorEastAsia"/>
                <w:color w:val="000000"/>
                <w:kern w:val="0"/>
              </w:rPr>
              <w:t>（GB3095-2012）</w:t>
            </w:r>
          </w:p>
        </w:tc>
        <w:tc>
          <w:tcPr>
            <w:tcW w:w="385" w:type="pct"/>
            <w:vAlign w:val="center"/>
          </w:tcPr>
          <w:p>
            <w:pPr>
              <w:adjustRightInd w:val="0"/>
              <w:snapToGrid w:val="0"/>
              <w:jc w:val="center"/>
              <w:rPr>
                <w:rFonts w:hint="default" w:ascii="Times New Roman" w:hAnsi="Times New Roman" w:cs="Times New Roman" w:eastAsiaTheme="minorEastAsia"/>
                <w:b/>
                <w:bCs/>
                <w:color w:val="000000"/>
                <w:sz w:val="24"/>
                <w:szCs w:val="24"/>
              </w:rPr>
            </w:pPr>
            <w:r>
              <w:rPr>
                <w:rFonts w:hint="default" w:ascii="Times New Roman" w:hAnsi="Times New Roman" w:cs="Times New Roman" w:eastAsiaTheme="minorEastAsia"/>
                <w:b/>
                <w:bCs/>
                <w:color w:val="000000"/>
                <w:kern w:val="0"/>
              </w:rPr>
              <w:t>项目</w:t>
            </w:r>
          </w:p>
        </w:tc>
        <w:tc>
          <w:tcPr>
            <w:tcW w:w="856" w:type="pct"/>
            <w:vAlign w:val="center"/>
          </w:tcPr>
          <w:p>
            <w:pPr>
              <w:adjustRightInd w:val="0"/>
              <w:snapToGrid w:val="0"/>
              <w:jc w:val="center"/>
              <w:rPr>
                <w:rFonts w:hint="eastAsia" w:ascii="Times New Roman" w:hAnsi="Times New Roman" w:cs="Times New Roman" w:eastAsiaTheme="minorEastAsia"/>
                <w:b/>
                <w:bCs/>
                <w:color w:val="000000"/>
                <w:kern w:val="0"/>
                <w:lang w:val="en-US" w:eastAsia="zh-CN"/>
              </w:rPr>
            </w:pPr>
            <w:r>
              <w:rPr>
                <w:rFonts w:hint="eastAsia" w:ascii="Times New Roman" w:hAnsi="Times New Roman" w:cs="Times New Roman" w:eastAsiaTheme="minorEastAsia"/>
                <w:b/>
                <w:bCs/>
                <w:color w:val="000000"/>
                <w:kern w:val="0"/>
                <w:lang w:val="en-US" w:eastAsia="zh-CN"/>
              </w:rPr>
              <w:t>指标</w:t>
            </w:r>
          </w:p>
        </w:tc>
        <w:tc>
          <w:tcPr>
            <w:tcW w:w="673" w:type="pct"/>
            <w:vAlign w:val="center"/>
          </w:tcPr>
          <w:p>
            <w:pPr>
              <w:adjustRightInd w:val="0"/>
              <w:snapToGrid w:val="0"/>
              <w:jc w:val="center"/>
              <w:rPr>
                <w:rFonts w:hint="default" w:ascii="Times New Roman" w:hAnsi="Times New Roman" w:cs="Times New Roman" w:eastAsiaTheme="minorEastAsia"/>
                <w:b/>
                <w:bCs/>
                <w:color w:val="000000"/>
                <w:kern w:val="0"/>
                <w:sz w:val="21"/>
                <w:szCs w:val="21"/>
                <w:lang w:val="en-US" w:eastAsia="zh-CN" w:bidi="ar-SA"/>
              </w:rPr>
            </w:pPr>
            <w:r>
              <w:rPr>
                <w:rFonts w:hint="eastAsia" w:ascii="Times New Roman" w:hAnsi="Times New Roman" w:cs="Times New Roman" w:eastAsiaTheme="minorEastAsia"/>
                <w:b/>
                <w:bCs/>
                <w:color w:val="000000"/>
                <w:kern w:val="0"/>
                <w:lang w:val="en-US" w:eastAsia="zh-CN"/>
              </w:rPr>
              <w:t>一级</w:t>
            </w:r>
          </w:p>
        </w:tc>
        <w:tc>
          <w:tcPr>
            <w:tcW w:w="681" w:type="pct"/>
            <w:vAlign w:val="center"/>
          </w:tcPr>
          <w:p>
            <w:pPr>
              <w:adjustRightInd w:val="0"/>
              <w:snapToGrid w:val="0"/>
              <w:jc w:val="center"/>
              <w:rPr>
                <w:rFonts w:hint="default" w:ascii="Times New Roman" w:hAnsi="Times New Roman" w:cs="Times New Roman" w:eastAsiaTheme="minorEastAsia"/>
                <w:b/>
                <w:bCs/>
                <w:color w:val="000000"/>
                <w:kern w:val="0"/>
                <w:sz w:val="21"/>
                <w:szCs w:val="21"/>
                <w:lang w:val="en-US" w:eastAsia="zh-CN" w:bidi="ar-SA"/>
              </w:rPr>
            </w:pPr>
            <w:r>
              <w:rPr>
                <w:rFonts w:hint="eastAsia" w:ascii="Times New Roman" w:hAnsi="Times New Roman" w:cs="Times New Roman" w:eastAsiaTheme="minorEastAsia"/>
                <w:b/>
                <w:bCs/>
                <w:color w:val="000000"/>
                <w:kern w:val="0"/>
                <w:lang w:val="en-US" w:eastAsia="zh-CN"/>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7"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1705"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385" w:type="pct"/>
            <w:vMerge w:val="restart"/>
            <w:vAlign w:val="center"/>
          </w:tcPr>
          <w:p>
            <w:pPr>
              <w:adjustRightInd w:val="0"/>
              <w:snapToGrid w:val="0"/>
              <w:jc w:val="center"/>
              <w:rPr>
                <w:rFonts w:hint="default" w:ascii="Times New Roman" w:hAnsi="Times New Roman" w:cs="Times New Roman" w:eastAsiaTheme="minorEastAsia"/>
                <w:color w:val="000000"/>
                <w:kern w:val="0"/>
              </w:rPr>
            </w:pPr>
            <w:r>
              <w:rPr>
                <w:rFonts w:hint="default" w:ascii="Times New Roman" w:hAnsi="Times New Roman" w:cs="Times New Roman" w:eastAsiaTheme="minorEastAsia"/>
                <w:color w:val="000000"/>
                <w:kern w:val="0"/>
              </w:rPr>
              <w:t>PM</w:t>
            </w:r>
            <w:r>
              <w:rPr>
                <w:rFonts w:hint="default" w:ascii="Times New Roman" w:hAnsi="Times New Roman" w:cs="Times New Roman" w:eastAsiaTheme="minorEastAsia"/>
                <w:color w:val="000000"/>
                <w:kern w:val="0"/>
                <w:sz w:val="13"/>
                <w:szCs w:val="13"/>
              </w:rPr>
              <w:t>10</w:t>
            </w:r>
          </w:p>
        </w:tc>
        <w:tc>
          <w:tcPr>
            <w:tcW w:w="856" w:type="pct"/>
            <w:vAlign w:val="center"/>
          </w:tcPr>
          <w:p>
            <w:pPr>
              <w:adjustRightInd w:val="0"/>
              <w:snapToGrid w:val="0"/>
              <w:jc w:val="center"/>
              <w:rPr>
                <w:rFonts w:hint="eastAsia" w:ascii="Times New Roman" w:hAnsi="Times New Roman" w:cs="Times New Roman" w:eastAsiaTheme="minorEastAsia"/>
                <w:color w:val="000000"/>
                <w:kern w:val="0"/>
                <w:lang w:val="en-US" w:eastAsia="zh-CN"/>
              </w:rPr>
            </w:pPr>
            <w:r>
              <w:rPr>
                <w:rFonts w:hint="default" w:ascii="Times New Roman" w:hAnsi="Times New Roman" w:cs="Times New Roman" w:eastAsiaTheme="minorEastAsia"/>
                <w:color w:val="000000"/>
                <w:kern w:val="0"/>
              </w:rPr>
              <w:t>日平均值</w:t>
            </w:r>
          </w:p>
        </w:tc>
        <w:tc>
          <w:tcPr>
            <w:tcW w:w="673" w:type="pct"/>
            <w:vAlign w:val="center"/>
          </w:tcPr>
          <w:p>
            <w:pPr>
              <w:adjustRightInd w:val="0"/>
              <w:snapToGrid w:val="0"/>
              <w:jc w:val="center"/>
              <w:rPr>
                <w:rFonts w:hint="default" w:ascii="Times New Roman" w:hAnsi="Times New Roman" w:cs="Times New Roman" w:eastAsiaTheme="minorEastAsia"/>
                <w:color w:val="000000"/>
                <w:kern w:val="0"/>
                <w:lang w:val="en-US" w:eastAsia="zh-CN"/>
              </w:rPr>
            </w:pPr>
            <w:r>
              <w:rPr>
                <w:rFonts w:hint="eastAsia" w:ascii="Times New Roman" w:hAnsi="Times New Roman" w:cs="Times New Roman" w:eastAsiaTheme="minorEastAsia"/>
                <w:color w:val="000000"/>
                <w:kern w:val="0"/>
                <w:lang w:val="en-US" w:eastAsia="zh-CN"/>
              </w:rPr>
              <w:t>50</w:t>
            </w:r>
            <w:r>
              <w:rPr>
                <w:rFonts w:hint="default" w:ascii="Times New Roman" w:hAnsi="Times New Roman" w:cs="Times New Roman" w:eastAsiaTheme="minorEastAsia"/>
                <w:color w:val="000000"/>
                <w:kern w:val="0"/>
              </w:rPr>
              <w:t>μg/m</w:t>
            </w:r>
            <w:r>
              <w:rPr>
                <w:rFonts w:hint="default" w:ascii="Times New Roman" w:hAnsi="Times New Roman" w:cs="Times New Roman" w:eastAsiaTheme="minorEastAsia"/>
                <w:color w:val="000000"/>
                <w:kern w:val="0"/>
                <w:vertAlign w:val="superscript"/>
              </w:rPr>
              <w:t>3</w:t>
            </w:r>
          </w:p>
        </w:tc>
        <w:tc>
          <w:tcPr>
            <w:tcW w:w="681" w:type="pct"/>
            <w:vAlign w:val="center"/>
          </w:tcPr>
          <w:p>
            <w:pPr>
              <w:adjustRightInd w:val="0"/>
              <w:snapToGrid w:val="0"/>
              <w:jc w:val="center"/>
              <w:rPr>
                <w:rFonts w:hint="eastAsia" w:ascii="Times New Roman" w:hAnsi="Times New Roman" w:cs="Times New Roman" w:eastAsiaTheme="minorEastAsia"/>
                <w:color w:val="000000"/>
                <w:kern w:val="0"/>
                <w:lang w:val="en-US" w:eastAsia="zh-CN"/>
              </w:rPr>
            </w:pPr>
            <w:r>
              <w:rPr>
                <w:rFonts w:hint="default" w:ascii="Times New Roman" w:hAnsi="Times New Roman" w:cs="Times New Roman" w:eastAsiaTheme="minorEastAsia"/>
                <w:color w:val="000000"/>
                <w:kern w:val="0"/>
              </w:rPr>
              <w:t>150μg/m</w:t>
            </w:r>
            <w:r>
              <w:rPr>
                <w:rFonts w:hint="default" w:ascii="Times New Roman" w:hAnsi="Times New Roman" w:cs="Times New Roman" w:eastAsiaTheme="minorEastAsia"/>
                <w:color w:val="000000"/>
                <w:kern w:val="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7"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1705"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385"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856" w:type="pct"/>
            <w:vAlign w:val="center"/>
          </w:tcPr>
          <w:p>
            <w:pPr>
              <w:adjustRightInd w:val="0"/>
              <w:snapToGrid w:val="0"/>
              <w:jc w:val="center"/>
              <w:rPr>
                <w:rFonts w:hint="default" w:ascii="Times New Roman" w:hAnsi="Times New Roman" w:cs="Times New Roman" w:eastAsiaTheme="minorEastAsia"/>
                <w:color w:val="000000"/>
                <w:kern w:val="0"/>
              </w:rPr>
            </w:pPr>
            <w:r>
              <w:rPr>
                <w:rFonts w:hint="default" w:ascii="Times New Roman" w:hAnsi="Times New Roman" w:cs="Times New Roman" w:eastAsiaTheme="minorEastAsia"/>
                <w:color w:val="000000"/>
                <w:kern w:val="0"/>
              </w:rPr>
              <w:t>年平均值</w:t>
            </w:r>
          </w:p>
        </w:tc>
        <w:tc>
          <w:tcPr>
            <w:tcW w:w="673" w:type="pct"/>
            <w:vAlign w:val="center"/>
          </w:tcPr>
          <w:p>
            <w:pPr>
              <w:adjustRightInd w:val="0"/>
              <w:snapToGrid w:val="0"/>
              <w:jc w:val="center"/>
              <w:rPr>
                <w:rFonts w:hint="default" w:ascii="Times New Roman" w:hAnsi="Times New Roman" w:cs="Times New Roman" w:eastAsiaTheme="minorEastAsia"/>
                <w:color w:val="000000"/>
                <w:kern w:val="0"/>
                <w:lang w:val="en-US" w:eastAsia="zh-CN"/>
              </w:rPr>
            </w:pPr>
            <w:r>
              <w:rPr>
                <w:rFonts w:hint="eastAsia" w:ascii="Times New Roman" w:hAnsi="Times New Roman" w:cs="Times New Roman" w:eastAsiaTheme="minorEastAsia"/>
                <w:color w:val="000000"/>
                <w:kern w:val="0"/>
                <w:lang w:val="en-US" w:eastAsia="zh-CN"/>
              </w:rPr>
              <w:t>40</w:t>
            </w:r>
            <w:r>
              <w:rPr>
                <w:rFonts w:hint="default" w:ascii="Times New Roman" w:hAnsi="Times New Roman" w:cs="Times New Roman" w:eastAsiaTheme="minorEastAsia"/>
                <w:color w:val="000000"/>
                <w:kern w:val="0"/>
              </w:rPr>
              <w:t>μg/m</w:t>
            </w:r>
            <w:r>
              <w:rPr>
                <w:rFonts w:hint="default" w:ascii="Times New Roman" w:hAnsi="Times New Roman" w:cs="Times New Roman" w:eastAsiaTheme="minorEastAsia"/>
                <w:color w:val="000000"/>
                <w:kern w:val="0"/>
                <w:vertAlign w:val="superscript"/>
              </w:rPr>
              <w:t>3</w:t>
            </w:r>
          </w:p>
        </w:tc>
        <w:tc>
          <w:tcPr>
            <w:tcW w:w="681" w:type="pct"/>
            <w:vAlign w:val="center"/>
          </w:tcPr>
          <w:p>
            <w:pPr>
              <w:adjustRightInd w:val="0"/>
              <w:snapToGrid w:val="0"/>
              <w:jc w:val="center"/>
              <w:rPr>
                <w:rFonts w:hint="default" w:ascii="Times New Roman" w:hAnsi="Times New Roman" w:cs="Times New Roman" w:eastAsiaTheme="minorEastAsia"/>
                <w:color w:val="000000"/>
                <w:kern w:val="0"/>
              </w:rPr>
            </w:pPr>
            <w:r>
              <w:rPr>
                <w:rFonts w:hint="default" w:ascii="Times New Roman" w:hAnsi="Times New Roman" w:cs="Times New Roman" w:eastAsiaTheme="minorEastAsia"/>
                <w:color w:val="000000"/>
                <w:kern w:val="0"/>
              </w:rPr>
              <w:t>70μg/m</w:t>
            </w:r>
            <w:r>
              <w:rPr>
                <w:rFonts w:hint="default" w:ascii="Times New Roman" w:hAnsi="Times New Roman" w:cs="Times New Roman" w:eastAsiaTheme="minorEastAsia"/>
                <w:color w:val="000000"/>
                <w:kern w:val="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7"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1705"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385" w:type="pct"/>
            <w:vMerge w:val="restart"/>
            <w:vAlign w:val="center"/>
          </w:tcPr>
          <w:p>
            <w:pPr>
              <w:adjustRightInd w:val="0"/>
              <w:snapToGrid w:val="0"/>
              <w:jc w:val="center"/>
              <w:rPr>
                <w:rFonts w:hint="default" w:ascii="Times New Roman" w:hAnsi="Times New Roman" w:cs="Times New Roman" w:eastAsiaTheme="minorEastAsia"/>
                <w:color w:val="000000"/>
                <w:kern w:val="0"/>
              </w:rPr>
            </w:pPr>
            <w:r>
              <w:rPr>
                <w:rFonts w:hint="default" w:ascii="Times New Roman" w:hAnsi="Times New Roman" w:cs="Times New Roman" w:eastAsiaTheme="minorEastAsia"/>
                <w:color w:val="000000"/>
                <w:kern w:val="0"/>
              </w:rPr>
              <w:t>PM</w:t>
            </w:r>
            <w:r>
              <w:rPr>
                <w:rFonts w:hint="default" w:ascii="Times New Roman" w:hAnsi="Times New Roman" w:cs="Times New Roman" w:eastAsiaTheme="minorEastAsia"/>
                <w:color w:val="000000"/>
                <w:kern w:val="0"/>
                <w:sz w:val="13"/>
                <w:szCs w:val="13"/>
              </w:rPr>
              <w:t>2.5</w:t>
            </w:r>
          </w:p>
        </w:tc>
        <w:tc>
          <w:tcPr>
            <w:tcW w:w="856" w:type="pct"/>
            <w:vAlign w:val="center"/>
          </w:tcPr>
          <w:p>
            <w:pPr>
              <w:adjustRightInd w:val="0"/>
              <w:snapToGrid w:val="0"/>
              <w:jc w:val="center"/>
              <w:rPr>
                <w:rFonts w:hint="default" w:ascii="Times New Roman" w:hAnsi="Times New Roman" w:cs="Times New Roman" w:eastAsiaTheme="minorEastAsia"/>
                <w:color w:val="000000"/>
                <w:kern w:val="0"/>
              </w:rPr>
            </w:pPr>
            <w:r>
              <w:rPr>
                <w:rFonts w:hint="default" w:ascii="Times New Roman" w:hAnsi="Times New Roman" w:cs="Times New Roman" w:eastAsiaTheme="minorEastAsia"/>
                <w:color w:val="000000"/>
                <w:kern w:val="0"/>
              </w:rPr>
              <w:t>日平均值</w:t>
            </w:r>
          </w:p>
        </w:tc>
        <w:tc>
          <w:tcPr>
            <w:tcW w:w="673" w:type="pct"/>
            <w:vAlign w:val="center"/>
          </w:tcPr>
          <w:p>
            <w:pPr>
              <w:adjustRightInd w:val="0"/>
              <w:snapToGrid w:val="0"/>
              <w:jc w:val="center"/>
              <w:rPr>
                <w:rFonts w:hint="default" w:ascii="Times New Roman" w:hAnsi="Times New Roman" w:cs="Times New Roman" w:eastAsiaTheme="minorEastAsia"/>
                <w:color w:val="000000"/>
                <w:kern w:val="0"/>
                <w:lang w:val="en-US" w:eastAsia="zh-CN"/>
              </w:rPr>
            </w:pPr>
            <w:r>
              <w:rPr>
                <w:rFonts w:hint="eastAsia" w:ascii="Times New Roman" w:hAnsi="Times New Roman" w:cs="Times New Roman" w:eastAsiaTheme="minorEastAsia"/>
                <w:color w:val="000000"/>
                <w:kern w:val="0"/>
                <w:lang w:val="en-US" w:eastAsia="zh-CN"/>
              </w:rPr>
              <w:t>35</w:t>
            </w:r>
            <w:r>
              <w:rPr>
                <w:rFonts w:hint="default" w:ascii="Times New Roman" w:hAnsi="Times New Roman" w:cs="Times New Roman" w:eastAsiaTheme="minorEastAsia"/>
                <w:color w:val="000000"/>
                <w:kern w:val="0"/>
              </w:rPr>
              <w:t>μg/m</w:t>
            </w:r>
            <w:r>
              <w:rPr>
                <w:rFonts w:hint="default" w:ascii="Times New Roman" w:hAnsi="Times New Roman" w:cs="Times New Roman" w:eastAsiaTheme="minorEastAsia"/>
                <w:color w:val="000000"/>
                <w:kern w:val="0"/>
                <w:vertAlign w:val="superscript"/>
              </w:rPr>
              <w:t>3</w:t>
            </w:r>
          </w:p>
        </w:tc>
        <w:tc>
          <w:tcPr>
            <w:tcW w:w="681" w:type="pct"/>
            <w:vAlign w:val="center"/>
          </w:tcPr>
          <w:p>
            <w:pPr>
              <w:adjustRightInd w:val="0"/>
              <w:snapToGrid w:val="0"/>
              <w:jc w:val="center"/>
              <w:rPr>
                <w:rFonts w:hint="default" w:ascii="Times New Roman" w:hAnsi="Times New Roman" w:cs="Times New Roman" w:eastAsiaTheme="minorEastAsia"/>
                <w:color w:val="000000"/>
                <w:kern w:val="0"/>
              </w:rPr>
            </w:pPr>
            <w:r>
              <w:rPr>
                <w:rFonts w:hint="default" w:ascii="Times New Roman" w:hAnsi="Times New Roman" w:cs="Times New Roman" w:eastAsiaTheme="minorEastAsia"/>
                <w:color w:val="000000"/>
                <w:kern w:val="0"/>
              </w:rPr>
              <w:t>75μg/m</w:t>
            </w:r>
            <w:r>
              <w:rPr>
                <w:rFonts w:hint="default" w:ascii="Times New Roman" w:hAnsi="Times New Roman" w:cs="Times New Roman" w:eastAsiaTheme="minorEastAsia"/>
                <w:color w:val="000000"/>
                <w:kern w:val="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7"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1705"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385"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856" w:type="pct"/>
            <w:vAlign w:val="center"/>
          </w:tcPr>
          <w:p>
            <w:pPr>
              <w:adjustRightInd w:val="0"/>
              <w:snapToGrid w:val="0"/>
              <w:jc w:val="center"/>
              <w:rPr>
                <w:rFonts w:hint="default" w:ascii="Times New Roman" w:hAnsi="Times New Roman" w:cs="Times New Roman" w:eastAsiaTheme="minorEastAsia"/>
                <w:color w:val="000000"/>
                <w:kern w:val="0"/>
              </w:rPr>
            </w:pPr>
            <w:r>
              <w:rPr>
                <w:rFonts w:hint="default" w:ascii="Times New Roman" w:hAnsi="Times New Roman" w:cs="Times New Roman" w:eastAsiaTheme="minorEastAsia"/>
                <w:color w:val="000000"/>
                <w:kern w:val="0"/>
              </w:rPr>
              <w:t>年平均值</w:t>
            </w:r>
          </w:p>
        </w:tc>
        <w:tc>
          <w:tcPr>
            <w:tcW w:w="673" w:type="pct"/>
            <w:vAlign w:val="center"/>
          </w:tcPr>
          <w:p>
            <w:pPr>
              <w:adjustRightInd w:val="0"/>
              <w:snapToGrid w:val="0"/>
              <w:jc w:val="center"/>
              <w:rPr>
                <w:rFonts w:hint="default" w:ascii="Times New Roman" w:hAnsi="Times New Roman" w:cs="Times New Roman" w:eastAsiaTheme="minorEastAsia"/>
                <w:color w:val="000000"/>
                <w:kern w:val="0"/>
                <w:lang w:val="en-US" w:eastAsia="zh-CN"/>
              </w:rPr>
            </w:pPr>
            <w:r>
              <w:rPr>
                <w:rFonts w:hint="eastAsia" w:ascii="Times New Roman" w:hAnsi="Times New Roman" w:cs="Times New Roman" w:eastAsiaTheme="minorEastAsia"/>
                <w:color w:val="000000"/>
                <w:kern w:val="0"/>
                <w:lang w:val="en-US" w:eastAsia="zh-CN"/>
              </w:rPr>
              <w:t>15</w:t>
            </w:r>
            <w:r>
              <w:rPr>
                <w:rFonts w:hint="default" w:ascii="Times New Roman" w:hAnsi="Times New Roman" w:cs="Times New Roman" w:eastAsiaTheme="minorEastAsia"/>
                <w:color w:val="000000"/>
                <w:kern w:val="0"/>
              </w:rPr>
              <w:t>μg/m</w:t>
            </w:r>
            <w:r>
              <w:rPr>
                <w:rFonts w:hint="default" w:ascii="Times New Roman" w:hAnsi="Times New Roman" w:cs="Times New Roman" w:eastAsiaTheme="minorEastAsia"/>
                <w:color w:val="000000"/>
                <w:kern w:val="0"/>
                <w:vertAlign w:val="superscript"/>
              </w:rPr>
              <w:t>3</w:t>
            </w:r>
          </w:p>
        </w:tc>
        <w:tc>
          <w:tcPr>
            <w:tcW w:w="681" w:type="pct"/>
            <w:vAlign w:val="center"/>
          </w:tcPr>
          <w:p>
            <w:pPr>
              <w:adjustRightInd w:val="0"/>
              <w:snapToGrid w:val="0"/>
              <w:jc w:val="center"/>
              <w:rPr>
                <w:rFonts w:hint="default" w:ascii="Times New Roman" w:hAnsi="Times New Roman" w:cs="Times New Roman" w:eastAsiaTheme="minorEastAsia"/>
                <w:color w:val="000000"/>
                <w:kern w:val="0"/>
              </w:rPr>
            </w:pPr>
            <w:r>
              <w:rPr>
                <w:rFonts w:hint="default" w:ascii="Times New Roman" w:hAnsi="Times New Roman" w:cs="Times New Roman" w:eastAsiaTheme="minorEastAsia"/>
                <w:color w:val="000000"/>
                <w:kern w:val="0"/>
              </w:rPr>
              <w:t>35μg/m</w:t>
            </w:r>
            <w:r>
              <w:rPr>
                <w:rFonts w:hint="default" w:ascii="Times New Roman" w:hAnsi="Times New Roman" w:cs="Times New Roman" w:eastAsiaTheme="minorEastAsia"/>
                <w:color w:val="000000"/>
                <w:kern w:val="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7"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1705"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385" w:type="pct"/>
            <w:vMerge w:val="restart"/>
            <w:vAlign w:val="center"/>
          </w:tcPr>
          <w:p>
            <w:pPr>
              <w:adjustRightInd w:val="0"/>
              <w:snapToGrid w:val="0"/>
              <w:jc w:val="center"/>
              <w:rPr>
                <w:rFonts w:hint="default" w:ascii="Times New Roman" w:hAnsi="Times New Roman" w:cs="Times New Roman" w:eastAsiaTheme="minorEastAsia"/>
                <w:color w:val="000000"/>
                <w:kern w:val="0"/>
              </w:rPr>
            </w:pPr>
            <w:r>
              <w:rPr>
                <w:rFonts w:hint="default" w:ascii="Times New Roman" w:hAnsi="Times New Roman" w:cs="Times New Roman" w:eastAsiaTheme="minorEastAsia"/>
                <w:color w:val="000000"/>
                <w:kern w:val="0"/>
              </w:rPr>
              <w:t>SO</w:t>
            </w:r>
            <w:r>
              <w:rPr>
                <w:rFonts w:hint="default" w:ascii="Times New Roman" w:hAnsi="Times New Roman" w:cs="Times New Roman" w:eastAsiaTheme="minorEastAsia"/>
                <w:color w:val="000000"/>
                <w:kern w:val="0"/>
                <w:vertAlign w:val="subscript"/>
              </w:rPr>
              <w:t>2</w:t>
            </w:r>
          </w:p>
        </w:tc>
        <w:tc>
          <w:tcPr>
            <w:tcW w:w="856" w:type="pct"/>
            <w:vAlign w:val="center"/>
          </w:tcPr>
          <w:p>
            <w:pPr>
              <w:adjustRightInd w:val="0"/>
              <w:snapToGrid w:val="0"/>
              <w:jc w:val="center"/>
              <w:rPr>
                <w:rFonts w:hint="default" w:ascii="Times New Roman" w:hAnsi="Times New Roman" w:cs="Times New Roman" w:eastAsiaTheme="minorEastAsia"/>
                <w:color w:val="000000"/>
                <w:kern w:val="0"/>
              </w:rPr>
            </w:pPr>
            <w:r>
              <w:rPr>
                <w:rFonts w:hint="default" w:ascii="Times New Roman" w:hAnsi="Times New Roman" w:cs="Times New Roman" w:eastAsiaTheme="minorEastAsia"/>
                <w:color w:val="000000"/>
                <w:kern w:val="0"/>
              </w:rPr>
              <w:t>小时平均值</w:t>
            </w:r>
          </w:p>
        </w:tc>
        <w:tc>
          <w:tcPr>
            <w:tcW w:w="673" w:type="pct"/>
            <w:vAlign w:val="center"/>
          </w:tcPr>
          <w:p>
            <w:pPr>
              <w:adjustRightInd w:val="0"/>
              <w:snapToGrid w:val="0"/>
              <w:jc w:val="center"/>
              <w:rPr>
                <w:rFonts w:hint="default" w:ascii="Times New Roman" w:hAnsi="Times New Roman" w:cs="Times New Roman" w:eastAsiaTheme="minorEastAsia"/>
                <w:color w:val="000000"/>
                <w:kern w:val="0"/>
                <w:lang w:val="en-US" w:eastAsia="zh-CN"/>
              </w:rPr>
            </w:pPr>
            <w:r>
              <w:rPr>
                <w:rFonts w:hint="eastAsia" w:ascii="Times New Roman" w:hAnsi="Times New Roman" w:cs="Times New Roman" w:eastAsiaTheme="minorEastAsia"/>
                <w:color w:val="000000"/>
                <w:kern w:val="0"/>
                <w:lang w:val="en-US" w:eastAsia="zh-CN"/>
              </w:rPr>
              <w:t>150</w:t>
            </w:r>
            <w:r>
              <w:rPr>
                <w:rFonts w:hint="default" w:ascii="Times New Roman" w:hAnsi="Times New Roman" w:cs="Times New Roman" w:eastAsiaTheme="minorEastAsia"/>
                <w:color w:val="000000"/>
                <w:kern w:val="0"/>
              </w:rPr>
              <w:t>μg/m</w:t>
            </w:r>
            <w:r>
              <w:rPr>
                <w:rFonts w:hint="default" w:ascii="Times New Roman" w:hAnsi="Times New Roman" w:cs="Times New Roman" w:eastAsiaTheme="minorEastAsia"/>
                <w:color w:val="000000"/>
                <w:kern w:val="0"/>
                <w:vertAlign w:val="superscript"/>
              </w:rPr>
              <w:t>3</w:t>
            </w:r>
          </w:p>
        </w:tc>
        <w:tc>
          <w:tcPr>
            <w:tcW w:w="681" w:type="pct"/>
            <w:vAlign w:val="center"/>
          </w:tcPr>
          <w:p>
            <w:pPr>
              <w:adjustRightInd w:val="0"/>
              <w:snapToGrid w:val="0"/>
              <w:jc w:val="center"/>
              <w:rPr>
                <w:rFonts w:hint="default" w:ascii="Times New Roman" w:hAnsi="Times New Roman" w:cs="Times New Roman" w:eastAsiaTheme="minorEastAsia"/>
                <w:color w:val="000000"/>
                <w:kern w:val="2"/>
                <w:sz w:val="24"/>
                <w:szCs w:val="24"/>
                <w:lang w:val="en-US" w:eastAsia="zh-CN" w:bidi="ar-SA"/>
              </w:rPr>
            </w:pPr>
            <w:r>
              <w:rPr>
                <w:rFonts w:hint="default" w:ascii="Times New Roman" w:hAnsi="Times New Roman" w:cs="Times New Roman" w:eastAsiaTheme="minorEastAsia"/>
                <w:color w:val="000000"/>
                <w:kern w:val="0"/>
              </w:rPr>
              <w:t>500μg/m</w:t>
            </w:r>
            <w:r>
              <w:rPr>
                <w:rFonts w:hint="default" w:ascii="Times New Roman" w:hAnsi="Times New Roman" w:cs="Times New Roman" w:eastAsiaTheme="minorEastAsia"/>
                <w:color w:val="000000"/>
                <w:kern w:val="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7"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1705"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385"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856" w:type="pct"/>
            <w:vAlign w:val="center"/>
          </w:tcPr>
          <w:p>
            <w:pPr>
              <w:adjustRightInd w:val="0"/>
              <w:snapToGrid w:val="0"/>
              <w:jc w:val="center"/>
              <w:rPr>
                <w:rFonts w:hint="default" w:ascii="Times New Roman" w:hAnsi="Times New Roman" w:cs="Times New Roman" w:eastAsiaTheme="minorEastAsia"/>
                <w:color w:val="000000"/>
                <w:kern w:val="0"/>
              </w:rPr>
            </w:pPr>
            <w:r>
              <w:rPr>
                <w:rFonts w:hint="default" w:ascii="Times New Roman" w:hAnsi="Times New Roman" w:cs="Times New Roman" w:eastAsiaTheme="minorEastAsia"/>
                <w:color w:val="000000"/>
                <w:kern w:val="0"/>
              </w:rPr>
              <w:t>日平均值</w:t>
            </w:r>
          </w:p>
        </w:tc>
        <w:tc>
          <w:tcPr>
            <w:tcW w:w="673" w:type="pct"/>
            <w:vAlign w:val="center"/>
          </w:tcPr>
          <w:p>
            <w:pPr>
              <w:adjustRightInd w:val="0"/>
              <w:snapToGrid w:val="0"/>
              <w:jc w:val="center"/>
              <w:rPr>
                <w:rFonts w:hint="default" w:ascii="Times New Roman" w:hAnsi="Times New Roman" w:cs="Times New Roman" w:eastAsiaTheme="minorEastAsia"/>
                <w:color w:val="000000"/>
                <w:kern w:val="0"/>
                <w:lang w:val="en-US" w:eastAsia="zh-CN"/>
              </w:rPr>
            </w:pPr>
            <w:r>
              <w:rPr>
                <w:rFonts w:hint="eastAsia" w:ascii="Times New Roman" w:hAnsi="Times New Roman" w:cs="Times New Roman" w:eastAsiaTheme="minorEastAsia"/>
                <w:color w:val="000000"/>
                <w:kern w:val="0"/>
                <w:lang w:val="en-US" w:eastAsia="zh-CN"/>
              </w:rPr>
              <w:t>50</w:t>
            </w:r>
            <w:r>
              <w:rPr>
                <w:rFonts w:hint="default" w:ascii="Times New Roman" w:hAnsi="Times New Roman" w:cs="Times New Roman" w:eastAsiaTheme="minorEastAsia"/>
                <w:color w:val="000000"/>
                <w:kern w:val="0"/>
              </w:rPr>
              <w:t>μg/m</w:t>
            </w:r>
            <w:r>
              <w:rPr>
                <w:rFonts w:hint="default" w:ascii="Times New Roman" w:hAnsi="Times New Roman" w:cs="Times New Roman" w:eastAsiaTheme="minorEastAsia"/>
                <w:color w:val="000000"/>
                <w:kern w:val="0"/>
                <w:vertAlign w:val="superscript"/>
              </w:rPr>
              <w:t>3</w:t>
            </w:r>
          </w:p>
        </w:tc>
        <w:tc>
          <w:tcPr>
            <w:tcW w:w="681" w:type="pct"/>
            <w:vAlign w:val="center"/>
          </w:tcPr>
          <w:p>
            <w:pPr>
              <w:adjustRightInd w:val="0"/>
              <w:snapToGrid w:val="0"/>
              <w:jc w:val="center"/>
              <w:rPr>
                <w:rFonts w:hint="default" w:ascii="Times New Roman" w:hAnsi="Times New Roman" w:cs="Times New Roman" w:eastAsiaTheme="minorEastAsia"/>
                <w:color w:val="000000"/>
                <w:kern w:val="2"/>
                <w:sz w:val="24"/>
                <w:szCs w:val="24"/>
                <w:lang w:val="en-US" w:eastAsia="zh-CN" w:bidi="ar-SA"/>
              </w:rPr>
            </w:pPr>
            <w:r>
              <w:rPr>
                <w:rFonts w:hint="default" w:ascii="Times New Roman" w:hAnsi="Times New Roman" w:cs="Times New Roman" w:eastAsiaTheme="minorEastAsia"/>
                <w:color w:val="000000"/>
                <w:kern w:val="0"/>
              </w:rPr>
              <w:t>150μg/m</w:t>
            </w:r>
            <w:r>
              <w:rPr>
                <w:rFonts w:hint="default" w:ascii="Times New Roman" w:hAnsi="Times New Roman" w:cs="Times New Roman" w:eastAsiaTheme="minorEastAsia"/>
                <w:color w:val="000000"/>
                <w:kern w:val="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7"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1705"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385"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856" w:type="pct"/>
            <w:vAlign w:val="center"/>
          </w:tcPr>
          <w:p>
            <w:pPr>
              <w:adjustRightInd w:val="0"/>
              <w:snapToGrid w:val="0"/>
              <w:jc w:val="center"/>
              <w:rPr>
                <w:rFonts w:hint="default" w:ascii="Times New Roman" w:hAnsi="Times New Roman" w:cs="Times New Roman" w:eastAsiaTheme="minorEastAsia"/>
                <w:color w:val="000000"/>
                <w:kern w:val="0"/>
              </w:rPr>
            </w:pPr>
            <w:r>
              <w:rPr>
                <w:rFonts w:hint="default" w:ascii="Times New Roman" w:hAnsi="Times New Roman" w:cs="Times New Roman" w:eastAsiaTheme="minorEastAsia"/>
                <w:color w:val="000000"/>
                <w:kern w:val="0"/>
              </w:rPr>
              <w:t>年平均值</w:t>
            </w:r>
          </w:p>
        </w:tc>
        <w:tc>
          <w:tcPr>
            <w:tcW w:w="673" w:type="pct"/>
            <w:vAlign w:val="center"/>
          </w:tcPr>
          <w:p>
            <w:pPr>
              <w:adjustRightInd w:val="0"/>
              <w:snapToGrid w:val="0"/>
              <w:jc w:val="center"/>
              <w:rPr>
                <w:rFonts w:hint="default" w:ascii="Times New Roman" w:hAnsi="Times New Roman" w:cs="Times New Roman" w:eastAsiaTheme="minorEastAsia"/>
                <w:color w:val="000000"/>
                <w:kern w:val="0"/>
                <w:lang w:val="en-US" w:eastAsia="zh-CN"/>
              </w:rPr>
            </w:pPr>
            <w:r>
              <w:rPr>
                <w:rFonts w:hint="eastAsia" w:ascii="Times New Roman" w:hAnsi="Times New Roman" w:cs="Times New Roman" w:eastAsiaTheme="minorEastAsia"/>
                <w:color w:val="000000"/>
                <w:kern w:val="0"/>
                <w:lang w:val="en-US" w:eastAsia="zh-CN"/>
              </w:rPr>
              <w:t>20</w:t>
            </w:r>
            <w:r>
              <w:rPr>
                <w:rFonts w:hint="default" w:ascii="Times New Roman" w:hAnsi="Times New Roman" w:cs="Times New Roman" w:eastAsiaTheme="minorEastAsia"/>
                <w:color w:val="000000"/>
                <w:kern w:val="0"/>
              </w:rPr>
              <w:t>μg/m</w:t>
            </w:r>
            <w:r>
              <w:rPr>
                <w:rFonts w:hint="default" w:ascii="Times New Roman" w:hAnsi="Times New Roman" w:cs="Times New Roman" w:eastAsiaTheme="minorEastAsia"/>
                <w:color w:val="000000"/>
                <w:kern w:val="0"/>
                <w:vertAlign w:val="superscript"/>
              </w:rPr>
              <w:t>3</w:t>
            </w:r>
          </w:p>
        </w:tc>
        <w:tc>
          <w:tcPr>
            <w:tcW w:w="681" w:type="pct"/>
            <w:vAlign w:val="center"/>
          </w:tcPr>
          <w:p>
            <w:pPr>
              <w:adjustRightInd w:val="0"/>
              <w:snapToGrid w:val="0"/>
              <w:jc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rPr>
              <w:t>60μg/m</w:t>
            </w:r>
            <w:r>
              <w:rPr>
                <w:rFonts w:hint="default" w:ascii="Times New Roman" w:hAnsi="Times New Roman" w:cs="Times New Roman" w:eastAsiaTheme="minorEastAsia"/>
                <w:color w:val="000000"/>
                <w:kern w:val="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7"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1705"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385" w:type="pct"/>
            <w:vMerge w:val="restart"/>
            <w:vAlign w:val="center"/>
          </w:tcPr>
          <w:p>
            <w:pPr>
              <w:adjustRightInd w:val="0"/>
              <w:snapToGrid w:val="0"/>
              <w:jc w:val="center"/>
              <w:rPr>
                <w:rFonts w:hint="default" w:ascii="Times New Roman" w:hAnsi="Times New Roman" w:cs="Times New Roman" w:eastAsiaTheme="minorEastAsia"/>
                <w:color w:val="000000"/>
                <w:kern w:val="0"/>
              </w:rPr>
            </w:pPr>
            <w:r>
              <w:rPr>
                <w:rFonts w:hint="default" w:ascii="Times New Roman" w:hAnsi="Times New Roman" w:cs="Times New Roman" w:eastAsiaTheme="minorEastAsia"/>
                <w:color w:val="000000"/>
                <w:kern w:val="0"/>
              </w:rPr>
              <w:t>NO</w:t>
            </w:r>
            <w:r>
              <w:rPr>
                <w:rFonts w:hint="default" w:ascii="Times New Roman" w:hAnsi="Times New Roman" w:cs="Times New Roman" w:eastAsiaTheme="minorEastAsia"/>
                <w:color w:val="000000"/>
                <w:kern w:val="0"/>
                <w:vertAlign w:val="subscript"/>
              </w:rPr>
              <w:t>2</w:t>
            </w:r>
          </w:p>
        </w:tc>
        <w:tc>
          <w:tcPr>
            <w:tcW w:w="856" w:type="pct"/>
            <w:vAlign w:val="center"/>
          </w:tcPr>
          <w:p>
            <w:pPr>
              <w:adjustRightInd w:val="0"/>
              <w:snapToGrid w:val="0"/>
              <w:jc w:val="center"/>
              <w:rPr>
                <w:rFonts w:hint="default" w:ascii="Times New Roman" w:hAnsi="Times New Roman" w:cs="Times New Roman" w:eastAsiaTheme="minorEastAsia"/>
                <w:color w:val="000000"/>
                <w:kern w:val="0"/>
              </w:rPr>
            </w:pPr>
            <w:r>
              <w:rPr>
                <w:rFonts w:hint="default" w:ascii="Times New Roman" w:hAnsi="Times New Roman" w:cs="Times New Roman" w:eastAsiaTheme="minorEastAsia"/>
                <w:color w:val="000000"/>
                <w:kern w:val="0"/>
              </w:rPr>
              <w:t>小时平均值</w:t>
            </w:r>
          </w:p>
        </w:tc>
        <w:tc>
          <w:tcPr>
            <w:tcW w:w="673" w:type="pct"/>
            <w:vAlign w:val="center"/>
          </w:tcPr>
          <w:p>
            <w:pPr>
              <w:adjustRightInd w:val="0"/>
              <w:snapToGrid w:val="0"/>
              <w:jc w:val="center"/>
              <w:rPr>
                <w:rFonts w:hint="default" w:ascii="Times New Roman" w:hAnsi="Times New Roman" w:cs="Times New Roman" w:eastAsiaTheme="minorEastAsia"/>
                <w:color w:val="000000"/>
                <w:kern w:val="0"/>
                <w:lang w:val="en-US" w:eastAsia="zh-CN"/>
              </w:rPr>
            </w:pPr>
            <w:r>
              <w:rPr>
                <w:rFonts w:hint="eastAsia" w:ascii="Times New Roman" w:hAnsi="Times New Roman" w:cs="Times New Roman" w:eastAsiaTheme="minorEastAsia"/>
                <w:color w:val="000000"/>
                <w:kern w:val="0"/>
                <w:lang w:val="en-US" w:eastAsia="zh-CN"/>
              </w:rPr>
              <w:t>200</w:t>
            </w:r>
            <w:r>
              <w:rPr>
                <w:rFonts w:hint="default" w:ascii="Times New Roman" w:hAnsi="Times New Roman" w:cs="Times New Roman" w:eastAsiaTheme="minorEastAsia"/>
                <w:color w:val="000000"/>
                <w:kern w:val="0"/>
              </w:rPr>
              <w:t>μg/m</w:t>
            </w:r>
            <w:r>
              <w:rPr>
                <w:rFonts w:hint="default" w:ascii="Times New Roman" w:hAnsi="Times New Roman" w:cs="Times New Roman" w:eastAsiaTheme="minorEastAsia"/>
                <w:color w:val="000000"/>
                <w:kern w:val="0"/>
                <w:vertAlign w:val="superscript"/>
              </w:rPr>
              <w:t>3</w:t>
            </w:r>
          </w:p>
        </w:tc>
        <w:tc>
          <w:tcPr>
            <w:tcW w:w="681" w:type="pct"/>
            <w:vAlign w:val="center"/>
          </w:tcPr>
          <w:p>
            <w:pPr>
              <w:adjustRightInd w:val="0"/>
              <w:snapToGrid w:val="0"/>
              <w:jc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rPr>
              <w:t>200μg/m</w:t>
            </w:r>
            <w:r>
              <w:rPr>
                <w:rFonts w:hint="default" w:ascii="Times New Roman" w:hAnsi="Times New Roman" w:cs="Times New Roman" w:eastAsiaTheme="minorEastAsia"/>
                <w:color w:val="000000"/>
                <w:kern w:val="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7"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1705"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385"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856" w:type="pct"/>
            <w:vAlign w:val="center"/>
          </w:tcPr>
          <w:p>
            <w:pPr>
              <w:adjustRightInd w:val="0"/>
              <w:snapToGrid w:val="0"/>
              <w:jc w:val="center"/>
              <w:rPr>
                <w:rFonts w:hint="default" w:ascii="Times New Roman" w:hAnsi="Times New Roman" w:cs="Times New Roman" w:eastAsiaTheme="minorEastAsia"/>
                <w:color w:val="000000"/>
                <w:kern w:val="0"/>
              </w:rPr>
            </w:pPr>
            <w:r>
              <w:rPr>
                <w:rFonts w:hint="default" w:ascii="Times New Roman" w:hAnsi="Times New Roman" w:cs="Times New Roman" w:eastAsiaTheme="minorEastAsia"/>
                <w:color w:val="000000"/>
                <w:kern w:val="0"/>
              </w:rPr>
              <w:t>日平均值</w:t>
            </w:r>
          </w:p>
        </w:tc>
        <w:tc>
          <w:tcPr>
            <w:tcW w:w="673" w:type="pct"/>
            <w:vAlign w:val="center"/>
          </w:tcPr>
          <w:p>
            <w:pPr>
              <w:adjustRightInd w:val="0"/>
              <w:snapToGrid w:val="0"/>
              <w:jc w:val="center"/>
              <w:rPr>
                <w:rFonts w:hint="default" w:ascii="Times New Roman" w:hAnsi="Times New Roman" w:cs="Times New Roman" w:eastAsiaTheme="minorEastAsia"/>
                <w:color w:val="000000"/>
                <w:kern w:val="0"/>
                <w:lang w:val="en-US" w:eastAsia="zh-CN"/>
              </w:rPr>
            </w:pPr>
            <w:r>
              <w:rPr>
                <w:rFonts w:hint="eastAsia" w:ascii="Times New Roman" w:hAnsi="Times New Roman" w:cs="Times New Roman" w:eastAsiaTheme="minorEastAsia"/>
                <w:color w:val="000000"/>
                <w:kern w:val="0"/>
                <w:lang w:val="en-US" w:eastAsia="zh-CN"/>
              </w:rPr>
              <w:t>80</w:t>
            </w:r>
            <w:r>
              <w:rPr>
                <w:rFonts w:hint="default" w:ascii="Times New Roman" w:hAnsi="Times New Roman" w:cs="Times New Roman" w:eastAsiaTheme="minorEastAsia"/>
                <w:color w:val="000000"/>
                <w:kern w:val="0"/>
              </w:rPr>
              <w:t>μg/m</w:t>
            </w:r>
            <w:r>
              <w:rPr>
                <w:rFonts w:hint="default" w:ascii="Times New Roman" w:hAnsi="Times New Roman" w:cs="Times New Roman" w:eastAsiaTheme="minorEastAsia"/>
                <w:color w:val="000000"/>
                <w:kern w:val="0"/>
                <w:vertAlign w:val="superscript"/>
              </w:rPr>
              <w:t>3</w:t>
            </w:r>
          </w:p>
        </w:tc>
        <w:tc>
          <w:tcPr>
            <w:tcW w:w="681" w:type="pct"/>
            <w:vAlign w:val="center"/>
          </w:tcPr>
          <w:p>
            <w:pPr>
              <w:adjustRightInd w:val="0"/>
              <w:snapToGrid w:val="0"/>
              <w:jc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rPr>
              <w:t>80μg/m</w:t>
            </w:r>
            <w:r>
              <w:rPr>
                <w:rFonts w:hint="default" w:ascii="Times New Roman" w:hAnsi="Times New Roman" w:cs="Times New Roman" w:eastAsiaTheme="minorEastAsia"/>
                <w:color w:val="000000"/>
                <w:kern w:val="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7"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1705"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385"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856" w:type="pct"/>
            <w:vAlign w:val="center"/>
          </w:tcPr>
          <w:p>
            <w:pPr>
              <w:adjustRightInd w:val="0"/>
              <w:snapToGrid w:val="0"/>
              <w:jc w:val="center"/>
              <w:rPr>
                <w:rFonts w:hint="default" w:ascii="Times New Roman" w:hAnsi="Times New Roman" w:cs="Times New Roman" w:eastAsiaTheme="minorEastAsia"/>
                <w:color w:val="000000"/>
                <w:kern w:val="0"/>
              </w:rPr>
            </w:pPr>
            <w:r>
              <w:rPr>
                <w:rFonts w:hint="default" w:ascii="Times New Roman" w:hAnsi="Times New Roman" w:cs="Times New Roman" w:eastAsiaTheme="minorEastAsia"/>
                <w:color w:val="000000"/>
                <w:kern w:val="0"/>
              </w:rPr>
              <w:t>年平均值</w:t>
            </w:r>
          </w:p>
        </w:tc>
        <w:tc>
          <w:tcPr>
            <w:tcW w:w="673" w:type="pct"/>
            <w:vAlign w:val="center"/>
          </w:tcPr>
          <w:p>
            <w:pPr>
              <w:adjustRightInd w:val="0"/>
              <w:snapToGrid w:val="0"/>
              <w:jc w:val="center"/>
              <w:rPr>
                <w:rFonts w:hint="default" w:ascii="Times New Roman" w:hAnsi="Times New Roman" w:cs="Times New Roman" w:eastAsiaTheme="minorEastAsia"/>
                <w:color w:val="000000"/>
                <w:kern w:val="0"/>
                <w:lang w:val="en-US" w:eastAsia="zh-CN"/>
              </w:rPr>
            </w:pPr>
            <w:r>
              <w:rPr>
                <w:rFonts w:hint="eastAsia" w:ascii="Times New Roman" w:hAnsi="Times New Roman" w:cs="Times New Roman" w:eastAsiaTheme="minorEastAsia"/>
                <w:color w:val="000000"/>
                <w:kern w:val="0"/>
                <w:lang w:val="en-US" w:eastAsia="zh-CN"/>
              </w:rPr>
              <w:t>40</w:t>
            </w:r>
            <w:r>
              <w:rPr>
                <w:rFonts w:hint="default" w:ascii="Times New Roman" w:hAnsi="Times New Roman" w:cs="Times New Roman" w:eastAsiaTheme="minorEastAsia"/>
                <w:color w:val="000000"/>
                <w:kern w:val="0"/>
              </w:rPr>
              <w:t>μg/m</w:t>
            </w:r>
            <w:r>
              <w:rPr>
                <w:rFonts w:hint="default" w:ascii="Times New Roman" w:hAnsi="Times New Roman" w:cs="Times New Roman" w:eastAsiaTheme="minorEastAsia"/>
                <w:color w:val="000000"/>
                <w:kern w:val="0"/>
                <w:vertAlign w:val="superscript"/>
              </w:rPr>
              <w:t>3</w:t>
            </w:r>
          </w:p>
        </w:tc>
        <w:tc>
          <w:tcPr>
            <w:tcW w:w="681" w:type="pct"/>
            <w:vAlign w:val="center"/>
          </w:tcPr>
          <w:p>
            <w:pPr>
              <w:adjustRightInd w:val="0"/>
              <w:snapToGrid w:val="0"/>
              <w:jc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rPr>
              <w:t>40μg/m</w:t>
            </w:r>
            <w:r>
              <w:rPr>
                <w:rFonts w:hint="default" w:ascii="Times New Roman" w:hAnsi="Times New Roman" w:cs="Times New Roman" w:eastAsiaTheme="minorEastAsia"/>
                <w:color w:val="000000"/>
                <w:kern w:val="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7"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1705"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385" w:type="pct"/>
            <w:vMerge w:val="restart"/>
            <w:vAlign w:val="center"/>
          </w:tcPr>
          <w:p>
            <w:pPr>
              <w:adjustRightInd w:val="0"/>
              <w:snapToGrid w:val="0"/>
              <w:jc w:val="center"/>
              <w:rPr>
                <w:rFonts w:hint="default" w:ascii="Times New Roman" w:hAnsi="Times New Roman" w:cs="Times New Roman" w:eastAsiaTheme="minorEastAsia"/>
                <w:color w:val="000000"/>
                <w:kern w:val="0"/>
              </w:rPr>
            </w:pPr>
            <w:r>
              <w:rPr>
                <w:rFonts w:hint="default" w:ascii="Times New Roman" w:hAnsi="Times New Roman" w:cs="Times New Roman" w:eastAsiaTheme="minorEastAsia"/>
                <w:color w:val="000000"/>
                <w:kern w:val="0"/>
              </w:rPr>
              <w:t>CO</w:t>
            </w:r>
          </w:p>
        </w:tc>
        <w:tc>
          <w:tcPr>
            <w:tcW w:w="856" w:type="pct"/>
            <w:vAlign w:val="center"/>
          </w:tcPr>
          <w:p>
            <w:pPr>
              <w:adjustRightInd w:val="0"/>
              <w:snapToGrid w:val="0"/>
              <w:jc w:val="center"/>
              <w:rPr>
                <w:rFonts w:hint="default" w:ascii="Times New Roman" w:hAnsi="Times New Roman" w:cs="Times New Roman" w:eastAsiaTheme="minorEastAsia"/>
                <w:color w:val="000000"/>
                <w:kern w:val="0"/>
              </w:rPr>
            </w:pPr>
            <w:r>
              <w:rPr>
                <w:rFonts w:hint="default" w:ascii="Times New Roman" w:hAnsi="Times New Roman" w:cs="Times New Roman" w:eastAsiaTheme="minorEastAsia"/>
                <w:color w:val="000000"/>
                <w:kern w:val="0"/>
              </w:rPr>
              <w:t>小时平均值</w:t>
            </w:r>
          </w:p>
        </w:tc>
        <w:tc>
          <w:tcPr>
            <w:tcW w:w="673" w:type="pct"/>
            <w:vAlign w:val="center"/>
          </w:tcPr>
          <w:p>
            <w:pPr>
              <w:adjustRightInd w:val="0"/>
              <w:snapToGrid w:val="0"/>
              <w:jc w:val="center"/>
              <w:rPr>
                <w:rFonts w:hint="default" w:ascii="Times New Roman" w:hAnsi="Times New Roman" w:cs="Times New Roman" w:eastAsiaTheme="minorEastAsia"/>
                <w:color w:val="000000"/>
                <w:kern w:val="0"/>
                <w:lang w:val="en-US" w:eastAsia="zh-CN"/>
              </w:rPr>
            </w:pPr>
            <w:r>
              <w:rPr>
                <w:rFonts w:hint="eastAsia" w:ascii="Times New Roman" w:hAnsi="Times New Roman" w:cs="Times New Roman" w:eastAsiaTheme="minorEastAsia"/>
                <w:color w:val="000000"/>
                <w:kern w:val="0"/>
                <w:lang w:val="en-US" w:eastAsia="zh-CN"/>
              </w:rPr>
              <w:t>10</w:t>
            </w:r>
            <w:r>
              <w:rPr>
                <w:rFonts w:hint="default" w:ascii="Times New Roman" w:hAnsi="Times New Roman" w:cs="Times New Roman" w:eastAsiaTheme="minorEastAsia"/>
                <w:color w:val="000000"/>
                <w:kern w:val="0"/>
              </w:rPr>
              <w:t>mg/m</w:t>
            </w:r>
            <w:r>
              <w:rPr>
                <w:rFonts w:hint="default" w:ascii="Times New Roman" w:hAnsi="Times New Roman" w:cs="Times New Roman" w:eastAsiaTheme="minorEastAsia"/>
                <w:color w:val="000000"/>
                <w:kern w:val="0"/>
                <w:vertAlign w:val="superscript"/>
              </w:rPr>
              <w:t>3</w:t>
            </w:r>
          </w:p>
        </w:tc>
        <w:tc>
          <w:tcPr>
            <w:tcW w:w="681" w:type="pct"/>
            <w:vAlign w:val="center"/>
          </w:tcPr>
          <w:p>
            <w:pPr>
              <w:adjustRightInd w:val="0"/>
              <w:snapToGrid w:val="0"/>
              <w:jc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rPr>
              <w:t>10mg/m</w:t>
            </w:r>
            <w:r>
              <w:rPr>
                <w:rFonts w:hint="default" w:ascii="Times New Roman" w:hAnsi="Times New Roman" w:cs="Times New Roman" w:eastAsiaTheme="minorEastAsia"/>
                <w:color w:val="000000"/>
                <w:kern w:val="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7"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1705"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385"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856" w:type="pct"/>
            <w:vAlign w:val="center"/>
          </w:tcPr>
          <w:p>
            <w:pPr>
              <w:adjustRightInd w:val="0"/>
              <w:snapToGrid w:val="0"/>
              <w:jc w:val="center"/>
              <w:rPr>
                <w:rFonts w:hint="default" w:ascii="Times New Roman" w:hAnsi="Times New Roman" w:cs="Times New Roman" w:eastAsiaTheme="minorEastAsia"/>
                <w:color w:val="000000"/>
                <w:kern w:val="0"/>
              </w:rPr>
            </w:pPr>
            <w:r>
              <w:rPr>
                <w:rFonts w:hint="default" w:ascii="Times New Roman" w:hAnsi="Times New Roman" w:cs="Times New Roman" w:eastAsiaTheme="minorEastAsia"/>
                <w:color w:val="000000"/>
                <w:kern w:val="0"/>
              </w:rPr>
              <w:t>日平均值</w:t>
            </w:r>
          </w:p>
        </w:tc>
        <w:tc>
          <w:tcPr>
            <w:tcW w:w="673" w:type="pct"/>
            <w:vAlign w:val="center"/>
          </w:tcPr>
          <w:p>
            <w:pPr>
              <w:adjustRightInd w:val="0"/>
              <w:snapToGrid w:val="0"/>
              <w:jc w:val="center"/>
              <w:rPr>
                <w:rFonts w:hint="default" w:ascii="Times New Roman" w:hAnsi="Times New Roman" w:cs="Times New Roman" w:eastAsiaTheme="minorEastAsia"/>
                <w:color w:val="000000"/>
                <w:kern w:val="0"/>
                <w:lang w:val="en-US" w:eastAsia="zh-CN"/>
              </w:rPr>
            </w:pPr>
            <w:r>
              <w:rPr>
                <w:rFonts w:hint="eastAsia" w:ascii="Times New Roman" w:hAnsi="Times New Roman" w:cs="Times New Roman" w:eastAsiaTheme="minorEastAsia"/>
                <w:color w:val="000000"/>
                <w:kern w:val="0"/>
                <w:lang w:val="en-US" w:eastAsia="zh-CN"/>
              </w:rPr>
              <w:t>4</w:t>
            </w:r>
            <w:r>
              <w:rPr>
                <w:rFonts w:hint="default" w:ascii="Times New Roman" w:hAnsi="Times New Roman" w:cs="Times New Roman" w:eastAsiaTheme="minorEastAsia"/>
                <w:color w:val="000000"/>
                <w:kern w:val="0"/>
              </w:rPr>
              <w:t>mg/m</w:t>
            </w:r>
            <w:r>
              <w:rPr>
                <w:rFonts w:hint="default" w:ascii="Times New Roman" w:hAnsi="Times New Roman" w:cs="Times New Roman" w:eastAsiaTheme="minorEastAsia"/>
                <w:color w:val="000000"/>
                <w:kern w:val="0"/>
                <w:vertAlign w:val="superscript"/>
              </w:rPr>
              <w:t>3</w:t>
            </w:r>
          </w:p>
        </w:tc>
        <w:tc>
          <w:tcPr>
            <w:tcW w:w="681" w:type="pct"/>
            <w:vAlign w:val="center"/>
          </w:tcPr>
          <w:p>
            <w:pPr>
              <w:adjustRightInd w:val="0"/>
              <w:snapToGrid w:val="0"/>
              <w:jc w:val="center"/>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rPr>
              <w:t>4mg/m</w:t>
            </w:r>
            <w:r>
              <w:rPr>
                <w:rFonts w:hint="default" w:ascii="Times New Roman" w:hAnsi="Times New Roman" w:cs="Times New Roman" w:eastAsiaTheme="minorEastAsia"/>
                <w:color w:val="000000"/>
                <w:kern w:val="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7"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1705"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385" w:type="pct"/>
            <w:vMerge w:val="restart"/>
            <w:vAlign w:val="center"/>
          </w:tcPr>
          <w:p>
            <w:pPr>
              <w:adjustRightInd w:val="0"/>
              <w:snapToGrid w:val="0"/>
              <w:jc w:val="center"/>
              <w:rPr>
                <w:rFonts w:hint="default" w:ascii="Times New Roman" w:hAnsi="Times New Roman" w:cs="Times New Roman" w:eastAsiaTheme="minorEastAsia"/>
                <w:color w:val="000000"/>
                <w:kern w:val="0"/>
              </w:rPr>
            </w:pPr>
            <w:r>
              <w:rPr>
                <w:rFonts w:hint="default" w:ascii="Times New Roman" w:hAnsi="Times New Roman" w:cs="Times New Roman" w:eastAsiaTheme="minorEastAsia"/>
                <w:color w:val="000000"/>
                <w:kern w:val="0"/>
              </w:rPr>
              <w:t>O</w:t>
            </w:r>
            <w:r>
              <w:rPr>
                <w:rFonts w:hint="default" w:ascii="Times New Roman" w:hAnsi="Times New Roman" w:cs="Times New Roman" w:eastAsiaTheme="minorEastAsia"/>
                <w:color w:val="000000"/>
                <w:kern w:val="0"/>
                <w:vertAlign w:val="subscript"/>
              </w:rPr>
              <w:t>3</w:t>
            </w:r>
          </w:p>
        </w:tc>
        <w:tc>
          <w:tcPr>
            <w:tcW w:w="856" w:type="pct"/>
            <w:vAlign w:val="center"/>
          </w:tcPr>
          <w:p>
            <w:pPr>
              <w:adjustRightInd w:val="0"/>
              <w:snapToGrid w:val="0"/>
              <w:jc w:val="center"/>
              <w:rPr>
                <w:rFonts w:hint="default" w:ascii="Times New Roman" w:hAnsi="Times New Roman" w:cs="Times New Roman" w:eastAsiaTheme="minorEastAsia"/>
                <w:color w:val="000000"/>
                <w:kern w:val="0"/>
              </w:rPr>
            </w:pPr>
            <w:r>
              <w:rPr>
                <w:rFonts w:hint="default" w:ascii="Times New Roman" w:hAnsi="Times New Roman" w:cs="Times New Roman" w:eastAsiaTheme="minorEastAsia"/>
                <w:color w:val="000000"/>
                <w:kern w:val="0"/>
              </w:rPr>
              <w:t>小时平均值</w:t>
            </w:r>
          </w:p>
        </w:tc>
        <w:tc>
          <w:tcPr>
            <w:tcW w:w="673" w:type="pct"/>
            <w:vAlign w:val="center"/>
          </w:tcPr>
          <w:p>
            <w:pPr>
              <w:adjustRightInd w:val="0"/>
              <w:snapToGrid w:val="0"/>
              <w:jc w:val="center"/>
              <w:rPr>
                <w:rFonts w:hint="default" w:ascii="Times New Roman" w:hAnsi="Times New Roman" w:cs="Times New Roman" w:eastAsiaTheme="minorEastAsia"/>
                <w:color w:val="000000"/>
                <w:kern w:val="0"/>
                <w:lang w:val="en-US" w:eastAsia="zh-CN"/>
              </w:rPr>
            </w:pPr>
            <w:r>
              <w:rPr>
                <w:rFonts w:hint="eastAsia" w:ascii="Times New Roman" w:hAnsi="Times New Roman" w:cs="Times New Roman" w:eastAsiaTheme="minorEastAsia"/>
                <w:color w:val="000000"/>
                <w:kern w:val="0"/>
                <w:lang w:val="en-US" w:eastAsia="zh-CN"/>
              </w:rPr>
              <w:t>160</w:t>
            </w:r>
            <w:r>
              <w:rPr>
                <w:rFonts w:hint="default" w:ascii="Times New Roman" w:hAnsi="Times New Roman" w:cs="Times New Roman" w:eastAsiaTheme="minorEastAsia"/>
                <w:color w:val="000000"/>
                <w:kern w:val="0"/>
              </w:rPr>
              <w:t>μg/m</w:t>
            </w:r>
            <w:r>
              <w:rPr>
                <w:rFonts w:hint="default" w:ascii="Times New Roman" w:hAnsi="Times New Roman" w:cs="Times New Roman" w:eastAsiaTheme="minorEastAsia"/>
                <w:color w:val="000000"/>
                <w:kern w:val="0"/>
                <w:vertAlign w:val="superscript"/>
              </w:rPr>
              <w:t>3</w:t>
            </w:r>
          </w:p>
        </w:tc>
        <w:tc>
          <w:tcPr>
            <w:tcW w:w="681" w:type="pct"/>
            <w:vAlign w:val="center"/>
          </w:tcPr>
          <w:p>
            <w:pPr>
              <w:adjustRightInd w:val="0"/>
              <w:snapToGrid w:val="0"/>
              <w:jc w:val="center"/>
              <w:rPr>
                <w:rFonts w:hint="default" w:ascii="Times New Roman" w:hAnsi="Times New Roman" w:cs="Times New Roman" w:eastAsiaTheme="minorEastAsia"/>
                <w:color w:val="000000"/>
                <w:kern w:val="0"/>
              </w:rPr>
            </w:pPr>
            <w:r>
              <w:rPr>
                <w:rFonts w:hint="default" w:ascii="Times New Roman" w:hAnsi="Times New Roman" w:cs="Times New Roman" w:eastAsiaTheme="minorEastAsia"/>
                <w:color w:val="000000"/>
                <w:kern w:val="0"/>
              </w:rPr>
              <w:t>200μg/m</w:t>
            </w:r>
            <w:r>
              <w:rPr>
                <w:rFonts w:hint="default" w:ascii="Times New Roman" w:hAnsi="Times New Roman" w:cs="Times New Roman" w:eastAsiaTheme="minorEastAsia"/>
                <w:color w:val="000000"/>
                <w:kern w:val="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7"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1705"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385"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856" w:type="pct"/>
            <w:vAlign w:val="center"/>
          </w:tcPr>
          <w:p>
            <w:pPr>
              <w:adjustRightInd w:val="0"/>
              <w:snapToGrid w:val="0"/>
              <w:jc w:val="center"/>
              <w:rPr>
                <w:rFonts w:hint="default" w:ascii="Times New Roman" w:hAnsi="Times New Roman" w:cs="Times New Roman" w:eastAsiaTheme="minorEastAsia"/>
                <w:color w:val="000000"/>
                <w:kern w:val="0"/>
              </w:rPr>
            </w:pPr>
            <w:r>
              <w:rPr>
                <w:rFonts w:hint="default" w:ascii="Times New Roman" w:hAnsi="Times New Roman" w:cs="Times New Roman" w:eastAsiaTheme="minorEastAsia"/>
                <w:color w:val="000000"/>
                <w:kern w:val="0"/>
              </w:rPr>
              <w:t>日平均值</w:t>
            </w:r>
          </w:p>
        </w:tc>
        <w:tc>
          <w:tcPr>
            <w:tcW w:w="673" w:type="pct"/>
            <w:vAlign w:val="center"/>
          </w:tcPr>
          <w:p>
            <w:pPr>
              <w:adjustRightInd w:val="0"/>
              <w:snapToGrid w:val="0"/>
              <w:jc w:val="center"/>
              <w:rPr>
                <w:rFonts w:hint="default" w:ascii="Times New Roman" w:hAnsi="Times New Roman" w:cs="Times New Roman" w:eastAsiaTheme="minorEastAsia"/>
                <w:color w:val="000000"/>
                <w:kern w:val="0"/>
                <w:lang w:val="en-US" w:eastAsia="zh-CN"/>
              </w:rPr>
            </w:pPr>
            <w:r>
              <w:rPr>
                <w:rFonts w:hint="eastAsia" w:ascii="Times New Roman" w:hAnsi="Times New Roman" w:cs="Times New Roman" w:eastAsiaTheme="minorEastAsia"/>
                <w:color w:val="000000"/>
                <w:kern w:val="0"/>
                <w:lang w:val="en-US" w:eastAsia="zh-CN"/>
              </w:rPr>
              <w:t>100</w:t>
            </w:r>
            <w:r>
              <w:rPr>
                <w:rFonts w:hint="default" w:ascii="Times New Roman" w:hAnsi="Times New Roman" w:cs="Times New Roman" w:eastAsiaTheme="minorEastAsia"/>
                <w:color w:val="000000"/>
                <w:kern w:val="0"/>
              </w:rPr>
              <w:t>μg/m</w:t>
            </w:r>
            <w:r>
              <w:rPr>
                <w:rFonts w:hint="default" w:ascii="Times New Roman" w:hAnsi="Times New Roman" w:cs="Times New Roman" w:eastAsiaTheme="minorEastAsia"/>
                <w:color w:val="000000"/>
                <w:kern w:val="0"/>
                <w:vertAlign w:val="superscript"/>
              </w:rPr>
              <w:t>3</w:t>
            </w:r>
          </w:p>
        </w:tc>
        <w:tc>
          <w:tcPr>
            <w:tcW w:w="681" w:type="pct"/>
            <w:vAlign w:val="center"/>
          </w:tcPr>
          <w:p>
            <w:pPr>
              <w:adjustRightInd w:val="0"/>
              <w:snapToGrid w:val="0"/>
              <w:jc w:val="center"/>
              <w:rPr>
                <w:rFonts w:hint="default" w:ascii="Times New Roman" w:hAnsi="Times New Roman" w:cs="Times New Roman" w:eastAsiaTheme="minorEastAsia"/>
                <w:color w:val="000000"/>
                <w:kern w:val="0"/>
              </w:rPr>
            </w:pPr>
            <w:r>
              <w:rPr>
                <w:rFonts w:hint="eastAsia" w:ascii="Times New Roman" w:hAnsi="Times New Roman" w:cs="Times New Roman" w:eastAsiaTheme="minorEastAsia"/>
                <w:color w:val="000000"/>
                <w:kern w:val="0"/>
                <w:lang w:val="en-US" w:eastAsia="zh-CN"/>
              </w:rPr>
              <w:t>16</w:t>
            </w:r>
            <w:r>
              <w:rPr>
                <w:rFonts w:hint="default" w:ascii="Times New Roman" w:hAnsi="Times New Roman" w:cs="Times New Roman" w:eastAsiaTheme="minorEastAsia"/>
                <w:color w:val="000000"/>
                <w:kern w:val="0"/>
              </w:rPr>
              <w:t>0μg/m</w:t>
            </w:r>
            <w:r>
              <w:rPr>
                <w:rFonts w:hint="default" w:ascii="Times New Roman" w:hAnsi="Times New Roman" w:cs="Times New Roman" w:eastAsiaTheme="minorEastAsia"/>
                <w:color w:val="000000"/>
                <w:kern w:val="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7"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1705"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385" w:type="pct"/>
            <w:vMerge w:val="restart"/>
            <w:vAlign w:val="center"/>
          </w:tcPr>
          <w:p>
            <w:pPr>
              <w:adjustRightInd w:val="0"/>
              <w:snapToGrid w:val="0"/>
              <w:jc w:val="center"/>
              <w:rPr>
                <w:rFonts w:hint="default" w:ascii="Times New Roman" w:hAnsi="Times New Roman" w:cs="Times New Roman" w:eastAsiaTheme="minorEastAsia"/>
                <w:color w:val="000000"/>
                <w:kern w:val="0"/>
              </w:rPr>
            </w:pPr>
            <w:r>
              <w:rPr>
                <w:rFonts w:hint="default" w:ascii="Times New Roman" w:hAnsi="Times New Roman" w:cs="Times New Roman" w:eastAsiaTheme="minorEastAsia"/>
                <w:color w:val="000000"/>
                <w:kern w:val="0"/>
              </w:rPr>
              <w:t>TSP</w:t>
            </w:r>
          </w:p>
        </w:tc>
        <w:tc>
          <w:tcPr>
            <w:tcW w:w="856" w:type="pct"/>
            <w:vAlign w:val="center"/>
          </w:tcPr>
          <w:p>
            <w:pPr>
              <w:adjustRightInd w:val="0"/>
              <w:snapToGrid w:val="0"/>
              <w:jc w:val="center"/>
              <w:rPr>
                <w:rFonts w:hint="default" w:ascii="Times New Roman" w:hAnsi="Times New Roman" w:cs="Times New Roman" w:eastAsiaTheme="minorEastAsia"/>
                <w:color w:val="000000"/>
                <w:kern w:val="0"/>
              </w:rPr>
            </w:pPr>
            <w:r>
              <w:rPr>
                <w:rFonts w:hint="default" w:ascii="Times New Roman" w:hAnsi="Times New Roman" w:cs="Times New Roman" w:eastAsiaTheme="minorEastAsia"/>
                <w:color w:val="000000"/>
                <w:kern w:val="0"/>
              </w:rPr>
              <w:t>日平均值</w:t>
            </w:r>
          </w:p>
        </w:tc>
        <w:tc>
          <w:tcPr>
            <w:tcW w:w="673" w:type="pct"/>
            <w:vAlign w:val="center"/>
          </w:tcPr>
          <w:p>
            <w:pPr>
              <w:adjustRightInd w:val="0"/>
              <w:snapToGrid w:val="0"/>
              <w:jc w:val="center"/>
              <w:rPr>
                <w:rFonts w:hint="default" w:ascii="Times New Roman" w:hAnsi="Times New Roman" w:cs="Times New Roman" w:eastAsiaTheme="minorEastAsia"/>
                <w:color w:val="000000"/>
                <w:kern w:val="0"/>
                <w:lang w:val="en-US" w:eastAsia="zh-CN"/>
              </w:rPr>
            </w:pPr>
            <w:r>
              <w:rPr>
                <w:rFonts w:hint="eastAsia" w:ascii="Times New Roman" w:hAnsi="Times New Roman" w:cs="Times New Roman" w:eastAsiaTheme="minorEastAsia"/>
                <w:color w:val="000000"/>
                <w:kern w:val="0"/>
                <w:lang w:val="en-US" w:eastAsia="zh-CN"/>
              </w:rPr>
              <w:t>120</w:t>
            </w:r>
            <w:r>
              <w:rPr>
                <w:rFonts w:hint="default" w:ascii="Times New Roman" w:hAnsi="Times New Roman" w:cs="Times New Roman" w:eastAsiaTheme="minorEastAsia"/>
                <w:color w:val="000000"/>
                <w:kern w:val="0"/>
              </w:rPr>
              <w:t>μg/m</w:t>
            </w:r>
            <w:r>
              <w:rPr>
                <w:rFonts w:hint="default" w:ascii="Times New Roman" w:hAnsi="Times New Roman" w:cs="Times New Roman" w:eastAsiaTheme="minorEastAsia"/>
                <w:color w:val="000000"/>
                <w:kern w:val="0"/>
                <w:vertAlign w:val="superscript"/>
              </w:rPr>
              <w:t>3</w:t>
            </w:r>
          </w:p>
        </w:tc>
        <w:tc>
          <w:tcPr>
            <w:tcW w:w="681" w:type="pct"/>
            <w:vAlign w:val="center"/>
          </w:tcPr>
          <w:p>
            <w:pPr>
              <w:adjustRightInd w:val="0"/>
              <w:snapToGrid w:val="0"/>
              <w:jc w:val="center"/>
              <w:rPr>
                <w:rFonts w:hint="eastAsia" w:ascii="Times New Roman" w:hAnsi="Times New Roman" w:cs="Times New Roman" w:eastAsiaTheme="minorEastAsia"/>
                <w:color w:val="000000"/>
                <w:kern w:val="0"/>
                <w:lang w:val="en-US" w:eastAsia="zh-CN"/>
              </w:rPr>
            </w:pPr>
            <w:r>
              <w:rPr>
                <w:rFonts w:hint="default" w:ascii="Times New Roman" w:hAnsi="Times New Roman" w:cs="Times New Roman" w:eastAsiaTheme="minorEastAsia"/>
                <w:color w:val="000000"/>
                <w:kern w:val="0"/>
              </w:rPr>
              <w:t>300μg/m</w:t>
            </w:r>
            <w:r>
              <w:rPr>
                <w:rFonts w:hint="default" w:ascii="Times New Roman" w:hAnsi="Times New Roman" w:cs="Times New Roman" w:eastAsiaTheme="minorEastAsia"/>
                <w:color w:val="000000"/>
                <w:kern w:val="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7"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1705"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385" w:type="pct"/>
            <w:vMerge w:val="continue"/>
            <w:vAlign w:val="center"/>
          </w:tcPr>
          <w:p>
            <w:pPr>
              <w:adjustRightInd w:val="0"/>
              <w:snapToGrid w:val="0"/>
              <w:jc w:val="center"/>
              <w:rPr>
                <w:rFonts w:hint="default" w:ascii="Times New Roman" w:hAnsi="Times New Roman" w:cs="Times New Roman" w:eastAsiaTheme="minorEastAsia"/>
                <w:color w:val="000000"/>
                <w:kern w:val="0"/>
              </w:rPr>
            </w:pPr>
          </w:p>
        </w:tc>
        <w:tc>
          <w:tcPr>
            <w:tcW w:w="856" w:type="pct"/>
            <w:vAlign w:val="center"/>
          </w:tcPr>
          <w:p>
            <w:pPr>
              <w:adjustRightInd w:val="0"/>
              <w:snapToGrid w:val="0"/>
              <w:jc w:val="center"/>
              <w:rPr>
                <w:rFonts w:hint="default" w:ascii="Times New Roman" w:hAnsi="Times New Roman" w:cs="Times New Roman" w:eastAsiaTheme="minorEastAsia"/>
                <w:color w:val="000000"/>
                <w:kern w:val="0"/>
              </w:rPr>
            </w:pPr>
            <w:r>
              <w:rPr>
                <w:rFonts w:hint="default" w:ascii="Times New Roman" w:hAnsi="Times New Roman" w:cs="Times New Roman" w:eastAsiaTheme="minorEastAsia"/>
                <w:color w:val="000000"/>
                <w:kern w:val="0"/>
              </w:rPr>
              <w:t>年平均值</w:t>
            </w:r>
          </w:p>
        </w:tc>
        <w:tc>
          <w:tcPr>
            <w:tcW w:w="673" w:type="pct"/>
            <w:vAlign w:val="center"/>
          </w:tcPr>
          <w:p>
            <w:pPr>
              <w:adjustRightInd w:val="0"/>
              <w:snapToGrid w:val="0"/>
              <w:jc w:val="center"/>
              <w:rPr>
                <w:rFonts w:hint="default" w:ascii="Times New Roman" w:hAnsi="Times New Roman" w:cs="Times New Roman" w:eastAsiaTheme="minorEastAsia"/>
                <w:color w:val="000000"/>
                <w:kern w:val="0"/>
                <w:lang w:val="en-US" w:eastAsia="zh-CN"/>
              </w:rPr>
            </w:pPr>
            <w:r>
              <w:rPr>
                <w:rFonts w:hint="eastAsia" w:ascii="Times New Roman" w:hAnsi="Times New Roman" w:cs="Times New Roman" w:eastAsiaTheme="minorEastAsia"/>
                <w:color w:val="000000"/>
                <w:kern w:val="0"/>
                <w:lang w:val="en-US" w:eastAsia="zh-CN"/>
              </w:rPr>
              <w:t>80</w:t>
            </w:r>
            <w:r>
              <w:rPr>
                <w:rFonts w:hint="default" w:ascii="Times New Roman" w:hAnsi="Times New Roman" w:cs="Times New Roman" w:eastAsiaTheme="minorEastAsia"/>
                <w:color w:val="000000"/>
                <w:kern w:val="0"/>
              </w:rPr>
              <w:t>μg/m</w:t>
            </w:r>
            <w:r>
              <w:rPr>
                <w:rFonts w:hint="default" w:ascii="Times New Roman" w:hAnsi="Times New Roman" w:cs="Times New Roman" w:eastAsiaTheme="minorEastAsia"/>
                <w:color w:val="000000"/>
                <w:kern w:val="0"/>
                <w:vertAlign w:val="superscript"/>
              </w:rPr>
              <w:t>3</w:t>
            </w:r>
          </w:p>
        </w:tc>
        <w:tc>
          <w:tcPr>
            <w:tcW w:w="681" w:type="pct"/>
            <w:vAlign w:val="center"/>
          </w:tcPr>
          <w:p>
            <w:pPr>
              <w:adjustRightInd w:val="0"/>
              <w:snapToGrid w:val="0"/>
              <w:jc w:val="center"/>
              <w:rPr>
                <w:rFonts w:hint="default" w:ascii="Times New Roman" w:hAnsi="Times New Roman" w:cs="Times New Roman" w:eastAsiaTheme="minorEastAsia"/>
                <w:color w:val="000000"/>
                <w:kern w:val="0"/>
                <w:lang w:val="en-US" w:eastAsia="zh-CN"/>
              </w:rPr>
            </w:pPr>
            <w:r>
              <w:rPr>
                <w:rFonts w:hint="eastAsia" w:ascii="Times New Roman" w:hAnsi="Times New Roman" w:cs="Times New Roman" w:eastAsiaTheme="minorEastAsia"/>
                <w:color w:val="000000"/>
                <w:kern w:val="0"/>
                <w:lang w:val="en-US" w:eastAsia="zh-CN"/>
              </w:rPr>
              <w:t>200</w:t>
            </w:r>
            <w:r>
              <w:rPr>
                <w:rFonts w:hint="default" w:ascii="Times New Roman" w:hAnsi="Times New Roman" w:cs="Times New Roman" w:eastAsiaTheme="minorEastAsia"/>
                <w:color w:val="000000"/>
                <w:kern w:val="0"/>
              </w:rPr>
              <w:t>μg/m</w:t>
            </w:r>
            <w:r>
              <w:rPr>
                <w:rFonts w:hint="default" w:ascii="Times New Roman" w:hAnsi="Times New Roman" w:cs="Times New Roman" w:eastAsiaTheme="minorEastAsia"/>
                <w:color w:val="000000"/>
                <w:kern w:val="0"/>
                <w:vertAlign w:val="superscript"/>
              </w:rPr>
              <w:t>3</w:t>
            </w:r>
          </w:p>
        </w:tc>
      </w:tr>
    </w:tbl>
    <w:p>
      <w:pPr>
        <w:adjustRightInd w:val="0"/>
        <w:snapToGrid w:val="0"/>
        <w:spacing w:line="360" w:lineRule="auto"/>
        <w:ind w:firstLine="480" w:firstLineChars="200"/>
        <w:rPr>
          <w:rFonts w:ascii="Times New Roman" w:hAnsi="Times New Roman" w:eastAsiaTheme="minorEastAsia"/>
          <w:color w:val="000000"/>
          <w:sz w:val="24"/>
          <w:szCs w:val="24"/>
        </w:rPr>
      </w:pPr>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3、声环境</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码头位于岳阳市城陵矶港区松阳湖作业区岸线。航道两侧35m红线范围内声环境质量执行《声环境质量标准》（GB3096-2008）4a类标准，其他区域声环境质量执行《声环境质量标准》（GB3096-2008）3类标准，具体详见表2.6-3。</w:t>
      </w:r>
    </w:p>
    <w:p>
      <w:pPr>
        <w:tabs>
          <w:tab w:val="left" w:pos="900"/>
        </w:tabs>
        <w:wordWrap w:val="0"/>
        <w:snapToGrid w:val="0"/>
        <w:spacing w:line="276" w:lineRule="auto"/>
        <w:jc w:val="right"/>
        <w:rPr>
          <w:rFonts w:ascii="Times New Roman" w:hAnsi="Times New Roman" w:eastAsiaTheme="minorEastAsia"/>
          <w:color w:val="000000"/>
          <w:sz w:val="24"/>
          <w:szCs w:val="24"/>
        </w:rPr>
      </w:pPr>
      <w:r>
        <w:rPr>
          <w:rFonts w:ascii="Times New Roman" w:hAnsi="Times New Roman" w:eastAsiaTheme="minorEastAsia"/>
          <w:b/>
          <w:color w:val="000000"/>
          <w:sz w:val="24"/>
          <w:szCs w:val="24"/>
        </w:rPr>
        <w:t xml:space="preserve">表2.6-3  声环境质量标准              </w:t>
      </w:r>
      <w:r>
        <w:rPr>
          <w:rFonts w:ascii="Times New Roman" w:hAnsi="Times New Roman" w:eastAsiaTheme="minorEastAsia"/>
          <w:color w:val="000000"/>
          <w:sz w:val="24"/>
          <w:szCs w:val="24"/>
        </w:rPr>
        <w:t>单位：dB(A)</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034"/>
        <w:gridCol w:w="3034"/>
        <w:gridCol w:w="303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67"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类别</w:t>
            </w:r>
          </w:p>
        </w:tc>
        <w:tc>
          <w:tcPr>
            <w:tcW w:w="1667"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昼间</w:t>
            </w:r>
          </w:p>
        </w:tc>
        <w:tc>
          <w:tcPr>
            <w:tcW w:w="1667"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夜间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3类</w:t>
            </w:r>
          </w:p>
        </w:tc>
        <w:tc>
          <w:tcPr>
            <w:tcW w:w="16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65</w:t>
            </w:r>
          </w:p>
        </w:tc>
        <w:tc>
          <w:tcPr>
            <w:tcW w:w="16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4a类</w:t>
            </w:r>
          </w:p>
        </w:tc>
        <w:tc>
          <w:tcPr>
            <w:tcW w:w="16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70</w:t>
            </w:r>
          </w:p>
        </w:tc>
        <w:tc>
          <w:tcPr>
            <w:tcW w:w="16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55</w:t>
            </w:r>
          </w:p>
        </w:tc>
      </w:tr>
    </w:tbl>
    <w:p>
      <w:pPr>
        <w:adjustRightInd w:val="0"/>
        <w:snapToGrid w:val="0"/>
        <w:spacing w:line="360" w:lineRule="auto"/>
        <w:ind w:firstLine="480" w:firstLineChars="200"/>
        <w:rPr>
          <w:rFonts w:ascii="Times New Roman" w:hAnsi="Times New Roman" w:eastAsiaTheme="minorEastAsia"/>
          <w:color w:val="000000"/>
          <w:sz w:val="24"/>
          <w:szCs w:val="24"/>
        </w:rPr>
      </w:pPr>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4、土壤/底泥</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本项目码头区域底泥参考执行《土壤环境质量建设用地土壤污染风险管控标准》（GB36600-2018）中第二类用地筛选值限值要求和《土壤环境质量农用地土壤污染风险管控标准》（GB 15618-2018）中用地筛选值限值要求。具体见表2.6-4和表2.6-5。</w:t>
      </w:r>
    </w:p>
    <w:p>
      <w:pPr>
        <w:tabs>
          <w:tab w:val="left" w:pos="900"/>
        </w:tabs>
        <w:snapToGrid w:val="0"/>
        <w:spacing w:line="276" w:lineRule="auto"/>
        <w:jc w:val="right"/>
        <w:rPr>
          <w:rFonts w:ascii="Times New Roman" w:hAnsi="Times New Roman" w:eastAsiaTheme="minorEastAsia"/>
          <w:color w:val="000000"/>
          <w:sz w:val="24"/>
          <w:szCs w:val="24"/>
        </w:rPr>
      </w:pPr>
      <w:r>
        <w:rPr>
          <w:rFonts w:ascii="Times New Roman" w:hAnsi="Times New Roman" w:eastAsiaTheme="minorEastAsia"/>
          <w:b/>
          <w:color w:val="000000"/>
          <w:sz w:val="24"/>
          <w:szCs w:val="24"/>
        </w:rPr>
        <w:t xml:space="preserve">表2.6-4  建设用地土壤环境质量标准一览表    </w:t>
      </w:r>
      <w:r>
        <w:rPr>
          <w:rFonts w:ascii="Times New Roman" w:hAnsi="Times New Roman" w:eastAsiaTheme="minorEastAsia"/>
          <w:color w:val="000000"/>
          <w:sz w:val="24"/>
          <w:szCs w:val="24"/>
        </w:rPr>
        <w:t>单位：mg/kg</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227"/>
        <w:gridCol w:w="4242"/>
        <w:gridCol w:w="1816"/>
        <w:gridCol w:w="181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674" w:type="pct"/>
            <w:vMerge w:val="restart"/>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kern w:val="0"/>
              </w:rPr>
              <w:t>序号</w:t>
            </w:r>
          </w:p>
        </w:tc>
        <w:tc>
          <w:tcPr>
            <w:tcW w:w="2331" w:type="pct"/>
            <w:vMerge w:val="restart"/>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kern w:val="0"/>
              </w:rPr>
              <w:t>项目</w:t>
            </w:r>
          </w:p>
        </w:tc>
        <w:tc>
          <w:tcPr>
            <w:tcW w:w="1996" w:type="pct"/>
            <w:gridSpan w:val="2"/>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kern w:val="0"/>
              </w:rPr>
              <w:t>评价标准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674" w:type="pct"/>
            <w:vMerge w:val="continue"/>
            <w:vAlign w:val="center"/>
          </w:tcPr>
          <w:p>
            <w:pPr>
              <w:autoSpaceDE w:val="0"/>
              <w:autoSpaceDN w:val="0"/>
              <w:adjustRightInd w:val="0"/>
              <w:snapToGrid w:val="0"/>
              <w:jc w:val="center"/>
              <w:rPr>
                <w:rFonts w:ascii="Times New Roman" w:hAnsi="Times New Roman" w:eastAsiaTheme="minorEastAsia"/>
                <w:b/>
                <w:kern w:val="0"/>
              </w:rPr>
            </w:pPr>
          </w:p>
        </w:tc>
        <w:tc>
          <w:tcPr>
            <w:tcW w:w="2331" w:type="pct"/>
            <w:vMerge w:val="continue"/>
            <w:vAlign w:val="center"/>
          </w:tcPr>
          <w:p>
            <w:pPr>
              <w:autoSpaceDE w:val="0"/>
              <w:autoSpaceDN w:val="0"/>
              <w:adjustRightInd w:val="0"/>
              <w:snapToGrid w:val="0"/>
              <w:jc w:val="center"/>
              <w:rPr>
                <w:rFonts w:ascii="Times New Roman" w:hAnsi="Times New Roman" w:eastAsiaTheme="minorEastAsia"/>
                <w:b/>
                <w:kern w:val="0"/>
              </w:rPr>
            </w:pPr>
          </w:p>
        </w:tc>
        <w:tc>
          <w:tcPr>
            <w:tcW w:w="998" w:type="pct"/>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kern w:val="0"/>
              </w:rPr>
              <w:t>筛选值</w:t>
            </w:r>
          </w:p>
        </w:tc>
        <w:tc>
          <w:tcPr>
            <w:tcW w:w="998" w:type="pct"/>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kern w:val="0"/>
              </w:rPr>
              <w:t>管控值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74"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1</w:t>
            </w:r>
          </w:p>
        </w:tc>
        <w:tc>
          <w:tcPr>
            <w:tcW w:w="2331"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砷</w:t>
            </w:r>
          </w:p>
        </w:tc>
        <w:tc>
          <w:tcPr>
            <w:tcW w:w="998"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60</w:t>
            </w:r>
          </w:p>
        </w:tc>
        <w:tc>
          <w:tcPr>
            <w:tcW w:w="998"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140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74"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2</w:t>
            </w:r>
          </w:p>
        </w:tc>
        <w:tc>
          <w:tcPr>
            <w:tcW w:w="2331"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镉</w:t>
            </w:r>
          </w:p>
        </w:tc>
        <w:tc>
          <w:tcPr>
            <w:tcW w:w="998"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65</w:t>
            </w:r>
          </w:p>
        </w:tc>
        <w:tc>
          <w:tcPr>
            <w:tcW w:w="998"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172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74"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3</w:t>
            </w:r>
          </w:p>
        </w:tc>
        <w:tc>
          <w:tcPr>
            <w:tcW w:w="2331"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铬（六价）</w:t>
            </w:r>
          </w:p>
        </w:tc>
        <w:tc>
          <w:tcPr>
            <w:tcW w:w="998"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5.7</w:t>
            </w:r>
          </w:p>
        </w:tc>
        <w:tc>
          <w:tcPr>
            <w:tcW w:w="998"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74"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4</w:t>
            </w:r>
          </w:p>
        </w:tc>
        <w:tc>
          <w:tcPr>
            <w:tcW w:w="2331"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铜</w:t>
            </w:r>
          </w:p>
        </w:tc>
        <w:tc>
          <w:tcPr>
            <w:tcW w:w="998"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18000</w:t>
            </w:r>
          </w:p>
        </w:tc>
        <w:tc>
          <w:tcPr>
            <w:tcW w:w="998"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36000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74"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5</w:t>
            </w:r>
          </w:p>
        </w:tc>
        <w:tc>
          <w:tcPr>
            <w:tcW w:w="2331"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铅</w:t>
            </w:r>
          </w:p>
        </w:tc>
        <w:tc>
          <w:tcPr>
            <w:tcW w:w="998"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800</w:t>
            </w:r>
          </w:p>
        </w:tc>
        <w:tc>
          <w:tcPr>
            <w:tcW w:w="998"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2500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74"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6</w:t>
            </w:r>
          </w:p>
        </w:tc>
        <w:tc>
          <w:tcPr>
            <w:tcW w:w="2331"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汞</w:t>
            </w:r>
          </w:p>
        </w:tc>
        <w:tc>
          <w:tcPr>
            <w:tcW w:w="998"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38</w:t>
            </w:r>
          </w:p>
        </w:tc>
        <w:tc>
          <w:tcPr>
            <w:tcW w:w="998"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82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74"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7</w:t>
            </w:r>
          </w:p>
        </w:tc>
        <w:tc>
          <w:tcPr>
            <w:tcW w:w="2331"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镍</w:t>
            </w:r>
          </w:p>
        </w:tc>
        <w:tc>
          <w:tcPr>
            <w:tcW w:w="998"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900</w:t>
            </w:r>
          </w:p>
        </w:tc>
        <w:tc>
          <w:tcPr>
            <w:tcW w:w="998"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2000</w:t>
            </w:r>
          </w:p>
        </w:tc>
      </w:tr>
    </w:tbl>
    <w:p>
      <w:pPr>
        <w:tabs>
          <w:tab w:val="left" w:pos="900"/>
        </w:tabs>
        <w:snapToGrid w:val="0"/>
        <w:spacing w:line="276" w:lineRule="auto"/>
        <w:jc w:val="right"/>
        <w:rPr>
          <w:rFonts w:ascii="Times New Roman" w:hAnsi="Times New Roman" w:eastAsiaTheme="minorEastAsia"/>
          <w:b/>
          <w:color w:val="000000"/>
          <w:sz w:val="24"/>
          <w:szCs w:val="24"/>
        </w:rPr>
      </w:pPr>
    </w:p>
    <w:p>
      <w:pPr>
        <w:tabs>
          <w:tab w:val="left" w:pos="900"/>
        </w:tabs>
        <w:snapToGrid w:val="0"/>
        <w:spacing w:line="276" w:lineRule="auto"/>
        <w:jc w:val="right"/>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 xml:space="preserve">表2.6-5  农用地土壤环境质量标准一览表     </w:t>
      </w:r>
      <w:r>
        <w:rPr>
          <w:rFonts w:ascii="Times New Roman" w:hAnsi="Times New Roman" w:eastAsiaTheme="minorEastAsia"/>
          <w:color w:val="000000"/>
          <w:sz w:val="24"/>
          <w:szCs w:val="24"/>
        </w:rPr>
        <w:t>单位：mg/kg</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066"/>
        <w:gridCol w:w="2024"/>
        <w:gridCol w:w="1270"/>
        <w:gridCol w:w="1733"/>
        <w:gridCol w:w="1733"/>
        <w:gridCol w:w="127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586"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序号</w:t>
            </w:r>
          </w:p>
        </w:tc>
        <w:tc>
          <w:tcPr>
            <w:tcW w:w="1112"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项目</w:t>
            </w:r>
          </w:p>
        </w:tc>
        <w:tc>
          <w:tcPr>
            <w:tcW w:w="3302" w:type="pct"/>
            <w:gridSpan w:val="4"/>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筛选值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w:t>
            </w:r>
          </w:p>
        </w:tc>
        <w:tc>
          <w:tcPr>
            <w:tcW w:w="111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pH（无纲量）</w:t>
            </w:r>
          </w:p>
        </w:tc>
        <w:tc>
          <w:tcPr>
            <w:tcW w:w="69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≤5.5</w:t>
            </w:r>
          </w:p>
        </w:tc>
        <w:tc>
          <w:tcPr>
            <w:tcW w:w="9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5.5~6.5</w:t>
            </w:r>
          </w:p>
        </w:tc>
        <w:tc>
          <w:tcPr>
            <w:tcW w:w="9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6.5~7.5</w:t>
            </w:r>
          </w:p>
        </w:tc>
        <w:tc>
          <w:tcPr>
            <w:tcW w:w="70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&gt;7.5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w:t>
            </w:r>
          </w:p>
        </w:tc>
        <w:tc>
          <w:tcPr>
            <w:tcW w:w="111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镉</w:t>
            </w:r>
          </w:p>
        </w:tc>
        <w:tc>
          <w:tcPr>
            <w:tcW w:w="69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0.3</w:t>
            </w:r>
          </w:p>
        </w:tc>
        <w:tc>
          <w:tcPr>
            <w:tcW w:w="9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0.3</w:t>
            </w:r>
          </w:p>
        </w:tc>
        <w:tc>
          <w:tcPr>
            <w:tcW w:w="9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0.3</w:t>
            </w:r>
          </w:p>
        </w:tc>
        <w:tc>
          <w:tcPr>
            <w:tcW w:w="70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w:t>
            </w:r>
          </w:p>
        </w:tc>
        <w:tc>
          <w:tcPr>
            <w:tcW w:w="111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汞</w:t>
            </w:r>
          </w:p>
        </w:tc>
        <w:tc>
          <w:tcPr>
            <w:tcW w:w="69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1.3</w:t>
            </w:r>
          </w:p>
        </w:tc>
        <w:tc>
          <w:tcPr>
            <w:tcW w:w="9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1.8</w:t>
            </w:r>
          </w:p>
        </w:tc>
        <w:tc>
          <w:tcPr>
            <w:tcW w:w="9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2.4</w:t>
            </w:r>
          </w:p>
        </w:tc>
        <w:tc>
          <w:tcPr>
            <w:tcW w:w="70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w:t>
            </w:r>
          </w:p>
        </w:tc>
        <w:tc>
          <w:tcPr>
            <w:tcW w:w="111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砷</w:t>
            </w:r>
          </w:p>
        </w:tc>
        <w:tc>
          <w:tcPr>
            <w:tcW w:w="69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40</w:t>
            </w:r>
          </w:p>
        </w:tc>
        <w:tc>
          <w:tcPr>
            <w:tcW w:w="9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40</w:t>
            </w:r>
          </w:p>
        </w:tc>
        <w:tc>
          <w:tcPr>
            <w:tcW w:w="9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30</w:t>
            </w:r>
          </w:p>
        </w:tc>
        <w:tc>
          <w:tcPr>
            <w:tcW w:w="70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w:t>
            </w:r>
          </w:p>
        </w:tc>
        <w:tc>
          <w:tcPr>
            <w:tcW w:w="111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铅</w:t>
            </w:r>
          </w:p>
        </w:tc>
        <w:tc>
          <w:tcPr>
            <w:tcW w:w="69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70</w:t>
            </w:r>
          </w:p>
        </w:tc>
        <w:tc>
          <w:tcPr>
            <w:tcW w:w="9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90</w:t>
            </w:r>
          </w:p>
        </w:tc>
        <w:tc>
          <w:tcPr>
            <w:tcW w:w="9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120</w:t>
            </w:r>
          </w:p>
        </w:tc>
        <w:tc>
          <w:tcPr>
            <w:tcW w:w="70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w:t>
            </w:r>
          </w:p>
        </w:tc>
        <w:tc>
          <w:tcPr>
            <w:tcW w:w="111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铬</w:t>
            </w:r>
          </w:p>
        </w:tc>
        <w:tc>
          <w:tcPr>
            <w:tcW w:w="69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150</w:t>
            </w:r>
          </w:p>
        </w:tc>
        <w:tc>
          <w:tcPr>
            <w:tcW w:w="9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150</w:t>
            </w:r>
          </w:p>
        </w:tc>
        <w:tc>
          <w:tcPr>
            <w:tcW w:w="9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200</w:t>
            </w:r>
          </w:p>
        </w:tc>
        <w:tc>
          <w:tcPr>
            <w:tcW w:w="70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7</w:t>
            </w:r>
          </w:p>
        </w:tc>
        <w:tc>
          <w:tcPr>
            <w:tcW w:w="111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铜</w:t>
            </w:r>
          </w:p>
        </w:tc>
        <w:tc>
          <w:tcPr>
            <w:tcW w:w="69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50</w:t>
            </w:r>
          </w:p>
        </w:tc>
        <w:tc>
          <w:tcPr>
            <w:tcW w:w="9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50</w:t>
            </w:r>
          </w:p>
        </w:tc>
        <w:tc>
          <w:tcPr>
            <w:tcW w:w="9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100</w:t>
            </w:r>
          </w:p>
        </w:tc>
        <w:tc>
          <w:tcPr>
            <w:tcW w:w="70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w:t>
            </w:r>
          </w:p>
        </w:tc>
        <w:tc>
          <w:tcPr>
            <w:tcW w:w="111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镍</w:t>
            </w:r>
          </w:p>
        </w:tc>
        <w:tc>
          <w:tcPr>
            <w:tcW w:w="69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60</w:t>
            </w:r>
          </w:p>
        </w:tc>
        <w:tc>
          <w:tcPr>
            <w:tcW w:w="9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70</w:t>
            </w:r>
          </w:p>
        </w:tc>
        <w:tc>
          <w:tcPr>
            <w:tcW w:w="9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100</w:t>
            </w:r>
          </w:p>
        </w:tc>
        <w:tc>
          <w:tcPr>
            <w:tcW w:w="70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9</w:t>
            </w:r>
          </w:p>
        </w:tc>
        <w:tc>
          <w:tcPr>
            <w:tcW w:w="111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锌</w:t>
            </w:r>
          </w:p>
        </w:tc>
        <w:tc>
          <w:tcPr>
            <w:tcW w:w="69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200</w:t>
            </w:r>
          </w:p>
        </w:tc>
        <w:tc>
          <w:tcPr>
            <w:tcW w:w="9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200</w:t>
            </w:r>
          </w:p>
        </w:tc>
        <w:tc>
          <w:tcPr>
            <w:tcW w:w="95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250</w:t>
            </w:r>
          </w:p>
        </w:tc>
        <w:tc>
          <w:tcPr>
            <w:tcW w:w="70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300</w:t>
            </w:r>
          </w:p>
        </w:tc>
      </w:tr>
    </w:tbl>
    <w:p>
      <w:pPr>
        <w:autoSpaceDE w:val="0"/>
        <w:autoSpaceDN w:val="0"/>
        <w:adjustRightInd w:val="0"/>
        <w:jc w:val="left"/>
        <w:rPr>
          <w:rFonts w:ascii="Times New Roman" w:hAnsi="Times New Roman" w:eastAsiaTheme="minorEastAsia"/>
          <w:kern w:val="0"/>
          <w:sz w:val="24"/>
          <w:szCs w:val="24"/>
        </w:rPr>
      </w:pPr>
    </w:p>
    <w:p>
      <w:pPr>
        <w:pStyle w:val="4"/>
        <w:rPr>
          <w:rFonts w:eastAsiaTheme="minorEastAsia"/>
        </w:rPr>
      </w:pPr>
      <w:r>
        <w:rPr>
          <w:rFonts w:eastAsiaTheme="minorEastAsia"/>
        </w:rPr>
        <w:t>污染物排放标准</w:t>
      </w:r>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1、废水</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船舶废水执行《船舶水污染物排放标准》（GB3552-2018），详见表2.6-6。</w:t>
      </w:r>
    </w:p>
    <w:p>
      <w:pPr>
        <w:tabs>
          <w:tab w:val="left" w:pos="900"/>
        </w:tabs>
        <w:wordWrap w:val="0"/>
        <w:snapToGrid w:val="0"/>
        <w:spacing w:line="276" w:lineRule="auto"/>
        <w:jc w:val="right"/>
        <w:rPr>
          <w:rFonts w:ascii="Times New Roman" w:hAnsi="Times New Roman" w:eastAsiaTheme="minorEastAsia"/>
          <w:color w:val="000000"/>
          <w:sz w:val="24"/>
          <w:szCs w:val="24"/>
        </w:rPr>
      </w:pPr>
      <w:r>
        <w:rPr>
          <w:rFonts w:ascii="Times New Roman" w:hAnsi="Times New Roman" w:eastAsiaTheme="minorEastAsia"/>
          <w:b/>
          <w:color w:val="000000"/>
          <w:sz w:val="24"/>
          <w:szCs w:val="24"/>
        </w:rPr>
        <w:t xml:space="preserve">表2.6-6  船舶水污染物排放控制标准（GB3552-2018）    </w:t>
      </w:r>
      <w:r>
        <w:rPr>
          <w:rFonts w:ascii="Times New Roman" w:hAnsi="Times New Roman" w:eastAsiaTheme="minorEastAsia"/>
          <w:color w:val="000000"/>
          <w:sz w:val="24"/>
          <w:szCs w:val="24"/>
        </w:rPr>
        <w:t>单位：mg/L</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972"/>
        <w:gridCol w:w="983"/>
        <w:gridCol w:w="714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534"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序号</w:t>
            </w:r>
          </w:p>
        </w:tc>
        <w:tc>
          <w:tcPr>
            <w:tcW w:w="540"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污染物</w:t>
            </w:r>
          </w:p>
        </w:tc>
        <w:tc>
          <w:tcPr>
            <w:tcW w:w="3926"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标准值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w:t>
            </w:r>
          </w:p>
        </w:tc>
        <w:tc>
          <w:tcPr>
            <w:tcW w:w="54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船舶含油污水</w:t>
            </w:r>
          </w:p>
        </w:tc>
        <w:tc>
          <w:tcPr>
            <w:tcW w:w="3926" w:type="pct"/>
            <w:vAlign w:val="center"/>
          </w:tcPr>
          <w:p>
            <w:pPr>
              <w:autoSpaceDE w:val="0"/>
              <w:autoSpaceDN w:val="0"/>
              <w:adjustRightInd w:val="0"/>
              <w:snapToGrid w:val="0"/>
              <w:rPr>
                <w:rFonts w:ascii="Times New Roman" w:hAnsi="Times New Roman" w:eastAsiaTheme="minorEastAsia"/>
                <w:color w:val="000000"/>
                <w:kern w:val="0"/>
              </w:rPr>
            </w:pPr>
            <w:r>
              <w:rPr>
                <w:rFonts w:ascii="Times New Roman" w:hAnsi="Times New Roman" w:eastAsiaTheme="minorEastAsia"/>
                <w:color w:val="000000"/>
                <w:kern w:val="0"/>
              </w:rPr>
              <w:t>内河，机器处所油污水，2021年1月1日之前建造的船舶执行石油类最高容许浓度≤15mg/L或收集并排入接收设施；2021年1月1日及以后建造的船舶收集并排入接收设施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w:t>
            </w:r>
          </w:p>
        </w:tc>
        <w:tc>
          <w:tcPr>
            <w:tcW w:w="54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船舶生活污水</w:t>
            </w:r>
          </w:p>
        </w:tc>
        <w:tc>
          <w:tcPr>
            <w:tcW w:w="3926" w:type="pct"/>
            <w:vAlign w:val="center"/>
          </w:tcPr>
          <w:p>
            <w:pPr>
              <w:autoSpaceDE w:val="0"/>
              <w:autoSpaceDN w:val="0"/>
              <w:adjustRightInd w:val="0"/>
              <w:snapToGrid w:val="0"/>
              <w:rPr>
                <w:rFonts w:ascii="Times New Roman" w:hAnsi="Times New Roman" w:eastAsiaTheme="minorEastAsia"/>
                <w:color w:val="000000"/>
                <w:kern w:val="0"/>
              </w:rPr>
            </w:pPr>
            <w:r>
              <w:rPr>
                <w:rFonts w:ascii="Times New Roman" w:hAnsi="Times New Roman" w:eastAsiaTheme="minorEastAsia"/>
                <w:color w:val="000000"/>
                <w:kern w:val="0"/>
              </w:rPr>
              <w:t>内河，利用船载收集装置收集排入接收设施。或利用船载生活污水处理装置处理达到如下标准排放：</w:t>
            </w:r>
          </w:p>
          <w:p>
            <w:pPr>
              <w:autoSpaceDE w:val="0"/>
              <w:autoSpaceDN w:val="0"/>
              <w:adjustRightInd w:val="0"/>
              <w:snapToGrid w:val="0"/>
              <w:ind w:firstLine="210" w:firstLineChars="100"/>
              <w:rPr>
                <w:rFonts w:ascii="Times New Roman" w:hAnsi="Times New Roman" w:eastAsiaTheme="minorEastAsia"/>
                <w:color w:val="000000"/>
                <w:kern w:val="0"/>
              </w:rPr>
            </w:pPr>
            <w:r>
              <w:rPr>
                <w:rFonts w:hint="eastAsia" w:ascii="宋体" w:hAnsi="宋体" w:cs="宋体"/>
                <w:color w:val="000000"/>
                <w:kern w:val="0"/>
              </w:rPr>
              <w:t>⑴</w:t>
            </w:r>
            <w:r>
              <w:rPr>
                <w:rFonts w:ascii="Times New Roman" w:hAnsi="Times New Roman" w:eastAsiaTheme="minorEastAsia"/>
                <w:color w:val="000000"/>
                <w:kern w:val="0"/>
              </w:rPr>
              <w:t xml:space="preserve"> 2012年1月1日以前安装含更换生活污水处理装置的船舶执行BOD</w:t>
            </w:r>
            <w:r>
              <w:rPr>
                <w:rFonts w:ascii="Times New Roman" w:hAnsi="Times New Roman" w:eastAsiaTheme="minorEastAsia"/>
                <w:color w:val="000000"/>
                <w:kern w:val="0"/>
                <w:vertAlign w:val="subscript"/>
              </w:rPr>
              <w:t>5</w:t>
            </w:r>
            <w:r>
              <w:rPr>
                <w:rFonts w:ascii="Times New Roman" w:hAnsi="Times New Roman" w:eastAsiaTheme="minorEastAsia"/>
                <w:color w:val="000000"/>
                <w:kern w:val="0"/>
              </w:rPr>
              <w:t>最高容许浓度≤50mg/L；</w:t>
            </w:r>
          </w:p>
          <w:p>
            <w:pPr>
              <w:autoSpaceDE w:val="0"/>
              <w:autoSpaceDN w:val="0"/>
              <w:adjustRightInd w:val="0"/>
              <w:snapToGrid w:val="0"/>
              <w:ind w:firstLine="210" w:firstLineChars="100"/>
              <w:rPr>
                <w:rFonts w:ascii="Times New Roman" w:hAnsi="Times New Roman" w:eastAsiaTheme="minorEastAsia"/>
                <w:color w:val="000000"/>
                <w:kern w:val="0"/>
              </w:rPr>
            </w:pPr>
            <w:r>
              <w:rPr>
                <w:rFonts w:hint="eastAsia" w:ascii="宋体" w:hAnsi="宋体" w:cs="宋体"/>
                <w:color w:val="000000"/>
                <w:kern w:val="0"/>
              </w:rPr>
              <w:t>⑵</w:t>
            </w:r>
            <w:r>
              <w:rPr>
                <w:rFonts w:ascii="Times New Roman" w:hAnsi="Times New Roman" w:eastAsiaTheme="minorEastAsia"/>
                <w:color w:val="000000"/>
                <w:kern w:val="0"/>
              </w:rPr>
              <w:t xml:space="preserve"> 2012年1月1日及以后安装含更换生活污水处理装置的船舶执行BOD</w:t>
            </w:r>
            <w:r>
              <w:rPr>
                <w:rFonts w:ascii="Times New Roman" w:hAnsi="Times New Roman" w:eastAsiaTheme="minorEastAsia"/>
                <w:color w:val="000000"/>
                <w:kern w:val="0"/>
                <w:vertAlign w:val="subscript"/>
              </w:rPr>
              <w:t>5</w:t>
            </w:r>
            <w:r>
              <w:rPr>
                <w:rFonts w:ascii="Times New Roman" w:hAnsi="Times New Roman" w:eastAsiaTheme="minorEastAsia"/>
                <w:color w:val="000000"/>
                <w:kern w:val="0"/>
              </w:rPr>
              <w:t>最高容许浓度≤25mg/L、COD</w:t>
            </w:r>
            <w:r>
              <w:rPr>
                <w:rFonts w:ascii="Times New Roman" w:hAnsi="Times New Roman" w:eastAsiaTheme="minorEastAsia"/>
                <w:color w:val="000000"/>
                <w:kern w:val="0"/>
                <w:sz w:val="13"/>
                <w:szCs w:val="13"/>
              </w:rPr>
              <w:t>CR</w:t>
            </w:r>
            <w:r>
              <w:rPr>
                <w:rFonts w:ascii="Times New Roman" w:hAnsi="Times New Roman" w:eastAsiaTheme="minorEastAsia"/>
                <w:color w:val="000000"/>
                <w:kern w:val="0"/>
              </w:rPr>
              <w:t>最高容许浓度≤125mg/L</w:t>
            </w:r>
          </w:p>
        </w:tc>
      </w:tr>
    </w:tbl>
    <w:p>
      <w:pPr>
        <w:adjustRightInd w:val="0"/>
        <w:snapToGrid w:val="0"/>
        <w:spacing w:line="360" w:lineRule="auto"/>
        <w:ind w:firstLine="480" w:firstLineChars="200"/>
        <w:rPr>
          <w:rFonts w:ascii="Times New Roman" w:hAnsi="Times New Roman" w:eastAsiaTheme="minorEastAsia"/>
          <w:color w:val="000000"/>
          <w:sz w:val="24"/>
          <w:szCs w:val="24"/>
        </w:rPr>
      </w:pP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趸船污水由管道输送至后方码头大院内污水处理设施处理（污水处理设施在“华能电厂节水与废水综合治理项目”中列支，但与本次提质改造同步</w:t>
      </w:r>
      <w:r>
        <w:rPr>
          <w:rFonts w:ascii="Times New Roman" w:hAnsi="Times New Roman" w:eastAsiaTheme="minorEastAsia"/>
          <w:color w:val="000000" w:themeColor="text1"/>
          <w:sz w:val="24"/>
          <w:szCs w:val="24"/>
          <w14:textFill>
            <w14:solidFill>
              <w14:schemeClr w14:val="tx1"/>
            </w14:solidFill>
          </w14:textFill>
        </w:rPr>
        <w:t>实施</w:t>
      </w:r>
      <w:r>
        <w:rPr>
          <w:rFonts w:ascii="Times New Roman" w:hAnsi="Times New Roman" w:eastAsiaTheme="minorEastAsia"/>
          <w:color w:val="000000"/>
          <w:sz w:val="24"/>
          <w:szCs w:val="24"/>
        </w:rPr>
        <w:t>）。</w:t>
      </w:r>
      <w:r>
        <w:rPr>
          <w:rFonts w:ascii="Times New Roman" w:hAnsi="Times New Roman" w:eastAsiaTheme="minorEastAsia"/>
          <w:color w:val="000000" w:themeColor="text1"/>
          <w:sz w:val="24"/>
          <w:szCs w:val="24"/>
          <w14:textFill>
            <w14:solidFill>
              <w14:schemeClr w14:val="tx1"/>
            </w14:solidFill>
          </w14:textFill>
        </w:rPr>
        <w:t>趸船装卸区四周设收</w:t>
      </w:r>
      <w:r>
        <w:rPr>
          <w:rFonts w:ascii="Times New Roman" w:hAnsi="Times New Roman" w:eastAsiaTheme="minorEastAsia"/>
          <w:color w:val="000000"/>
          <w:sz w:val="24"/>
          <w:szCs w:val="24"/>
        </w:rPr>
        <w:t>集坎</w:t>
      </w:r>
      <w:r>
        <w:rPr>
          <w:rFonts w:ascii="Times New Roman" w:hAnsi="Times New Roman" w:eastAsiaTheme="minorEastAsia"/>
          <w:color w:val="000000" w:themeColor="text1"/>
          <w:sz w:val="24"/>
          <w:szCs w:val="24"/>
          <w14:textFill>
            <w14:solidFill>
              <w14:schemeClr w14:val="tx1"/>
            </w14:solidFill>
          </w14:textFill>
        </w:rPr>
        <w:t>，在趸船内设煤水收集池（包括沉淀池与泵池），收集坎内初期雨水和冲洗废水经收集流入收集池中，经增压管道泵至后方码头院内的散货污水处理站；</w:t>
      </w:r>
      <w:r>
        <w:rPr>
          <w:rFonts w:ascii="Times New Roman" w:hAnsi="Times New Roman" w:eastAsiaTheme="minorEastAsia"/>
          <w:kern w:val="0"/>
          <w:sz w:val="24"/>
          <w:szCs w:val="24"/>
        </w:rPr>
        <w:t>码头趸船生活污水</w:t>
      </w:r>
      <w:r>
        <w:rPr>
          <w:rFonts w:ascii="Times New Roman" w:hAnsi="Times New Roman" w:eastAsiaTheme="minorEastAsia"/>
          <w:color w:val="000000" w:themeColor="text1"/>
          <w:sz w:val="24"/>
          <w:szCs w:val="24"/>
          <w14:textFill>
            <w14:solidFill>
              <w14:schemeClr w14:val="tx1"/>
            </w14:solidFill>
          </w14:textFill>
        </w:rPr>
        <w:t>经生活污水收集柜收集后，经生活污水输送泵至后方码头院内的生活污水处理站。生产和生活废水经沉</w:t>
      </w:r>
      <w:r>
        <w:rPr>
          <w:rFonts w:ascii="Times New Roman" w:hAnsi="Times New Roman" w:eastAsiaTheme="minorEastAsia"/>
          <w:kern w:val="0"/>
          <w:sz w:val="24"/>
          <w:szCs w:val="24"/>
        </w:rPr>
        <w:t>淀、调节、隔油等处理达到《污水综合排放标准》（GB8978-1996）一级标准水质要求后通过污水管网进入华能厂区蓄水池，用于华能电厂总厂区的绿化用水。</w:t>
      </w:r>
      <w:r>
        <w:rPr>
          <w:rFonts w:ascii="Times New Roman" w:hAnsi="Times New Roman" w:eastAsiaTheme="minorEastAsia"/>
          <w:color w:val="000000"/>
          <w:sz w:val="24"/>
          <w:szCs w:val="24"/>
        </w:rPr>
        <w:t>排放标准具体见表2.6-7。</w:t>
      </w:r>
    </w:p>
    <w:p>
      <w:pPr>
        <w:tabs>
          <w:tab w:val="left" w:pos="900"/>
        </w:tabs>
        <w:wordWrap w:val="0"/>
        <w:snapToGrid w:val="0"/>
        <w:spacing w:line="276" w:lineRule="auto"/>
        <w:jc w:val="right"/>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 xml:space="preserve">表2.6-7  </w:t>
      </w:r>
      <w:r>
        <w:rPr>
          <w:rFonts w:ascii="Times New Roman" w:hAnsi="Times New Roman" w:eastAsiaTheme="minorEastAsia"/>
          <w:b/>
          <w:color w:val="000000" w:themeColor="text1"/>
          <w:sz w:val="24"/>
          <w:szCs w:val="24"/>
          <w14:textFill>
            <w14:solidFill>
              <w14:schemeClr w14:val="tx1"/>
            </w14:solidFill>
          </w14:textFill>
        </w:rPr>
        <w:t>《污水综合排放标准》</w:t>
      </w:r>
      <w:r>
        <w:rPr>
          <w:rFonts w:ascii="Times New Roman" w:hAnsi="Times New Roman" w:eastAsiaTheme="minorEastAsia"/>
          <w:b/>
          <w:color w:val="000000"/>
          <w:sz w:val="24"/>
          <w:szCs w:val="24"/>
        </w:rPr>
        <w:t xml:space="preserve">     </w:t>
      </w:r>
      <w:r>
        <w:rPr>
          <w:rFonts w:ascii="Times New Roman" w:hAnsi="Times New Roman" w:eastAsiaTheme="minorEastAsia"/>
          <w:color w:val="000000"/>
          <w:sz w:val="24"/>
          <w:szCs w:val="24"/>
        </w:rPr>
        <w:t>单位：mg/L（pH无量纲）</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661"/>
        <w:gridCol w:w="1119"/>
        <w:gridCol w:w="840"/>
        <w:gridCol w:w="838"/>
        <w:gridCol w:w="838"/>
        <w:gridCol w:w="838"/>
        <w:gridCol w:w="981"/>
        <w:gridCol w:w="98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8" w:hRule="atLeast"/>
          <w:tblHeader/>
          <w:jc w:val="center"/>
        </w:trPr>
        <w:tc>
          <w:tcPr>
            <w:tcW w:w="1460"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标准名称</w:t>
            </w:r>
          </w:p>
        </w:tc>
        <w:tc>
          <w:tcPr>
            <w:tcW w:w="614"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执行级别</w:t>
            </w:r>
          </w:p>
        </w:tc>
        <w:tc>
          <w:tcPr>
            <w:tcW w:w="461"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pH</w:t>
            </w:r>
          </w:p>
        </w:tc>
        <w:tc>
          <w:tcPr>
            <w:tcW w:w="460"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SS</w:t>
            </w:r>
          </w:p>
        </w:tc>
        <w:tc>
          <w:tcPr>
            <w:tcW w:w="460"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BOD</w:t>
            </w:r>
            <w:r>
              <w:rPr>
                <w:rFonts w:ascii="Times New Roman" w:hAnsi="Times New Roman" w:eastAsiaTheme="minorEastAsia"/>
                <w:b/>
                <w:color w:val="000000"/>
                <w:kern w:val="0"/>
                <w:vertAlign w:val="subscript"/>
              </w:rPr>
              <w:t>5</w:t>
            </w:r>
          </w:p>
        </w:tc>
        <w:tc>
          <w:tcPr>
            <w:tcW w:w="460"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COD</w:t>
            </w:r>
          </w:p>
        </w:tc>
        <w:tc>
          <w:tcPr>
            <w:tcW w:w="538"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石油类</w:t>
            </w:r>
          </w:p>
        </w:tc>
        <w:tc>
          <w:tcPr>
            <w:tcW w:w="540"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NH</w:t>
            </w:r>
            <w:r>
              <w:rPr>
                <w:rFonts w:ascii="Times New Roman" w:hAnsi="Times New Roman" w:eastAsiaTheme="minorEastAsia"/>
                <w:b/>
                <w:color w:val="000000"/>
                <w:kern w:val="0"/>
                <w:sz w:val="13"/>
                <w:szCs w:val="13"/>
              </w:rPr>
              <w:t>3</w:t>
            </w:r>
            <w:r>
              <w:rPr>
                <w:rFonts w:ascii="Times New Roman" w:hAnsi="Times New Roman" w:eastAsiaTheme="minorEastAsia"/>
                <w:b/>
                <w:color w:val="000000"/>
                <w:kern w:val="0"/>
              </w:rPr>
              <w:t>-N</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146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《污水综合排放标准》（GB8978-1996）</w:t>
            </w:r>
          </w:p>
        </w:tc>
        <w:tc>
          <w:tcPr>
            <w:tcW w:w="61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一级</w:t>
            </w:r>
          </w:p>
        </w:tc>
        <w:tc>
          <w:tcPr>
            <w:tcW w:w="46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w:t>
            </w:r>
            <w:r>
              <w:rPr>
                <w:rFonts w:hint="eastAsia" w:ascii="Times New Roman" w:hAnsi="Times New Roman" w:eastAsiaTheme="minorEastAsia"/>
                <w:color w:val="000000"/>
                <w:kern w:val="0"/>
                <w:lang w:val="en-US" w:eastAsia="zh-CN"/>
              </w:rPr>
              <w:t>~</w:t>
            </w:r>
            <w:r>
              <w:rPr>
                <w:rFonts w:ascii="Times New Roman" w:hAnsi="Times New Roman" w:eastAsiaTheme="minorEastAsia"/>
                <w:color w:val="000000"/>
                <w:kern w:val="0"/>
              </w:rPr>
              <w:t>9</w:t>
            </w:r>
          </w:p>
        </w:tc>
        <w:tc>
          <w:tcPr>
            <w:tcW w:w="46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≤70</w:t>
            </w:r>
          </w:p>
        </w:tc>
        <w:tc>
          <w:tcPr>
            <w:tcW w:w="46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≤20</w:t>
            </w:r>
          </w:p>
        </w:tc>
        <w:tc>
          <w:tcPr>
            <w:tcW w:w="46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≤100</w:t>
            </w:r>
          </w:p>
        </w:tc>
        <w:tc>
          <w:tcPr>
            <w:tcW w:w="53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w:t>
            </w:r>
          </w:p>
        </w:tc>
        <w:tc>
          <w:tcPr>
            <w:tcW w:w="54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w:t>
            </w:r>
          </w:p>
        </w:tc>
      </w:tr>
    </w:tbl>
    <w:p>
      <w:pPr>
        <w:adjustRightInd w:val="0"/>
        <w:snapToGrid w:val="0"/>
        <w:spacing w:line="360" w:lineRule="auto"/>
        <w:rPr>
          <w:rFonts w:ascii="Times New Roman" w:hAnsi="Times New Roman" w:eastAsiaTheme="minorEastAsia"/>
          <w:kern w:val="0"/>
          <w:sz w:val="24"/>
          <w:szCs w:val="24"/>
        </w:rPr>
      </w:pPr>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2、废气</w:t>
      </w:r>
    </w:p>
    <w:p>
      <w:pPr>
        <w:adjustRightInd w:val="0"/>
        <w:snapToGrid w:val="0"/>
        <w:spacing w:line="360" w:lineRule="auto"/>
        <w:ind w:firstLine="480" w:firstLineChars="200"/>
        <w:rPr>
          <w:rFonts w:ascii="Times New Roman" w:hAnsi="Times New Roman"/>
          <w:kern w:val="0"/>
          <w:sz w:val="20"/>
          <w:szCs w:val="20"/>
        </w:rPr>
      </w:pPr>
      <w:r>
        <w:rPr>
          <w:rFonts w:ascii="Times New Roman" w:hAnsi="Times New Roman" w:eastAsiaTheme="minorEastAsia"/>
          <w:color w:val="000000" w:themeColor="text1"/>
          <w:sz w:val="24"/>
          <w:szCs w:val="24"/>
          <w14:textFill>
            <w14:solidFill>
              <w14:schemeClr w14:val="tx1"/>
            </w14:solidFill>
          </w14:textFill>
        </w:rPr>
        <w:t>项目营期产生的主要大气污染物是TSP，</w:t>
      </w:r>
      <w:r>
        <w:rPr>
          <w:rFonts w:ascii="Times New Roman" w:hAnsi="Times New Roman"/>
          <w:kern w:val="0"/>
          <w:sz w:val="24"/>
          <w:szCs w:val="24"/>
        </w:rPr>
        <w:t>大气污染物排放执行《大气污染物综合排放标准》（</w:t>
      </w:r>
      <w:r>
        <w:rPr>
          <w:rFonts w:ascii="Times New Roman" w:hAnsi="Times New Roman" w:eastAsia="TimesNewRomanPSMT"/>
          <w:kern w:val="0"/>
          <w:sz w:val="24"/>
          <w:szCs w:val="24"/>
        </w:rPr>
        <w:t>GB16297-1996</w:t>
      </w:r>
      <w:r>
        <w:rPr>
          <w:rFonts w:ascii="Times New Roman" w:hAnsi="Times New Roman"/>
          <w:kern w:val="0"/>
          <w:sz w:val="24"/>
          <w:szCs w:val="24"/>
        </w:rPr>
        <w:t>）表</w:t>
      </w:r>
      <w:r>
        <w:rPr>
          <w:rFonts w:ascii="Times New Roman" w:hAnsi="Times New Roman" w:eastAsia="TimesNewRomanPSMT"/>
          <w:kern w:val="0"/>
          <w:sz w:val="24"/>
          <w:szCs w:val="24"/>
        </w:rPr>
        <w:t>2</w:t>
      </w:r>
      <w:r>
        <w:rPr>
          <w:rFonts w:ascii="Times New Roman" w:hAnsi="Times New Roman"/>
          <w:kern w:val="0"/>
          <w:sz w:val="24"/>
          <w:szCs w:val="24"/>
        </w:rPr>
        <w:t>中二级标准，排放标准见表</w:t>
      </w:r>
      <w:r>
        <w:rPr>
          <w:rFonts w:ascii="Times New Roman" w:hAnsi="Times New Roman" w:eastAsia="TimesNewRomanPSMT"/>
          <w:kern w:val="0"/>
          <w:sz w:val="24"/>
          <w:szCs w:val="24"/>
        </w:rPr>
        <w:t>2.6-8</w:t>
      </w:r>
      <w:r>
        <w:rPr>
          <w:rFonts w:ascii="Times New Roman" w:hAnsi="Times New Roman"/>
          <w:kern w:val="0"/>
          <w:sz w:val="24"/>
          <w:szCs w:val="24"/>
        </w:rPr>
        <w:t>。</w:t>
      </w:r>
    </w:p>
    <w:p>
      <w:pPr>
        <w:tabs>
          <w:tab w:val="left" w:pos="900"/>
        </w:tabs>
        <w:snapToGrid w:val="0"/>
        <w:spacing w:line="276" w:lineRule="auto"/>
        <w:jc w:val="center"/>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表2.6-8  项目厂界内无组织排放限值一览表</w:t>
      </w:r>
    </w:p>
    <w:tbl>
      <w:tblPr>
        <w:tblStyle w:val="71"/>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380"/>
        <w:gridCol w:w="1150"/>
        <w:gridCol w:w="2240"/>
        <w:gridCol w:w="2038"/>
        <w:gridCol w:w="228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58" w:type="pct"/>
            <w:vAlign w:val="center"/>
          </w:tcPr>
          <w:p>
            <w:pPr>
              <w:autoSpaceDE w:val="0"/>
              <w:autoSpaceDN w:val="0"/>
              <w:adjustRightInd w:val="0"/>
              <w:snapToGrid w:val="0"/>
              <w:jc w:val="center"/>
              <w:rPr>
                <w:rFonts w:ascii="Times New Roman" w:hAnsi="Times New Roman" w:eastAsiaTheme="minorEastAsia"/>
                <w:b/>
                <w:color w:val="000000" w:themeColor="text1"/>
                <w:kern w:val="0"/>
                <w14:textFill>
                  <w14:solidFill>
                    <w14:schemeClr w14:val="tx1"/>
                  </w14:solidFill>
                </w14:textFill>
              </w:rPr>
            </w:pPr>
            <w:r>
              <w:rPr>
                <w:rFonts w:ascii="Times New Roman" w:hAnsi="Times New Roman" w:eastAsiaTheme="minorEastAsia"/>
                <w:b/>
                <w:color w:val="000000" w:themeColor="text1"/>
                <w:kern w:val="0"/>
                <w14:textFill>
                  <w14:solidFill>
                    <w14:schemeClr w14:val="tx1"/>
                  </w14:solidFill>
                </w14:textFill>
              </w:rPr>
              <w:t>污染物名称</w:t>
            </w:r>
          </w:p>
        </w:tc>
        <w:tc>
          <w:tcPr>
            <w:tcW w:w="632" w:type="pct"/>
            <w:vAlign w:val="center"/>
          </w:tcPr>
          <w:p>
            <w:pPr>
              <w:autoSpaceDE w:val="0"/>
              <w:autoSpaceDN w:val="0"/>
              <w:adjustRightInd w:val="0"/>
              <w:snapToGrid w:val="0"/>
              <w:jc w:val="center"/>
              <w:rPr>
                <w:rFonts w:ascii="Times New Roman" w:hAnsi="Times New Roman" w:eastAsiaTheme="minorEastAsia"/>
                <w:b/>
                <w:color w:val="000000" w:themeColor="text1"/>
                <w:kern w:val="0"/>
                <w14:textFill>
                  <w14:solidFill>
                    <w14:schemeClr w14:val="tx1"/>
                  </w14:solidFill>
                </w14:textFill>
              </w:rPr>
            </w:pPr>
            <w:r>
              <w:rPr>
                <w:rFonts w:ascii="Times New Roman" w:hAnsi="Times New Roman" w:eastAsiaTheme="minorEastAsia"/>
                <w:b/>
                <w:color w:val="000000" w:themeColor="text1"/>
                <w:kern w:val="0"/>
                <w14:textFill>
                  <w14:solidFill>
                    <w14:schemeClr w14:val="tx1"/>
                  </w14:solidFill>
                </w14:textFill>
              </w:rPr>
              <w:t>排放方式</w:t>
            </w:r>
          </w:p>
        </w:tc>
        <w:tc>
          <w:tcPr>
            <w:tcW w:w="1231" w:type="pct"/>
            <w:vAlign w:val="center"/>
          </w:tcPr>
          <w:p>
            <w:pPr>
              <w:autoSpaceDE w:val="0"/>
              <w:autoSpaceDN w:val="0"/>
              <w:adjustRightInd w:val="0"/>
              <w:snapToGrid w:val="0"/>
              <w:jc w:val="center"/>
              <w:rPr>
                <w:rFonts w:ascii="Times New Roman" w:hAnsi="Times New Roman" w:eastAsiaTheme="minorEastAsia"/>
                <w:b/>
                <w:color w:val="000000" w:themeColor="text1"/>
                <w:kern w:val="0"/>
                <w14:textFill>
                  <w14:solidFill>
                    <w14:schemeClr w14:val="tx1"/>
                  </w14:solidFill>
                </w14:textFill>
              </w:rPr>
            </w:pPr>
            <w:r>
              <w:rPr>
                <w:rFonts w:ascii="Times New Roman" w:hAnsi="Times New Roman" w:eastAsiaTheme="minorEastAsia"/>
                <w:b/>
                <w:color w:val="000000" w:themeColor="text1"/>
                <w:kern w:val="0"/>
                <w14:textFill>
                  <w14:solidFill>
                    <w14:schemeClr w14:val="tx1"/>
                  </w14:solidFill>
                </w14:textFill>
              </w:rPr>
              <w:t>排放限值</w:t>
            </w:r>
            <w:r>
              <w:rPr>
                <w:rFonts w:hint="eastAsia" w:ascii="Times New Roman" w:hAnsi="Times New Roman" w:eastAsiaTheme="minorEastAsia"/>
                <w:b/>
                <w:color w:val="000000" w:themeColor="text1"/>
                <w:kern w:val="0"/>
                <w:lang w:eastAsia="zh-CN"/>
                <w14:textFill>
                  <w14:solidFill>
                    <w14:schemeClr w14:val="tx1"/>
                  </w14:solidFill>
                </w14:textFill>
              </w:rPr>
              <w:t>（</w:t>
            </w:r>
            <w:r>
              <w:rPr>
                <w:rFonts w:ascii="Times New Roman" w:hAnsi="Times New Roman" w:eastAsiaTheme="minorEastAsia"/>
                <w:b/>
                <w:bCs/>
                <w:color w:val="000000" w:themeColor="text1"/>
                <w:kern w:val="0"/>
                <w14:textFill>
                  <w14:solidFill>
                    <w14:schemeClr w14:val="tx1"/>
                  </w14:solidFill>
                </w14:textFill>
              </w:rPr>
              <w:t>mg/m</w:t>
            </w:r>
            <w:r>
              <w:rPr>
                <w:rFonts w:ascii="Times New Roman" w:hAnsi="Times New Roman" w:eastAsiaTheme="minorEastAsia"/>
                <w:b/>
                <w:bCs/>
                <w:color w:val="000000" w:themeColor="text1"/>
                <w:kern w:val="0"/>
                <w:vertAlign w:val="superscript"/>
                <w14:textFill>
                  <w14:solidFill>
                    <w14:schemeClr w14:val="tx1"/>
                  </w14:solidFill>
                </w14:textFill>
              </w:rPr>
              <w:t>3</w:t>
            </w:r>
            <w:r>
              <w:rPr>
                <w:rFonts w:hint="eastAsia" w:ascii="Times New Roman" w:hAnsi="Times New Roman" w:eastAsiaTheme="minorEastAsia"/>
                <w:b/>
                <w:color w:val="000000" w:themeColor="text1"/>
                <w:kern w:val="0"/>
                <w:lang w:eastAsia="zh-CN"/>
                <w14:textFill>
                  <w14:solidFill>
                    <w14:schemeClr w14:val="tx1"/>
                  </w14:solidFill>
                </w14:textFill>
              </w:rPr>
              <w:t>）</w:t>
            </w:r>
          </w:p>
        </w:tc>
        <w:tc>
          <w:tcPr>
            <w:tcW w:w="1120" w:type="pct"/>
            <w:vAlign w:val="center"/>
          </w:tcPr>
          <w:p>
            <w:pPr>
              <w:autoSpaceDE w:val="0"/>
              <w:autoSpaceDN w:val="0"/>
              <w:adjustRightInd w:val="0"/>
              <w:snapToGrid w:val="0"/>
              <w:jc w:val="center"/>
              <w:rPr>
                <w:rFonts w:ascii="Times New Roman" w:hAnsi="Times New Roman" w:eastAsiaTheme="minorEastAsia"/>
                <w:b/>
                <w:color w:val="000000" w:themeColor="text1"/>
                <w:kern w:val="0"/>
                <w14:textFill>
                  <w14:solidFill>
                    <w14:schemeClr w14:val="tx1"/>
                  </w14:solidFill>
                </w14:textFill>
              </w:rPr>
            </w:pPr>
            <w:r>
              <w:rPr>
                <w:rFonts w:ascii="Times New Roman" w:hAnsi="Times New Roman" w:eastAsiaTheme="minorEastAsia"/>
                <w:b/>
                <w:color w:val="000000" w:themeColor="text1"/>
                <w:kern w:val="0"/>
                <w14:textFill>
                  <w14:solidFill>
                    <w14:schemeClr w14:val="tx1"/>
                  </w14:solidFill>
                </w14:textFill>
              </w:rPr>
              <w:t>排放速率</w:t>
            </w:r>
            <w:r>
              <w:rPr>
                <w:rFonts w:hint="eastAsia" w:ascii="Times New Roman" w:hAnsi="Times New Roman" w:eastAsiaTheme="minorEastAsia"/>
                <w:b/>
                <w:color w:val="000000" w:themeColor="text1"/>
                <w:kern w:val="0"/>
                <w:lang w:eastAsia="zh-CN"/>
                <w14:textFill>
                  <w14:solidFill>
                    <w14:schemeClr w14:val="tx1"/>
                  </w14:solidFill>
                </w14:textFill>
              </w:rPr>
              <w:t>（</w:t>
            </w:r>
            <w:r>
              <w:rPr>
                <w:rFonts w:ascii="Times New Roman" w:hAnsi="Times New Roman" w:eastAsiaTheme="minorEastAsia"/>
                <w:b/>
                <w:bCs/>
                <w:color w:val="000000" w:themeColor="text1"/>
                <w:kern w:val="0"/>
                <w14:textFill>
                  <w14:solidFill>
                    <w14:schemeClr w14:val="tx1"/>
                  </w14:solidFill>
                </w14:textFill>
              </w:rPr>
              <w:t>kg/h</w:t>
            </w:r>
            <w:r>
              <w:rPr>
                <w:rFonts w:hint="eastAsia" w:ascii="Times New Roman" w:hAnsi="Times New Roman" w:eastAsiaTheme="minorEastAsia"/>
                <w:b/>
                <w:color w:val="000000" w:themeColor="text1"/>
                <w:kern w:val="0"/>
                <w:lang w:eastAsia="zh-CN"/>
                <w14:textFill>
                  <w14:solidFill>
                    <w14:schemeClr w14:val="tx1"/>
                  </w14:solidFill>
                </w14:textFill>
              </w:rPr>
              <w:t>）</w:t>
            </w:r>
          </w:p>
        </w:tc>
        <w:tc>
          <w:tcPr>
            <w:tcW w:w="1257" w:type="pct"/>
            <w:vAlign w:val="center"/>
          </w:tcPr>
          <w:p>
            <w:pPr>
              <w:autoSpaceDE w:val="0"/>
              <w:autoSpaceDN w:val="0"/>
              <w:adjustRightInd w:val="0"/>
              <w:snapToGrid w:val="0"/>
              <w:jc w:val="center"/>
              <w:rPr>
                <w:rFonts w:ascii="Times New Roman" w:hAnsi="Times New Roman" w:eastAsiaTheme="minorEastAsia"/>
                <w:b/>
                <w:color w:val="000000" w:themeColor="text1"/>
                <w:kern w:val="0"/>
                <w14:textFill>
                  <w14:solidFill>
                    <w14:schemeClr w14:val="tx1"/>
                  </w14:solidFill>
                </w14:textFill>
              </w:rPr>
            </w:pPr>
            <w:r>
              <w:rPr>
                <w:rFonts w:ascii="Times New Roman" w:hAnsi="Times New Roman" w:eastAsiaTheme="minorEastAsia"/>
                <w:b/>
                <w:color w:val="000000" w:themeColor="text1"/>
                <w:kern w:val="0"/>
                <w14:textFill>
                  <w14:solidFill>
                    <w14:schemeClr w14:val="tx1"/>
                  </w14:solidFill>
                </w14:textFill>
              </w:rPr>
              <w:t>限值含义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58" w:type="pct"/>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TSP</w:t>
            </w:r>
          </w:p>
        </w:tc>
        <w:tc>
          <w:tcPr>
            <w:tcW w:w="632" w:type="pct"/>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无组织</w:t>
            </w:r>
          </w:p>
        </w:tc>
        <w:tc>
          <w:tcPr>
            <w:tcW w:w="1231" w:type="pct"/>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1.0</w:t>
            </w:r>
          </w:p>
        </w:tc>
        <w:tc>
          <w:tcPr>
            <w:tcW w:w="1120" w:type="pct"/>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w:t>
            </w:r>
          </w:p>
        </w:tc>
        <w:tc>
          <w:tcPr>
            <w:tcW w:w="1257" w:type="pct"/>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厂界监控点浓度限值</w:t>
            </w:r>
          </w:p>
        </w:tc>
      </w:tr>
    </w:tbl>
    <w:p>
      <w:pPr>
        <w:adjustRightInd w:val="0"/>
        <w:snapToGrid w:val="0"/>
        <w:spacing w:line="360" w:lineRule="auto"/>
        <w:ind w:firstLine="480" w:firstLineChars="200"/>
        <w:rPr>
          <w:rFonts w:ascii="Times New Roman" w:hAnsi="Times New Roman" w:eastAsiaTheme="minorEastAsia"/>
          <w:color w:val="000000"/>
          <w:sz w:val="24"/>
          <w:szCs w:val="24"/>
        </w:rPr>
      </w:pPr>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3、噪声</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营运期项目靠近长江侧边界噪声排放标准执行《工业企业厂界环境噪声排放标准》（GB12348-2008）4类标准，其他厂界执行3类标准，具体见表2.6-9；施工期执行《建筑施工场界环境噪声排放标准》（GB12523-2011）的标准，具体见表2.6-10。</w:t>
      </w:r>
    </w:p>
    <w:p>
      <w:pPr>
        <w:tabs>
          <w:tab w:val="left" w:pos="900"/>
        </w:tabs>
        <w:wordWrap w:val="0"/>
        <w:snapToGrid w:val="0"/>
        <w:spacing w:line="276" w:lineRule="auto"/>
        <w:jc w:val="right"/>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 xml:space="preserve">表2.6-9  工业企业厂界环境噪声排放标准         </w:t>
      </w:r>
      <w:r>
        <w:rPr>
          <w:rFonts w:ascii="Times New Roman" w:hAnsi="Times New Roman" w:eastAsiaTheme="minorEastAsia"/>
          <w:color w:val="000000"/>
          <w:sz w:val="24"/>
          <w:szCs w:val="24"/>
        </w:rPr>
        <w:t>单位dB(A)</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038"/>
        <w:gridCol w:w="3034"/>
        <w:gridCol w:w="302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669"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类别</w:t>
            </w:r>
          </w:p>
        </w:tc>
        <w:tc>
          <w:tcPr>
            <w:tcW w:w="1667"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昼间</w:t>
            </w:r>
          </w:p>
        </w:tc>
        <w:tc>
          <w:tcPr>
            <w:tcW w:w="1664"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夜间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6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3类</w:t>
            </w:r>
          </w:p>
        </w:tc>
        <w:tc>
          <w:tcPr>
            <w:tcW w:w="16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65</w:t>
            </w:r>
          </w:p>
        </w:tc>
        <w:tc>
          <w:tcPr>
            <w:tcW w:w="166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66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4类</w:t>
            </w:r>
          </w:p>
        </w:tc>
        <w:tc>
          <w:tcPr>
            <w:tcW w:w="16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70</w:t>
            </w:r>
          </w:p>
        </w:tc>
        <w:tc>
          <w:tcPr>
            <w:tcW w:w="166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55</w:t>
            </w:r>
          </w:p>
        </w:tc>
      </w:tr>
    </w:tbl>
    <w:p>
      <w:pPr>
        <w:adjustRightInd w:val="0"/>
        <w:snapToGrid w:val="0"/>
        <w:spacing w:line="360" w:lineRule="auto"/>
        <w:ind w:firstLine="480" w:firstLineChars="200"/>
        <w:rPr>
          <w:rFonts w:ascii="Times New Roman" w:hAnsi="Times New Roman" w:eastAsiaTheme="minorEastAsia"/>
          <w:color w:val="000000"/>
          <w:sz w:val="24"/>
          <w:szCs w:val="24"/>
        </w:rPr>
      </w:pPr>
    </w:p>
    <w:p>
      <w:pPr>
        <w:tabs>
          <w:tab w:val="left" w:pos="900"/>
        </w:tabs>
        <w:wordWrap w:val="0"/>
        <w:snapToGrid w:val="0"/>
        <w:spacing w:line="276" w:lineRule="auto"/>
        <w:jc w:val="right"/>
        <w:rPr>
          <w:rFonts w:ascii="Times New Roman" w:hAnsi="Times New Roman" w:eastAsiaTheme="minorEastAsia"/>
          <w:color w:val="000000"/>
          <w:sz w:val="24"/>
          <w:szCs w:val="24"/>
        </w:rPr>
      </w:pPr>
      <w:r>
        <w:rPr>
          <w:rFonts w:ascii="Times New Roman" w:hAnsi="Times New Roman" w:eastAsiaTheme="minorEastAsia"/>
          <w:b/>
          <w:color w:val="000000"/>
          <w:sz w:val="24"/>
          <w:szCs w:val="24"/>
        </w:rPr>
        <w:t xml:space="preserve">表2.6-10  建筑施工场界噪声限值标准            </w:t>
      </w:r>
      <w:r>
        <w:rPr>
          <w:rFonts w:ascii="Times New Roman" w:hAnsi="Times New Roman" w:eastAsiaTheme="minorEastAsia"/>
          <w:color w:val="000000"/>
          <w:sz w:val="24"/>
          <w:szCs w:val="24"/>
        </w:rPr>
        <w:t>单位dB(A)</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552"/>
        <w:gridCol w:w="45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2"/>
            <w:vAlign w:val="center"/>
          </w:tcPr>
          <w:p>
            <w:pPr>
              <w:autoSpaceDE w:val="0"/>
              <w:autoSpaceDN w:val="0"/>
              <w:adjustRightInd w:val="0"/>
              <w:snapToGrid w:val="0"/>
              <w:jc w:val="center"/>
              <w:rPr>
                <w:rFonts w:ascii="Times New Roman" w:hAnsi="Times New Roman" w:eastAsiaTheme="minorEastAsia"/>
                <w:b/>
                <w:kern w:val="0"/>
                <w:sz w:val="24"/>
                <w:szCs w:val="24"/>
              </w:rPr>
            </w:pPr>
            <w:r>
              <w:rPr>
                <w:rFonts w:ascii="Times New Roman" w:hAnsi="Times New Roman" w:eastAsiaTheme="minorEastAsia"/>
                <w:b/>
                <w:color w:val="000000"/>
                <w:kern w:val="0"/>
              </w:rPr>
              <w:t>噪声限值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01" w:type="pct"/>
            <w:vAlign w:val="center"/>
          </w:tcPr>
          <w:p>
            <w:pPr>
              <w:autoSpaceDE w:val="0"/>
              <w:autoSpaceDN w:val="0"/>
              <w:adjustRightInd w:val="0"/>
              <w:snapToGrid w:val="0"/>
              <w:jc w:val="center"/>
              <w:rPr>
                <w:rFonts w:ascii="Times New Roman" w:hAnsi="Times New Roman" w:eastAsiaTheme="minorEastAsia"/>
                <w:kern w:val="0"/>
                <w:sz w:val="24"/>
                <w:szCs w:val="24"/>
              </w:rPr>
            </w:pPr>
            <w:r>
              <w:rPr>
                <w:rFonts w:ascii="Times New Roman" w:hAnsi="Times New Roman" w:eastAsiaTheme="minorEastAsia"/>
                <w:color w:val="000000"/>
                <w:kern w:val="0"/>
              </w:rPr>
              <w:t>昼间</w:t>
            </w:r>
          </w:p>
        </w:tc>
        <w:tc>
          <w:tcPr>
            <w:tcW w:w="2499" w:type="pct"/>
            <w:vAlign w:val="center"/>
          </w:tcPr>
          <w:p>
            <w:pPr>
              <w:autoSpaceDE w:val="0"/>
              <w:autoSpaceDN w:val="0"/>
              <w:adjustRightInd w:val="0"/>
              <w:snapToGrid w:val="0"/>
              <w:jc w:val="center"/>
              <w:rPr>
                <w:rFonts w:ascii="Times New Roman" w:hAnsi="Times New Roman" w:eastAsiaTheme="minorEastAsia"/>
                <w:kern w:val="0"/>
                <w:sz w:val="24"/>
                <w:szCs w:val="24"/>
              </w:rPr>
            </w:pPr>
            <w:r>
              <w:rPr>
                <w:rFonts w:ascii="Times New Roman" w:hAnsi="Times New Roman" w:eastAsiaTheme="minorEastAsia"/>
                <w:color w:val="000000"/>
                <w:kern w:val="0"/>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01" w:type="pct"/>
            <w:vAlign w:val="center"/>
          </w:tcPr>
          <w:p>
            <w:pPr>
              <w:autoSpaceDE w:val="0"/>
              <w:autoSpaceDN w:val="0"/>
              <w:adjustRightInd w:val="0"/>
              <w:snapToGrid w:val="0"/>
              <w:jc w:val="center"/>
              <w:rPr>
                <w:rFonts w:ascii="Times New Roman" w:hAnsi="Times New Roman" w:eastAsiaTheme="minorEastAsia"/>
                <w:kern w:val="0"/>
                <w:sz w:val="24"/>
                <w:szCs w:val="24"/>
              </w:rPr>
            </w:pPr>
            <w:r>
              <w:rPr>
                <w:rFonts w:ascii="Times New Roman" w:hAnsi="Times New Roman" w:eastAsiaTheme="minorEastAsia"/>
                <w:color w:val="000000"/>
                <w:kern w:val="0"/>
              </w:rPr>
              <w:t>70</w:t>
            </w:r>
          </w:p>
        </w:tc>
        <w:tc>
          <w:tcPr>
            <w:tcW w:w="2499" w:type="pct"/>
            <w:vAlign w:val="center"/>
          </w:tcPr>
          <w:p>
            <w:pPr>
              <w:autoSpaceDE w:val="0"/>
              <w:autoSpaceDN w:val="0"/>
              <w:adjustRightInd w:val="0"/>
              <w:snapToGrid w:val="0"/>
              <w:jc w:val="center"/>
              <w:rPr>
                <w:rFonts w:ascii="Times New Roman" w:hAnsi="Times New Roman" w:eastAsiaTheme="minorEastAsia"/>
                <w:kern w:val="0"/>
                <w:sz w:val="24"/>
                <w:szCs w:val="24"/>
              </w:rPr>
            </w:pPr>
            <w:r>
              <w:rPr>
                <w:rFonts w:ascii="Times New Roman" w:hAnsi="Times New Roman" w:eastAsiaTheme="minorEastAsia"/>
                <w:color w:val="000000"/>
                <w:kern w:val="0"/>
              </w:rPr>
              <w:t>55</w:t>
            </w:r>
          </w:p>
        </w:tc>
      </w:tr>
    </w:tbl>
    <w:p>
      <w:pPr>
        <w:adjustRightInd w:val="0"/>
        <w:snapToGrid w:val="0"/>
        <w:spacing w:line="360" w:lineRule="auto"/>
        <w:ind w:firstLine="480" w:firstLineChars="200"/>
        <w:rPr>
          <w:rFonts w:ascii="Times New Roman" w:hAnsi="Times New Roman" w:eastAsiaTheme="minorEastAsia"/>
          <w:color w:val="000000"/>
          <w:sz w:val="24"/>
          <w:szCs w:val="24"/>
        </w:rPr>
      </w:pPr>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4、固体废物</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船舶垃圾：执行《船舶水污染物排放标准》（GB3552-2018），具体见表2.6-11。</w:t>
      </w: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表2.6-11  船舶水污染物排放标准</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550"/>
        <w:gridCol w:w="45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00" w:type="pct"/>
            <w:vAlign w:val="center"/>
          </w:tcPr>
          <w:p>
            <w:pPr>
              <w:autoSpaceDE w:val="0"/>
              <w:autoSpaceDN w:val="0"/>
              <w:adjustRightInd w:val="0"/>
              <w:snapToGrid w:val="0"/>
              <w:jc w:val="center"/>
              <w:rPr>
                <w:rFonts w:ascii="Times New Roman" w:hAnsi="Times New Roman" w:eastAsiaTheme="minorEastAsia"/>
                <w:b/>
                <w:color w:val="000000"/>
                <w:sz w:val="24"/>
                <w:szCs w:val="24"/>
              </w:rPr>
            </w:pPr>
            <w:r>
              <w:rPr>
                <w:rFonts w:ascii="Times New Roman" w:hAnsi="Times New Roman" w:eastAsiaTheme="minorEastAsia"/>
                <w:b/>
                <w:color w:val="000000"/>
                <w:kern w:val="0"/>
              </w:rPr>
              <w:t>排放物</w:t>
            </w:r>
          </w:p>
        </w:tc>
        <w:tc>
          <w:tcPr>
            <w:tcW w:w="2500" w:type="pct"/>
            <w:vAlign w:val="center"/>
          </w:tcPr>
          <w:p>
            <w:pPr>
              <w:autoSpaceDE w:val="0"/>
              <w:autoSpaceDN w:val="0"/>
              <w:adjustRightInd w:val="0"/>
              <w:snapToGrid w:val="0"/>
              <w:jc w:val="center"/>
              <w:rPr>
                <w:rFonts w:ascii="Times New Roman" w:hAnsi="Times New Roman" w:eastAsiaTheme="minorEastAsia"/>
                <w:b/>
                <w:color w:val="000000"/>
                <w:sz w:val="24"/>
                <w:szCs w:val="24"/>
              </w:rPr>
            </w:pPr>
            <w:r>
              <w:rPr>
                <w:rFonts w:ascii="Times New Roman" w:hAnsi="Times New Roman" w:eastAsiaTheme="minorEastAsia"/>
                <w:b/>
                <w:color w:val="000000"/>
                <w:kern w:val="0"/>
              </w:rPr>
              <w:t>内河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00" w:type="pct"/>
            <w:vAlign w:val="center"/>
          </w:tcPr>
          <w:p>
            <w:pPr>
              <w:autoSpaceDE w:val="0"/>
              <w:autoSpaceDN w:val="0"/>
              <w:adjustRightInd w:val="0"/>
              <w:snapToGrid w:val="0"/>
              <w:jc w:val="center"/>
              <w:rPr>
                <w:rFonts w:ascii="Times New Roman" w:hAnsi="Times New Roman" w:eastAsiaTheme="minorEastAsia"/>
                <w:b/>
                <w:color w:val="000000"/>
                <w:sz w:val="24"/>
                <w:szCs w:val="24"/>
              </w:rPr>
            </w:pPr>
            <w:r>
              <w:rPr>
                <w:rFonts w:ascii="Times New Roman" w:hAnsi="Times New Roman" w:eastAsiaTheme="minorEastAsia"/>
                <w:color w:val="000000"/>
                <w:kern w:val="0"/>
              </w:rPr>
              <w:t>塑料制品</w:t>
            </w:r>
          </w:p>
        </w:tc>
        <w:tc>
          <w:tcPr>
            <w:tcW w:w="2500" w:type="pct"/>
            <w:vAlign w:val="center"/>
          </w:tcPr>
          <w:p>
            <w:pPr>
              <w:autoSpaceDE w:val="0"/>
              <w:autoSpaceDN w:val="0"/>
              <w:adjustRightInd w:val="0"/>
              <w:snapToGrid w:val="0"/>
              <w:jc w:val="center"/>
              <w:rPr>
                <w:rFonts w:ascii="Times New Roman" w:hAnsi="Times New Roman" w:eastAsiaTheme="minorEastAsia"/>
                <w:b/>
                <w:color w:val="000000"/>
                <w:sz w:val="24"/>
                <w:szCs w:val="24"/>
              </w:rPr>
            </w:pPr>
            <w:r>
              <w:rPr>
                <w:rFonts w:ascii="Times New Roman" w:hAnsi="Times New Roman" w:eastAsiaTheme="minorEastAsia"/>
                <w:color w:val="000000"/>
                <w:kern w:val="0"/>
              </w:rPr>
              <w:t>禁止投入水域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00" w:type="pct"/>
            <w:vAlign w:val="center"/>
          </w:tcPr>
          <w:p>
            <w:pPr>
              <w:autoSpaceDE w:val="0"/>
              <w:autoSpaceDN w:val="0"/>
              <w:adjustRightInd w:val="0"/>
              <w:snapToGrid w:val="0"/>
              <w:jc w:val="center"/>
              <w:rPr>
                <w:rFonts w:ascii="Times New Roman" w:hAnsi="Times New Roman" w:eastAsiaTheme="minorEastAsia"/>
                <w:b/>
                <w:color w:val="000000"/>
                <w:sz w:val="24"/>
                <w:szCs w:val="24"/>
              </w:rPr>
            </w:pPr>
            <w:r>
              <w:rPr>
                <w:rFonts w:ascii="Times New Roman" w:hAnsi="Times New Roman" w:eastAsiaTheme="minorEastAsia"/>
                <w:color w:val="000000"/>
                <w:kern w:val="0"/>
              </w:rPr>
              <w:t>飘浮物</w:t>
            </w:r>
          </w:p>
        </w:tc>
        <w:tc>
          <w:tcPr>
            <w:tcW w:w="2500" w:type="pct"/>
            <w:vAlign w:val="center"/>
          </w:tcPr>
          <w:p>
            <w:pPr>
              <w:autoSpaceDE w:val="0"/>
              <w:autoSpaceDN w:val="0"/>
              <w:adjustRightInd w:val="0"/>
              <w:snapToGrid w:val="0"/>
              <w:jc w:val="center"/>
              <w:rPr>
                <w:rFonts w:ascii="Times New Roman" w:hAnsi="Times New Roman" w:eastAsiaTheme="minorEastAsia"/>
                <w:b/>
                <w:color w:val="000000"/>
                <w:sz w:val="24"/>
                <w:szCs w:val="24"/>
              </w:rPr>
            </w:pPr>
            <w:r>
              <w:rPr>
                <w:rFonts w:ascii="Times New Roman" w:hAnsi="Times New Roman" w:eastAsiaTheme="minorEastAsia"/>
                <w:color w:val="000000"/>
                <w:kern w:val="0"/>
              </w:rPr>
              <w:t>禁止投入水域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00" w:type="pct"/>
            <w:vAlign w:val="center"/>
          </w:tcPr>
          <w:p>
            <w:pPr>
              <w:autoSpaceDE w:val="0"/>
              <w:autoSpaceDN w:val="0"/>
              <w:adjustRightInd w:val="0"/>
              <w:snapToGrid w:val="0"/>
              <w:jc w:val="center"/>
              <w:rPr>
                <w:rFonts w:ascii="Times New Roman" w:hAnsi="Times New Roman" w:eastAsiaTheme="minorEastAsia"/>
                <w:b/>
                <w:color w:val="000000"/>
                <w:sz w:val="24"/>
                <w:szCs w:val="24"/>
              </w:rPr>
            </w:pPr>
            <w:r>
              <w:rPr>
                <w:rFonts w:ascii="Times New Roman" w:hAnsi="Times New Roman" w:eastAsiaTheme="minorEastAsia"/>
                <w:color w:val="000000"/>
                <w:kern w:val="0"/>
              </w:rPr>
              <w:t>食品废物及其他垃圾</w:t>
            </w:r>
          </w:p>
        </w:tc>
        <w:tc>
          <w:tcPr>
            <w:tcW w:w="2500" w:type="pct"/>
            <w:vAlign w:val="center"/>
          </w:tcPr>
          <w:p>
            <w:pPr>
              <w:autoSpaceDE w:val="0"/>
              <w:autoSpaceDN w:val="0"/>
              <w:adjustRightInd w:val="0"/>
              <w:snapToGrid w:val="0"/>
              <w:jc w:val="center"/>
              <w:rPr>
                <w:rFonts w:ascii="Times New Roman" w:hAnsi="Times New Roman" w:eastAsiaTheme="minorEastAsia"/>
                <w:b/>
                <w:color w:val="000000"/>
                <w:sz w:val="24"/>
                <w:szCs w:val="24"/>
              </w:rPr>
            </w:pPr>
            <w:r>
              <w:rPr>
                <w:rFonts w:ascii="Times New Roman" w:hAnsi="Times New Roman" w:eastAsiaTheme="minorEastAsia"/>
                <w:color w:val="000000"/>
                <w:kern w:val="0"/>
              </w:rPr>
              <w:t>禁止投入水域</w:t>
            </w:r>
          </w:p>
        </w:tc>
      </w:tr>
    </w:tbl>
    <w:p>
      <w:pPr>
        <w:adjustRightInd w:val="0"/>
        <w:snapToGrid w:val="0"/>
        <w:spacing w:line="360" w:lineRule="auto"/>
        <w:ind w:firstLine="480" w:firstLineChars="200"/>
        <w:rPr>
          <w:rFonts w:ascii="Times New Roman" w:hAnsi="Times New Roman" w:eastAsiaTheme="minorEastAsia"/>
          <w:color w:val="000000"/>
          <w:sz w:val="24"/>
          <w:szCs w:val="24"/>
        </w:rPr>
      </w:pP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一般固体废物执行《一般工业固体废物贮存、处置场污染控制标准》（GB18599-2001）及修改单。危险废物执行《危险废物贮存污染控制标准》（GB18597-2001）及修改单。</w:t>
      </w:r>
    </w:p>
    <w:p>
      <w:pPr>
        <w:pStyle w:val="3"/>
        <w:rPr>
          <w:rFonts w:ascii="Times New Roman" w:hAnsi="Times New Roman" w:eastAsiaTheme="minorEastAsia"/>
          <w:b/>
        </w:rPr>
      </w:pPr>
      <w:bookmarkStart w:id="27" w:name="_Toc12174"/>
      <w:r>
        <w:rPr>
          <w:rFonts w:ascii="Times New Roman" w:hAnsi="Times New Roman" w:eastAsiaTheme="minorEastAsia"/>
          <w:b/>
        </w:rPr>
        <w:t>主要环境保护目标调查</w:t>
      </w:r>
      <w:bookmarkEnd w:id="27"/>
    </w:p>
    <w:p>
      <w:pPr>
        <w:pStyle w:val="4"/>
        <w:rPr>
          <w:rFonts w:eastAsiaTheme="minorEastAsia"/>
        </w:rPr>
      </w:pPr>
      <w:r>
        <w:rPr>
          <w:rFonts w:eastAsiaTheme="minorEastAsia"/>
        </w:rPr>
        <w:t>地表水保护目标</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本项目地表水保护目标为评价江段的</w:t>
      </w:r>
      <w:r>
        <w:rPr>
          <w:rFonts w:hint="eastAsia" w:ascii="宋体" w:hAnsi="宋体" w:cs="宋体"/>
          <w:color w:val="000000"/>
          <w:sz w:val="24"/>
          <w:szCs w:val="24"/>
          <w:lang w:eastAsia="ja-JP"/>
        </w:rPr>
        <w:t>Ⅲ</w:t>
      </w:r>
      <w:r>
        <w:rPr>
          <w:rFonts w:ascii="Times New Roman" w:hAnsi="Times New Roman" w:eastAsiaTheme="minorEastAsia"/>
          <w:color w:val="000000"/>
          <w:sz w:val="24"/>
          <w:szCs w:val="24"/>
        </w:rPr>
        <w:t>类渔业用水区水体以及周边的农灌沟渠。另外，项目码头上游约5km至下</w:t>
      </w:r>
      <w:r>
        <w:rPr>
          <w:rFonts w:ascii="Times New Roman" w:hAnsi="Times New Roman" w:eastAsiaTheme="minorEastAsia"/>
          <w:color w:val="000000" w:themeColor="text1"/>
          <w:sz w:val="24"/>
          <w:szCs w:val="24"/>
          <w14:textFill>
            <w14:solidFill>
              <w14:schemeClr w14:val="tx1"/>
            </w14:solidFill>
          </w14:textFill>
        </w:rPr>
        <w:t>游约30km范围内水源地有</w:t>
      </w:r>
      <w:r>
        <w:rPr>
          <w:rFonts w:ascii="Times New Roman" w:hAnsi="Times New Roman" w:eastAsiaTheme="minorEastAsia"/>
          <w:bCs/>
          <w:color w:val="000000" w:themeColor="text1"/>
          <w:sz w:val="24"/>
          <w14:textFill>
            <w14:solidFill>
              <w14:schemeClr w14:val="tx1"/>
            </w14:solidFill>
          </w14:textFill>
        </w:rPr>
        <w:t>岳阳市云溪区陆城镇水厂文桥镇水厂长江取水口饮用水源保护区、岳阳市云溪区道仁矶水厂长江取水口饮用水水源保护区和</w:t>
      </w:r>
      <w:r>
        <w:rPr>
          <w:rFonts w:ascii="Times New Roman" w:hAnsi="Times New Roman" w:eastAsiaTheme="minorEastAsia"/>
          <w:color w:val="000000" w:themeColor="text1"/>
          <w:kern w:val="0"/>
          <w:sz w:val="24"/>
          <w:szCs w:val="24"/>
          <w14:textFill>
            <w14:solidFill>
              <w14:schemeClr w14:val="tx1"/>
            </w14:solidFill>
          </w14:textFill>
        </w:rPr>
        <w:t>儒溪工业园工业取水口</w:t>
      </w:r>
      <w:r>
        <w:rPr>
          <w:rFonts w:ascii="Times New Roman" w:hAnsi="Times New Roman" w:eastAsiaTheme="minorEastAsia"/>
          <w:color w:val="000000"/>
          <w:sz w:val="24"/>
          <w:szCs w:val="24"/>
        </w:rPr>
        <w:t>。项目地表水保护目标见表2.7-1，项目码头与饮用水水源保护区位置关系见表2.7-2。</w:t>
      </w: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表2.7-1  本项目地表水保护目标</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925"/>
        <w:gridCol w:w="1216"/>
        <w:gridCol w:w="1111"/>
        <w:gridCol w:w="788"/>
        <w:gridCol w:w="3349"/>
        <w:gridCol w:w="787"/>
        <w:gridCol w:w="92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5" w:type="pct"/>
            <w:vMerge w:val="restart"/>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保护目标名称</w:t>
            </w:r>
          </w:p>
        </w:tc>
        <w:tc>
          <w:tcPr>
            <w:tcW w:w="1095" w:type="pct"/>
            <w:gridSpan w:val="2"/>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坐标</w:t>
            </w:r>
          </w:p>
        </w:tc>
        <w:tc>
          <w:tcPr>
            <w:tcW w:w="470" w:type="pct"/>
            <w:vMerge w:val="restart"/>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kern w:val="0"/>
              </w:rPr>
              <w:t>保护</w:t>
            </w:r>
          </w:p>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kern w:val="0"/>
              </w:rPr>
              <w:t>内容</w:t>
            </w:r>
          </w:p>
        </w:tc>
        <w:tc>
          <w:tcPr>
            <w:tcW w:w="1877" w:type="pct"/>
            <w:vMerge w:val="restart"/>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环境功能区</w:t>
            </w:r>
          </w:p>
        </w:tc>
        <w:tc>
          <w:tcPr>
            <w:tcW w:w="469" w:type="pct"/>
            <w:vMerge w:val="restart"/>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相对厂址方位</w:t>
            </w:r>
          </w:p>
        </w:tc>
        <w:tc>
          <w:tcPr>
            <w:tcW w:w="544" w:type="pct"/>
            <w:vMerge w:val="restart"/>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相对厂界最近距离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5" w:type="pct"/>
            <w:vMerge w:val="continue"/>
            <w:vAlign w:val="center"/>
          </w:tcPr>
          <w:p>
            <w:pPr>
              <w:autoSpaceDE w:val="0"/>
              <w:autoSpaceDN w:val="0"/>
              <w:adjustRightInd w:val="0"/>
              <w:snapToGrid w:val="0"/>
              <w:jc w:val="center"/>
              <w:rPr>
                <w:rFonts w:ascii="Times New Roman" w:hAnsi="Times New Roman" w:eastAsiaTheme="minorEastAsia"/>
                <w:b/>
                <w:color w:val="000000"/>
                <w:kern w:val="0"/>
              </w:rPr>
            </w:pPr>
          </w:p>
        </w:tc>
        <w:tc>
          <w:tcPr>
            <w:tcW w:w="548"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东经</w:t>
            </w:r>
          </w:p>
        </w:tc>
        <w:tc>
          <w:tcPr>
            <w:tcW w:w="547" w:type="pct"/>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北纬</w:t>
            </w:r>
          </w:p>
        </w:tc>
        <w:tc>
          <w:tcPr>
            <w:tcW w:w="470" w:type="pct"/>
            <w:vMerge w:val="continue"/>
            <w:vAlign w:val="center"/>
          </w:tcPr>
          <w:p>
            <w:pPr>
              <w:autoSpaceDE w:val="0"/>
              <w:autoSpaceDN w:val="0"/>
              <w:adjustRightInd w:val="0"/>
              <w:snapToGrid w:val="0"/>
              <w:jc w:val="center"/>
              <w:rPr>
                <w:rFonts w:ascii="Times New Roman" w:hAnsi="Times New Roman" w:eastAsiaTheme="minorEastAsia"/>
                <w:b/>
                <w:color w:val="000000"/>
                <w:kern w:val="0"/>
              </w:rPr>
            </w:pPr>
          </w:p>
        </w:tc>
        <w:tc>
          <w:tcPr>
            <w:tcW w:w="1877" w:type="pct"/>
            <w:vMerge w:val="continue"/>
            <w:vAlign w:val="center"/>
          </w:tcPr>
          <w:p>
            <w:pPr>
              <w:autoSpaceDE w:val="0"/>
              <w:autoSpaceDN w:val="0"/>
              <w:adjustRightInd w:val="0"/>
              <w:snapToGrid w:val="0"/>
              <w:jc w:val="center"/>
              <w:rPr>
                <w:rFonts w:ascii="Times New Roman" w:hAnsi="Times New Roman" w:eastAsiaTheme="minorEastAsia"/>
                <w:b/>
                <w:kern w:val="0"/>
              </w:rPr>
            </w:pPr>
          </w:p>
        </w:tc>
        <w:tc>
          <w:tcPr>
            <w:tcW w:w="469" w:type="pct"/>
            <w:vMerge w:val="continue"/>
            <w:vAlign w:val="center"/>
          </w:tcPr>
          <w:p>
            <w:pPr>
              <w:autoSpaceDE w:val="0"/>
              <w:autoSpaceDN w:val="0"/>
              <w:adjustRightInd w:val="0"/>
              <w:snapToGrid w:val="0"/>
              <w:jc w:val="center"/>
              <w:rPr>
                <w:rFonts w:ascii="Times New Roman" w:hAnsi="Times New Roman" w:eastAsiaTheme="minorEastAsia"/>
                <w:b/>
                <w:kern w:val="0"/>
              </w:rPr>
            </w:pPr>
          </w:p>
        </w:tc>
        <w:tc>
          <w:tcPr>
            <w:tcW w:w="544" w:type="pct"/>
            <w:vMerge w:val="continue"/>
            <w:vAlign w:val="center"/>
          </w:tcPr>
          <w:p>
            <w:pPr>
              <w:autoSpaceDE w:val="0"/>
              <w:autoSpaceDN w:val="0"/>
              <w:adjustRightInd w:val="0"/>
              <w:snapToGrid w:val="0"/>
              <w:jc w:val="center"/>
              <w:rPr>
                <w:rFonts w:ascii="Times New Roman" w:hAnsi="Times New Roman" w:eastAsiaTheme="minorEastAsia"/>
                <w:b/>
                <w:kern w:val="0"/>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长江（岳阳段）</w:t>
            </w:r>
          </w:p>
        </w:tc>
        <w:tc>
          <w:tcPr>
            <w:tcW w:w="54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113°17'00.89"</w:t>
            </w:r>
          </w:p>
        </w:tc>
        <w:tc>
          <w:tcPr>
            <w:tcW w:w="54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29°35'39.58"</w:t>
            </w:r>
          </w:p>
        </w:tc>
        <w:tc>
          <w:tcPr>
            <w:tcW w:w="47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水体</w:t>
            </w:r>
          </w:p>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color w:val="000000"/>
                <w:kern w:val="0"/>
              </w:rPr>
              <w:t>水质</w:t>
            </w:r>
          </w:p>
        </w:tc>
        <w:tc>
          <w:tcPr>
            <w:tcW w:w="1877"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color w:val="000000"/>
                <w:kern w:val="0"/>
              </w:rPr>
              <w:t>《地表水环境质量标准》（GB3838-2002）</w:t>
            </w:r>
            <w:r>
              <w:rPr>
                <w:rFonts w:hint="eastAsia" w:ascii="宋体" w:hAnsi="宋体" w:cs="宋体"/>
                <w:color w:val="000000"/>
                <w:kern w:val="0"/>
              </w:rPr>
              <w:t>Ⅲ</w:t>
            </w:r>
            <w:r>
              <w:rPr>
                <w:rFonts w:ascii="Times New Roman" w:hAnsi="Times New Roman" w:eastAsiaTheme="minorEastAsia"/>
                <w:color w:val="000000"/>
                <w:kern w:val="0"/>
              </w:rPr>
              <w:t>类，渔业用水区</w:t>
            </w:r>
          </w:p>
        </w:tc>
        <w:tc>
          <w:tcPr>
            <w:tcW w:w="469"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北侧</w:t>
            </w:r>
          </w:p>
        </w:tc>
        <w:tc>
          <w:tcPr>
            <w:tcW w:w="544"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color w:val="000000"/>
                <w:kern w:val="0"/>
              </w:rPr>
              <w:t>紧邻</w:t>
            </w:r>
          </w:p>
        </w:tc>
      </w:tr>
    </w:tbl>
    <w:p>
      <w:pPr>
        <w:adjustRightInd w:val="0"/>
        <w:snapToGrid w:val="0"/>
        <w:spacing w:line="360" w:lineRule="auto"/>
        <w:ind w:firstLine="480" w:firstLineChars="200"/>
        <w:rPr>
          <w:rFonts w:ascii="Times New Roman" w:hAnsi="Times New Roman" w:eastAsiaTheme="minorEastAsia"/>
          <w:color w:val="000000"/>
          <w:sz w:val="24"/>
          <w:szCs w:val="24"/>
        </w:rPr>
      </w:pP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表2.7-2  本项目与水源地保护区的位置关系</w:t>
      </w:r>
    </w:p>
    <w:tbl>
      <w:tblPr>
        <w:tblStyle w:val="71"/>
        <w:tblW w:w="501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08"/>
        <w:gridCol w:w="1713"/>
        <w:gridCol w:w="3146"/>
        <w:gridCol w:w="356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tblHeader/>
          <w:jc w:val="center"/>
        </w:trPr>
        <w:tc>
          <w:tcPr>
            <w:tcW w:w="388"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序号</w:t>
            </w:r>
          </w:p>
        </w:tc>
        <w:tc>
          <w:tcPr>
            <w:tcW w:w="938"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名称</w:t>
            </w:r>
          </w:p>
        </w:tc>
        <w:tc>
          <w:tcPr>
            <w:tcW w:w="1723"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相对位置</w:t>
            </w:r>
          </w:p>
        </w:tc>
        <w:tc>
          <w:tcPr>
            <w:tcW w:w="1951"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rPr>
              <w:t>规模与环境特征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3" w:hRule="atLeast"/>
          <w:jc w:val="center"/>
        </w:trPr>
        <w:tc>
          <w:tcPr>
            <w:tcW w:w="388"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w:t>
            </w:r>
          </w:p>
        </w:tc>
        <w:tc>
          <w:tcPr>
            <w:tcW w:w="938"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highlight w:val="yellow"/>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岳阳市云溪区道仁矶水厂长江取水口饮用水水源保护区</w:t>
            </w:r>
          </w:p>
        </w:tc>
        <w:tc>
          <w:tcPr>
            <w:tcW w:w="1723" w:type="pct"/>
            <w:tcMar>
              <w:left w:w="0" w:type="dxa"/>
              <w:right w:w="0" w:type="dxa"/>
            </w:tcMar>
            <w:vAlign w:val="center"/>
          </w:tcPr>
          <w:p>
            <w:pPr>
              <w:autoSpaceDE w:val="0"/>
              <w:autoSpaceDN w:val="0"/>
              <w:adjustRightInd w:val="0"/>
              <w:snapToGrid w:val="0"/>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取水口坐标为E：113°13'40.47"，N：29°32'23.90"。本项目的下边界与水源地二级保护区上边界最近直线距离约6.7km，见附图15</w:t>
            </w:r>
          </w:p>
        </w:tc>
        <w:tc>
          <w:tcPr>
            <w:tcW w:w="1951"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该取水口取水量为40.15万m³/a（1100m³/d），服务人口为9429人，服务范围为居委会、滨江村、泗泷村、丁山村、柳田村、基隆村等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388"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w:t>
            </w:r>
          </w:p>
        </w:tc>
        <w:tc>
          <w:tcPr>
            <w:tcW w:w="938" w:type="pct"/>
            <w:tcMar>
              <w:left w:w="0" w:type="dxa"/>
              <w:right w:w="0" w:type="dxa"/>
            </w:tcMar>
            <w:vAlign w:val="center"/>
          </w:tcPr>
          <w:p>
            <w:pPr>
              <w:autoSpaceDE w:val="0"/>
              <w:autoSpaceDN w:val="0"/>
              <w:adjustRightInd w:val="0"/>
              <w:snapToGrid w:val="0"/>
              <w:jc w:val="center"/>
              <w:rPr>
                <w:rFonts w:ascii="Times New Roman" w:hAnsi="Times New Roman" w:eastAsiaTheme="minorEastAsia"/>
                <w:bCs/>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岳阳市云溪区陆城镇水厂文桥镇水厂长江取水口饮用水源保护区</w:t>
            </w:r>
          </w:p>
        </w:tc>
        <w:tc>
          <w:tcPr>
            <w:tcW w:w="1723" w:type="pct"/>
            <w:tcMar>
              <w:left w:w="0" w:type="dxa"/>
              <w:right w:w="0" w:type="dxa"/>
            </w:tcMar>
            <w:vAlign w:val="center"/>
          </w:tcPr>
          <w:p>
            <w:pPr>
              <w:autoSpaceDE w:val="0"/>
              <w:autoSpaceDN w:val="0"/>
              <w:adjustRightInd w:val="0"/>
              <w:snapToGrid w:val="0"/>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根据岳云政函〔2020〕32号文，该取水口实际坐标为E：113°16'19.47"，N：29°35'24.357"。根据实际坐标位置，按照《岳阳市云溪区陆城镇水厂文桥镇水厂长江取水口饮用水源保护区划分技术报告》的划分方案，本项目下边界与该水源地二级保护区上边界最近直线距离约10.5km，本项目不涉及水源地保护区范围，见附图15</w:t>
            </w:r>
          </w:p>
        </w:tc>
        <w:tc>
          <w:tcPr>
            <w:tcW w:w="1951"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该取水口取水水量为1500万m</w:t>
            </w:r>
            <w:r>
              <w:rPr>
                <w:rFonts w:ascii="Times New Roman" w:hAnsi="Times New Roman" w:eastAsiaTheme="minorEastAsia"/>
                <w:color w:val="000000" w:themeColor="text1"/>
                <w:vertAlign w:val="super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/a，其中80.3万m</w:t>
            </w:r>
            <w:r>
              <w:rPr>
                <w:rFonts w:ascii="Times New Roman" w:hAnsi="Times New Roman" w:eastAsiaTheme="minorEastAsia"/>
                <w:color w:val="000000" w:themeColor="text1"/>
                <w:vertAlign w:val="super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/a用于文桥镇水厂和陆城镇水厂取水，其余为长岭炼油厂工业取水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388"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3</w:t>
            </w:r>
          </w:p>
        </w:tc>
        <w:tc>
          <w:tcPr>
            <w:tcW w:w="938"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highlight w:val="yellow"/>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临湘市工业园滨江产业示范区自来水厂（取水口）</w:t>
            </w:r>
          </w:p>
        </w:tc>
        <w:tc>
          <w:tcPr>
            <w:tcW w:w="1723" w:type="pct"/>
            <w:tcMar>
              <w:left w:w="0" w:type="dxa"/>
              <w:right w:w="0" w:type="dxa"/>
            </w:tcMar>
            <w:vAlign w:val="center"/>
          </w:tcPr>
          <w:p>
            <w:pPr>
              <w:autoSpaceDE w:val="0"/>
              <w:autoSpaceDN w:val="0"/>
              <w:adjustRightInd w:val="0"/>
              <w:snapToGrid w:val="0"/>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取水口坐标为E：113°19'12.06"，N：29°37'42.95"，</w:t>
            </w:r>
            <w:r>
              <w:rPr>
                <w:rFonts w:ascii="Times New Roman" w:hAnsi="Times New Roman" w:eastAsiaTheme="minorEastAsia"/>
                <w:color w:val="000000" w:themeColor="text1"/>
                <w14:textFill>
                  <w14:solidFill>
                    <w14:schemeClr w14:val="tx1"/>
                  </w14:solidFill>
                </w14:textFill>
              </w:rPr>
              <w:t>该取水口位于</w:t>
            </w:r>
            <w:r>
              <w:rPr>
                <w:rFonts w:ascii="Times New Roman" w:hAnsi="Times New Roman" w:eastAsiaTheme="minorEastAsia"/>
                <w:color w:val="000000" w:themeColor="text1"/>
                <w:kern w:val="0"/>
                <w14:textFill>
                  <w14:solidFill>
                    <w14:schemeClr w14:val="tx1"/>
                  </w14:solidFill>
                </w14:textFill>
              </w:rPr>
              <w:t>本项目的下边界，最近直线距离约20.35km，见附图15</w:t>
            </w:r>
          </w:p>
        </w:tc>
        <w:tc>
          <w:tcPr>
            <w:tcW w:w="1951"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该取水口取水主要作为临湘市儒溪工业区工业企业生产用水，兼顾规划区3万居民生活用水，并已建成北控水务集团公司自来水厂，该自来水公司设计供水量5万m</w:t>
            </w:r>
            <w:r>
              <w:rPr>
                <w:rFonts w:ascii="Times New Roman" w:hAnsi="Times New Roman" w:eastAsiaTheme="minorEastAsia"/>
                <w:color w:val="000000" w:themeColor="text1"/>
                <w:vertAlign w:val="super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/d，供水范围为儒溪工业规划区约3万人</w:t>
            </w:r>
          </w:p>
        </w:tc>
      </w:tr>
    </w:tbl>
    <w:p>
      <w:pPr>
        <w:adjustRightInd w:val="0"/>
        <w:snapToGrid w:val="0"/>
        <w:rPr>
          <w:rFonts w:ascii="Times New Roman" w:hAnsi="Times New Roman" w:eastAsiaTheme="minorEastAsia"/>
          <w:bCs/>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注：云溪区人民政府已向省、市生态环境部门申请取消</w:t>
      </w:r>
      <w:r>
        <w:rPr>
          <w:rFonts w:ascii="Times New Roman" w:hAnsi="Times New Roman" w:eastAsiaTheme="minorEastAsia"/>
          <w:bCs/>
          <w:color w:val="000000" w:themeColor="text1"/>
          <w14:textFill>
            <w14:solidFill>
              <w14:schemeClr w14:val="tx1"/>
            </w14:solidFill>
          </w14:textFill>
        </w:rPr>
        <w:t>岳阳市云溪区陆城镇水厂文桥镇水厂长江取水口饮用水源保护区和岳阳市云溪区道仁矶水厂长江取水口饮用水水源保护区</w:t>
      </w:r>
      <w:r>
        <w:rPr>
          <w:rFonts w:ascii="Times New Roman" w:hAnsi="Times New Roman" w:eastAsiaTheme="minorEastAsia"/>
          <w:color w:val="000000" w:themeColor="text1"/>
          <w14:textFill>
            <w14:solidFill>
              <w14:schemeClr w14:val="tx1"/>
            </w14:solidFill>
          </w14:textFill>
        </w:rPr>
        <w:t>的</w:t>
      </w:r>
      <w:r>
        <w:rPr>
          <w:rFonts w:ascii="Times New Roman" w:hAnsi="Times New Roman" w:eastAsiaTheme="minorEastAsia"/>
          <w:color w:val="000000"/>
        </w:rPr>
        <w:t>划定工作</w:t>
      </w:r>
      <w:r>
        <w:rPr>
          <w:rFonts w:ascii="Times New Roman" w:hAnsi="Times New Roman" w:eastAsiaTheme="minorEastAsia"/>
          <w:bCs/>
          <w:color w:val="000000" w:themeColor="text1"/>
          <w14:textFill>
            <w14:solidFill>
              <w14:schemeClr w14:val="tx1"/>
            </w14:solidFill>
          </w14:textFill>
        </w:rPr>
        <w:t>。</w:t>
      </w:r>
    </w:p>
    <w:p>
      <w:pPr>
        <w:adjustRightInd w:val="0"/>
        <w:snapToGrid w:val="0"/>
        <w:spacing w:line="360" w:lineRule="auto"/>
        <w:rPr>
          <w:rFonts w:ascii="Times New Roman" w:hAnsi="Times New Roman" w:eastAsiaTheme="minorEastAsia"/>
          <w:color w:val="000000"/>
        </w:rPr>
      </w:pPr>
    </w:p>
    <w:p>
      <w:pPr>
        <w:pStyle w:val="4"/>
        <w:rPr>
          <w:rFonts w:eastAsiaTheme="minorEastAsia"/>
        </w:rPr>
      </w:pPr>
      <w:r>
        <w:rPr>
          <w:rFonts w:eastAsiaTheme="minorEastAsia"/>
        </w:rPr>
        <w:t>环境空气、声环境保护目标</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本项目环境空气、声环境评价范围内敏感点见下表。</w:t>
      </w: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表2.7-3  评价范围内环境空气、声环境保护目标</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809"/>
        <w:gridCol w:w="1234"/>
        <w:gridCol w:w="1127"/>
        <w:gridCol w:w="533"/>
        <w:gridCol w:w="1387"/>
        <w:gridCol w:w="2033"/>
        <w:gridCol w:w="974"/>
        <w:gridCol w:w="10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45" w:type="pct"/>
            <w:vMerge w:val="restar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保护目标名称</w:t>
            </w:r>
          </w:p>
        </w:tc>
        <w:tc>
          <w:tcPr>
            <w:tcW w:w="1297" w:type="pct"/>
            <w:gridSpan w:val="2"/>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坐标</w:t>
            </w:r>
          </w:p>
        </w:tc>
        <w:tc>
          <w:tcPr>
            <w:tcW w:w="293" w:type="pct"/>
            <w:vMerge w:val="restar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保护</w:t>
            </w:r>
          </w:p>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对象</w:t>
            </w:r>
          </w:p>
        </w:tc>
        <w:tc>
          <w:tcPr>
            <w:tcW w:w="762" w:type="pct"/>
            <w:vMerge w:val="restar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保护内容</w:t>
            </w:r>
          </w:p>
        </w:tc>
        <w:tc>
          <w:tcPr>
            <w:tcW w:w="1117" w:type="pct"/>
            <w:vMerge w:val="restar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环境功能区</w:t>
            </w:r>
          </w:p>
        </w:tc>
        <w:tc>
          <w:tcPr>
            <w:tcW w:w="535" w:type="pct"/>
            <w:vMerge w:val="restar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相对厂址方位</w:t>
            </w:r>
          </w:p>
        </w:tc>
        <w:tc>
          <w:tcPr>
            <w:tcW w:w="551" w:type="pct"/>
            <w:vMerge w:val="restar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相对厂界最近距离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45" w:type="pct"/>
            <w:vMerge w:val="continue"/>
            <w:vAlign w:val="center"/>
          </w:tcPr>
          <w:p>
            <w:pPr>
              <w:autoSpaceDE w:val="0"/>
              <w:autoSpaceDN w:val="0"/>
              <w:adjustRightInd w:val="0"/>
              <w:snapToGrid w:val="0"/>
              <w:jc w:val="center"/>
              <w:rPr>
                <w:rFonts w:ascii="Times New Roman" w:hAnsi="Times New Roman" w:eastAsiaTheme="minorEastAsia"/>
                <w:b/>
                <w:color w:val="000000"/>
                <w:kern w:val="0"/>
              </w:rPr>
            </w:pPr>
          </w:p>
        </w:tc>
        <w:tc>
          <w:tcPr>
            <w:tcW w:w="678"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东经</w:t>
            </w:r>
          </w:p>
        </w:tc>
        <w:tc>
          <w:tcPr>
            <w:tcW w:w="619"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北纬</w:t>
            </w:r>
          </w:p>
        </w:tc>
        <w:tc>
          <w:tcPr>
            <w:tcW w:w="293" w:type="pct"/>
            <w:vMerge w:val="continue"/>
            <w:vAlign w:val="center"/>
          </w:tcPr>
          <w:p>
            <w:pPr>
              <w:autoSpaceDE w:val="0"/>
              <w:autoSpaceDN w:val="0"/>
              <w:adjustRightInd w:val="0"/>
              <w:snapToGrid w:val="0"/>
              <w:jc w:val="center"/>
              <w:rPr>
                <w:rFonts w:ascii="Times New Roman" w:hAnsi="Times New Roman" w:eastAsiaTheme="minorEastAsia"/>
                <w:b/>
                <w:color w:val="000000"/>
                <w:kern w:val="0"/>
              </w:rPr>
            </w:pPr>
          </w:p>
        </w:tc>
        <w:tc>
          <w:tcPr>
            <w:tcW w:w="762" w:type="pct"/>
            <w:vMerge w:val="continue"/>
            <w:vAlign w:val="center"/>
          </w:tcPr>
          <w:p>
            <w:pPr>
              <w:autoSpaceDE w:val="0"/>
              <w:autoSpaceDN w:val="0"/>
              <w:adjustRightInd w:val="0"/>
              <w:snapToGrid w:val="0"/>
              <w:jc w:val="center"/>
              <w:rPr>
                <w:rFonts w:ascii="Times New Roman" w:hAnsi="Times New Roman" w:eastAsiaTheme="minorEastAsia"/>
                <w:b/>
                <w:color w:val="000000"/>
                <w:kern w:val="0"/>
              </w:rPr>
            </w:pPr>
          </w:p>
        </w:tc>
        <w:tc>
          <w:tcPr>
            <w:tcW w:w="1117" w:type="pct"/>
            <w:vMerge w:val="continue"/>
            <w:vAlign w:val="center"/>
          </w:tcPr>
          <w:p>
            <w:pPr>
              <w:autoSpaceDE w:val="0"/>
              <w:autoSpaceDN w:val="0"/>
              <w:adjustRightInd w:val="0"/>
              <w:snapToGrid w:val="0"/>
              <w:jc w:val="center"/>
              <w:rPr>
                <w:rFonts w:ascii="Times New Roman" w:hAnsi="Times New Roman" w:eastAsiaTheme="minorEastAsia"/>
                <w:b/>
                <w:color w:val="000000"/>
                <w:kern w:val="0"/>
              </w:rPr>
            </w:pPr>
          </w:p>
        </w:tc>
        <w:tc>
          <w:tcPr>
            <w:tcW w:w="535" w:type="pct"/>
            <w:vMerge w:val="continue"/>
            <w:vAlign w:val="center"/>
          </w:tcPr>
          <w:p>
            <w:pPr>
              <w:autoSpaceDE w:val="0"/>
              <w:autoSpaceDN w:val="0"/>
              <w:adjustRightInd w:val="0"/>
              <w:snapToGrid w:val="0"/>
              <w:jc w:val="center"/>
              <w:rPr>
                <w:rFonts w:ascii="Times New Roman" w:hAnsi="Times New Roman" w:eastAsiaTheme="minorEastAsia"/>
                <w:b/>
                <w:color w:val="000000"/>
                <w:kern w:val="0"/>
              </w:rPr>
            </w:pPr>
          </w:p>
        </w:tc>
        <w:tc>
          <w:tcPr>
            <w:tcW w:w="551" w:type="pct"/>
            <w:vMerge w:val="continue"/>
            <w:vAlign w:val="center"/>
          </w:tcPr>
          <w:p>
            <w:pPr>
              <w:autoSpaceDE w:val="0"/>
              <w:autoSpaceDN w:val="0"/>
              <w:adjustRightInd w:val="0"/>
              <w:snapToGrid w:val="0"/>
              <w:jc w:val="center"/>
              <w:rPr>
                <w:rFonts w:ascii="Times New Roman" w:hAnsi="Times New Roman" w:eastAsiaTheme="minorEastAsia"/>
                <w:b/>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4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长江村</w:t>
            </w:r>
          </w:p>
        </w:tc>
        <w:tc>
          <w:tcPr>
            <w:tcW w:w="67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113°10′41.95″</w:t>
            </w:r>
          </w:p>
        </w:tc>
        <w:tc>
          <w:tcPr>
            <w:tcW w:w="61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29°27′48.31″</w:t>
            </w:r>
          </w:p>
        </w:tc>
        <w:tc>
          <w:tcPr>
            <w:tcW w:w="29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居住</w:t>
            </w:r>
          </w:p>
        </w:tc>
        <w:tc>
          <w:tcPr>
            <w:tcW w:w="76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40户，约110人</w:t>
            </w:r>
          </w:p>
        </w:tc>
        <w:tc>
          <w:tcPr>
            <w:tcW w:w="1117" w:type="pct"/>
            <w:vMerge w:val="restar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《环境空气质量标准》（GB 3095-2012）二级标准，《声环境质量标准》（GB3096-2008）2类标准</w:t>
            </w:r>
          </w:p>
        </w:tc>
        <w:tc>
          <w:tcPr>
            <w:tcW w:w="53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码头东侧</w:t>
            </w:r>
          </w:p>
        </w:tc>
        <w:tc>
          <w:tcPr>
            <w:tcW w:w="55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560m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4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擂鼓台村</w:t>
            </w:r>
          </w:p>
        </w:tc>
        <w:tc>
          <w:tcPr>
            <w:tcW w:w="67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113°10′51.87″</w:t>
            </w:r>
          </w:p>
        </w:tc>
        <w:tc>
          <w:tcPr>
            <w:tcW w:w="61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29°27′34.86″</w:t>
            </w:r>
          </w:p>
        </w:tc>
        <w:tc>
          <w:tcPr>
            <w:tcW w:w="29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居住</w:t>
            </w:r>
          </w:p>
        </w:tc>
        <w:tc>
          <w:tcPr>
            <w:tcW w:w="76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14户，约40人</w:t>
            </w:r>
          </w:p>
        </w:tc>
        <w:tc>
          <w:tcPr>
            <w:tcW w:w="1117"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53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码头东南侧</w:t>
            </w:r>
          </w:p>
        </w:tc>
        <w:tc>
          <w:tcPr>
            <w:tcW w:w="55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4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长沟村</w:t>
            </w:r>
          </w:p>
        </w:tc>
        <w:tc>
          <w:tcPr>
            <w:tcW w:w="67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113°10′35.85″</w:t>
            </w:r>
          </w:p>
        </w:tc>
        <w:tc>
          <w:tcPr>
            <w:tcW w:w="61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29°27′19.05″</w:t>
            </w:r>
          </w:p>
        </w:tc>
        <w:tc>
          <w:tcPr>
            <w:tcW w:w="29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居住</w:t>
            </w:r>
          </w:p>
        </w:tc>
        <w:tc>
          <w:tcPr>
            <w:tcW w:w="76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13户，约40人</w:t>
            </w:r>
          </w:p>
        </w:tc>
        <w:tc>
          <w:tcPr>
            <w:tcW w:w="1117"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53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码头南侧</w:t>
            </w:r>
          </w:p>
        </w:tc>
        <w:tc>
          <w:tcPr>
            <w:tcW w:w="55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1060m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4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杨树墩</w:t>
            </w:r>
          </w:p>
        </w:tc>
        <w:tc>
          <w:tcPr>
            <w:tcW w:w="67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113°11′36.99″</w:t>
            </w:r>
          </w:p>
        </w:tc>
        <w:tc>
          <w:tcPr>
            <w:tcW w:w="61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29°27′51.47″</w:t>
            </w:r>
          </w:p>
        </w:tc>
        <w:tc>
          <w:tcPr>
            <w:tcW w:w="29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居住</w:t>
            </w:r>
          </w:p>
        </w:tc>
        <w:tc>
          <w:tcPr>
            <w:tcW w:w="76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9户，约25人</w:t>
            </w:r>
          </w:p>
        </w:tc>
        <w:tc>
          <w:tcPr>
            <w:tcW w:w="1117"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53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码头东侧</w:t>
            </w:r>
          </w:p>
        </w:tc>
        <w:tc>
          <w:tcPr>
            <w:tcW w:w="55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2070m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4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麦塝</w:t>
            </w:r>
          </w:p>
        </w:tc>
        <w:tc>
          <w:tcPr>
            <w:tcW w:w="67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113°11′6.82″</w:t>
            </w:r>
          </w:p>
        </w:tc>
        <w:tc>
          <w:tcPr>
            <w:tcW w:w="61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29°26′59.28″</w:t>
            </w:r>
          </w:p>
        </w:tc>
        <w:tc>
          <w:tcPr>
            <w:tcW w:w="29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居住</w:t>
            </w:r>
          </w:p>
        </w:tc>
        <w:tc>
          <w:tcPr>
            <w:tcW w:w="76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50户，约180人</w:t>
            </w:r>
          </w:p>
        </w:tc>
        <w:tc>
          <w:tcPr>
            <w:tcW w:w="1117"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53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码头东南侧</w:t>
            </w:r>
          </w:p>
        </w:tc>
        <w:tc>
          <w:tcPr>
            <w:tcW w:w="55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1800m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4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城陵矶集镇区</w:t>
            </w:r>
          </w:p>
        </w:tc>
        <w:tc>
          <w:tcPr>
            <w:tcW w:w="67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113°9′40.80″</w:t>
            </w:r>
          </w:p>
        </w:tc>
        <w:tc>
          <w:tcPr>
            <w:tcW w:w="61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29°26′28.74″</w:t>
            </w:r>
          </w:p>
        </w:tc>
        <w:tc>
          <w:tcPr>
            <w:tcW w:w="29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居住</w:t>
            </w:r>
          </w:p>
        </w:tc>
        <w:tc>
          <w:tcPr>
            <w:tcW w:w="76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200户，约700人</w:t>
            </w:r>
          </w:p>
        </w:tc>
        <w:tc>
          <w:tcPr>
            <w:tcW w:w="1117"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53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码头西南侧</w:t>
            </w:r>
          </w:p>
        </w:tc>
        <w:tc>
          <w:tcPr>
            <w:tcW w:w="55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2590m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4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杨家潭</w:t>
            </w:r>
          </w:p>
        </w:tc>
        <w:tc>
          <w:tcPr>
            <w:tcW w:w="678"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113°8′58.28″</w:t>
            </w:r>
          </w:p>
        </w:tc>
        <w:tc>
          <w:tcPr>
            <w:tcW w:w="61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29°28′37.88″</w:t>
            </w:r>
          </w:p>
        </w:tc>
        <w:tc>
          <w:tcPr>
            <w:tcW w:w="29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居住</w:t>
            </w:r>
          </w:p>
        </w:tc>
        <w:tc>
          <w:tcPr>
            <w:tcW w:w="762"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75户，约270人</w:t>
            </w:r>
          </w:p>
        </w:tc>
        <w:tc>
          <w:tcPr>
            <w:tcW w:w="1117"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53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码头西北侧</w:t>
            </w:r>
          </w:p>
        </w:tc>
        <w:tc>
          <w:tcPr>
            <w:tcW w:w="55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2570m</w:t>
            </w:r>
          </w:p>
        </w:tc>
      </w:tr>
    </w:tbl>
    <w:p>
      <w:pPr>
        <w:adjustRightInd w:val="0"/>
        <w:snapToGrid w:val="0"/>
        <w:jc w:val="center"/>
        <w:rPr>
          <w:rFonts w:ascii="Times New Roman" w:hAnsi="Times New Roman" w:eastAsiaTheme="minorEastAsia"/>
          <w:color w:val="000000"/>
          <w:kern w:val="0"/>
          <w:sz w:val="13"/>
          <w:szCs w:val="13"/>
          <w:lang w:bidi="ar"/>
        </w:rPr>
      </w:pPr>
    </w:p>
    <w:p>
      <w:pPr>
        <w:adjustRightInd w:val="0"/>
        <w:snapToGrid w:val="0"/>
        <w:spacing w:line="276" w:lineRule="auto"/>
        <w:jc w:val="center"/>
        <w:rPr>
          <w:rFonts w:ascii="Times New Roman" w:hAnsi="Times New Roman" w:eastAsiaTheme="minorEastAsia"/>
          <w:color w:val="000000"/>
          <w:kern w:val="0"/>
          <w:sz w:val="24"/>
          <w:szCs w:val="24"/>
          <w:lang w:bidi="ar"/>
        </w:rPr>
      </w:pPr>
      <w:r>
        <w:rPr>
          <w:rFonts w:ascii="Times New Roman" w:hAnsi="Times New Roman" w:eastAsiaTheme="minorEastAsia"/>
          <w:color w:val="000000"/>
          <w:kern w:val="0"/>
          <w:sz w:val="24"/>
          <w:szCs w:val="24"/>
        </w:rPr>
        <w:drawing>
          <wp:inline distT="0" distB="0" distL="0" distR="0">
            <wp:extent cx="5727700" cy="5773420"/>
            <wp:effectExtent l="0" t="0" r="6350" b="0"/>
            <wp:docPr id="16" name="图片 16" descr="C:\Users\Administrator\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85685" cy="5832141"/>
                    </a:xfrm>
                    <a:prstGeom prst="rect">
                      <a:avLst/>
                    </a:prstGeom>
                    <a:noFill/>
                    <a:ln>
                      <a:noFill/>
                    </a:ln>
                  </pic:spPr>
                </pic:pic>
              </a:graphicData>
            </a:graphic>
          </wp:inline>
        </w:drawing>
      </w:r>
    </w:p>
    <w:p>
      <w:pPr>
        <w:adjustRightInd w:val="0"/>
        <w:snapToGrid w:val="0"/>
        <w:spacing w:line="360" w:lineRule="auto"/>
        <w:jc w:val="center"/>
        <w:rPr>
          <w:rFonts w:ascii="Times New Roman" w:hAnsi="Times New Roman" w:eastAsiaTheme="minorEastAsia"/>
          <w:color w:val="000000"/>
          <w:kern w:val="0"/>
          <w:sz w:val="24"/>
          <w:szCs w:val="24"/>
          <w:lang w:bidi="ar"/>
        </w:rPr>
      </w:pPr>
      <w:r>
        <w:rPr>
          <w:rFonts w:ascii="Times New Roman" w:hAnsi="Times New Roman" w:eastAsiaTheme="minorEastAsia"/>
          <w:b/>
          <w:color w:val="000000"/>
          <w:sz w:val="24"/>
          <w:szCs w:val="24"/>
        </w:rPr>
        <w:t>表2.7-1  本项目5km×5km范围的大气保护目标分布图</w:t>
      </w:r>
    </w:p>
    <w:p>
      <w:pPr>
        <w:pStyle w:val="4"/>
        <w:rPr>
          <w:rFonts w:eastAsiaTheme="minorEastAsia"/>
        </w:rPr>
      </w:pPr>
      <w:r>
        <w:rPr>
          <w:rFonts w:eastAsiaTheme="minorEastAsia"/>
        </w:rPr>
        <w:t>生态环境保护目标</w:t>
      </w:r>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ascii="Times New Roman" w:hAnsi="Times New Roman" w:eastAsiaTheme="minorEastAsia"/>
          <w:color w:val="000000"/>
          <w:kern w:val="0"/>
          <w:sz w:val="24"/>
          <w:szCs w:val="24"/>
          <w:lang w:bidi="ar"/>
        </w:rPr>
        <w:t>根据现场调查，本项目陆域评价范围内未发现国家级和地方重点保护野生动植物和名木古树分布。</w:t>
      </w:r>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ascii="Times New Roman" w:hAnsi="Times New Roman" w:eastAsiaTheme="minorEastAsia"/>
          <w:color w:val="000000"/>
          <w:kern w:val="0"/>
          <w:sz w:val="24"/>
          <w:szCs w:val="24"/>
          <w:lang w:bidi="ar"/>
        </w:rPr>
        <w:t>本项目生态影响保护目标主要为洞庭湖口铜鱼短颌鲚国家级水产种质资源保护区、东洞庭国家级自然保护区和岳阳楼-洞庭湖风景名胜区的城陵矶独立景点。仅涉及洞庭湖口铜鱼短颌鲚国家级水产种质资源保护区实验区，本项目不在产卵场、索饵场、越冬场范围内，</w:t>
      </w:r>
      <w:r>
        <w:rPr>
          <w:rFonts w:ascii="Times New Roman" w:hAnsi="Times New Roman" w:eastAsiaTheme="minorEastAsia"/>
          <w:sz w:val="24"/>
          <w:szCs w:val="24"/>
        </w:rPr>
        <w:t>距离工程最近的产粘砾石基质卵鱼</w:t>
      </w:r>
      <w:r>
        <w:rPr>
          <w:rFonts w:ascii="Times New Roman" w:hAnsi="Times New Roman" w:eastAsiaTheme="minorEastAsia"/>
          <w:color w:val="000000"/>
          <w:kern w:val="0"/>
          <w:sz w:val="24"/>
          <w:szCs w:val="24"/>
          <w:lang w:bidi="ar"/>
        </w:rPr>
        <w:t>类产卵场位于迈江洲，距离工程上游约2km。此外，在项目远离长江监利段四大家鱼国家级水产种质资源保护区、湖北长江新螺段白鱀豚国家级自然保护区和湖南云溪白泥湖国家湿地公园的保护范围</w:t>
      </w:r>
      <w:r>
        <w:rPr>
          <w:rFonts w:ascii="Times New Roman" w:hAnsi="Times New Roman" w:eastAsiaTheme="minorEastAsia"/>
          <w:bCs/>
          <w:sz w:val="24"/>
        </w:rPr>
        <w:t>。</w:t>
      </w:r>
    </w:p>
    <w:p>
      <w:pPr>
        <w:tabs>
          <w:tab w:val="left" w:pos="900"/>
        </w:tabs>
        <w:snapToGrid w:val="0"/>
        <w:spacing w:line="276" w:lineRule="auto"/>
        <w:jc w:val="center"/>
        <w:rPr>
          <w:rFonts w:ascii="Times New Roman" w:hAnsi="Times New Roman" w:eastAsiaTheme="minorEastAsia"/>
          <w:b/>
          <w:color w:val="FF0000"/>
          <w:sz w:val="24"/>
          <w:szCs w:val="24"/>
          <w:u w:val="single"/>
        </w:rPr>
      </w:pPr>
      <w:r>
        <w:rPr>
          <w:rFonts w:ascii="Times New Roman" w:hAnsi="Times New Roman" w:eastAsiaTheme="minorEastAsia"/>
          <w:b/>
          <w:color w:val="FF0000"/>
          <w:sz w:val="24"/>
          <w:szCs w:val="24"/>
          <w:u w:val="single"/>
        </w:rPr>
        <w:t>表2.7-4  评价范围内生态环境保护目标</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467"/>
        <w:gridCol w:w="2237"/>
        <w:gridCol w:w="53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806" w:type="pct"/>
            <w:vAlign w:val="center"/>
          </w:tcPr>
          <w:p>
            <w:pPr>
              <w:pStyle w:val="174"/>
              <w:adjustRightInd w:val="0"/>
              <w:snapToGrid w:val="0"/>
              <w:spacing w:line="240" w:lineRule="auto"/>
              <w:rPr>
                <w:rFonts w:eastAsiaTheme="minorEastAsia"/>
                <w:b/>
                <w:color w:val="FF0000"/>
                <w:sz w:val="21"/>
                <w:szCs w:val="21"/>
                <w:u w:val="single"/>
              </w:rPr>
            </w:pPr>
            <w:r>
              <w:rPr>
                <w:rFonts w:eastAsiaTheme="minorEastAsia"/>
                <w:b/>
                <w:color w:val="FF0000"/>
                <w:sz w:val="21"/>
                <w:szCs w:val="21"/>
                <w:u w:val="single"/>
              </w:rPr>
              <w:t>敏感点</w:t>
            </w:r>
          </w:p>
        </w:tc>
        <w:tc>
          <w:tcPr>
            <w:tcW w:w="1229" w:type="pct"/>
            <w:vAlign w:val="center"/>
          </w:tcPr>
          <w:p>
            <w:pPr>
              <w:pStyle w:val="174"/>
              <w:adjustRightInd w:val="0"/>
              <w:snapToGrid w:val="0"/>
              <w:spacing w:line="240" w:lineRule="auto"/>
              <w:rPr>
                <w:rFonts w:eastAsiaTheme="minorEastAsia"/>
                <w:b/>
                <w:color w:val="FF0000"/>
                <w:sz w:val="21"/>
                <w:szCs w:val="21"/>
                <w:u w:val="single"/>
              </w:rPr>
            </w:pPr>
            <w:r>
              <w:rPr>
                <w:rFonts w:eastAsiaTheme="minorEastAsia"/>
                <w:b/>
                <w:color w:val="FF0000"/>
                <w:sz w:val="21"/>
                <w:szCs w:val="21"/>
                <w:u w:val="single"/>
              </w:rPr>
              <w:t>与工程相对位置</w:t>
            </w:r>
          </w:p>
        </w:tc>
        <w:tc>
          <w:tcPr>
            <w:tcW w:w="2965" w:type="pct"/>
            <w:vAlign w:val="center"/>
          </w:tcPr>
          <w:p>
            <w:pPr>
              <w:pStyle w:val="174"/>
              <w:adjustRightInd w:val="0"/>
              <w:snapToGrid w:val="0"/>
              <w:spacing w:line="240" w:lineRule="auto"/>
              <w:rPr>
                <w:rFonts w:eastAsiaTheme="minorEastAsia"/>
                <w:b/>
                <w:color w:val="FF0000"/>
                <w:sz w:val="21"/>
                <w:szCs w:val="21"/>
                <w:u w:val="single"/>
              </w:rPr>
            </w:pPr>
            <w:r>
              <w:rPr>
                <w:rFonts w:eastAsiaTheme="minorEastAsia"/>
                <w:b/>
                <w:color w:val="FF0000"/>
                <w:sz w:val="21"/>
                <w:szCs w:val="21"/>
                <w:u w:val="single"/>
              </w:rPr>
              <w:t>规模与环境特征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6" w:type="pct"/>
            <w:vAlign w:val="center"/>
          </w:tcPr>
          <w:p>
            <w:pPr>
              <w:pStyle w:val="174"/>
              <w:adjustRightInd w:val="0"/>
              <w:snapToGrid w:val="0"/>
              <w:spacing w:line="240" w:lineRule="auto"/>
              <w:rPr>
                <w:rFonts w:eastAsiaTheme="minorEastAsia"/>
                <w:color w:val="FF0000"/>
                <w:sz w:val="21"/>
                <w:szCs w:val="21"/>
                <w:u w:val="single"/>
              </w:rPr>
            </w:pPr>
            <w:r>
              <w:rPr>
                <w:rFonts w:eastAsiaTheme="minorEastAsia"/>
                <w:color w:val="FF0000"/>
                <w:sz w:val="21"/>
                <w:szCs w:val="21"/>
                <w:u w:val="single"/>
              </w:rPr>
              <w:t>野生动植物资源</w:t>
            </w:r>
          </w:p>
        </w:tc>
        <w:tc>
          <w:tcPr>
            <w:tcW w:w="1229" w:type="pct"/>
            <w:vAlign w:val="center"/>
          </w:tcPr>
          <w:p>
            <w:pPr>
              <w:pStyle w:val="174"/>
              <w:adjustRightInd w:val="0"/>
              <w:snapToGrid w:val="0"/>
              <w:spacing w:line="240" w:lineRule="auto"/>
              <w:jc w:val="both"/>
              <w:rPr>
                <w:rFonts w:eastAsiaTheme="minorEastAsia"/>
                <w:color w:val="FF0000"/>
                <w:sz w:val="21"/>
                <w:szCs w:val="21"/>
                <w:u w:val="single"/>
              </w:rPr>
            </w:pPr>
            <w:r>
              <w:rPr>
                <w:rFonts w:eastAsiaTheme="minorEastAsia"/>
                <w:color w:val="FF0000"/>
                <w:sz w:val="21"/>
                <w:szCs w:val="21"/>
                <w:u w:val="single"/>
              </w:rPr>
              <w:t>分布于码头作业区边缘影响区域内</w:t>
            </w:r>
          </w:p>
        </w:tc>
        <w:tc>
          <w:tcPr>
            <w:tcW w:w="2965" w:type="pct"/>
            <w:vAlign w:val="center"/>
          </w:tcPr>
          <w:p>
            <w:pPr>
              <w:pStyle w:val="174"/>
              <w:adjustRightInd w:val="0"/>
              <w:snapToGrid w:val="0"/>
              <w:spacing w:line="240" w:lineRule="auto"/>
              <w:jc w:val="both"/>
              <w:rPr>
                <w:rFonts w:eastAsiaTheme="minorEastAsia"/>
                <w:color w:val="FF0000"/>
                <w:sz w:val="21"/>
                <w:szCs w:val="21"/>
                <w:u w:val="single"/>
              </w:rPr>
            </w:pPr>
            <w:r>
              <w:rPr>
                <w:rFonts w:eastAsiaTheme="minorEastAsia"/>
                <w:color w:val="FF0000"/>
                <w:sz w:val="21"/>
                <w:szCs w:val="21"/>
                <w:u w:val="single"/>
              </w:rPr>
              <w:t>植被类型单一，主要是常见的人工植被为主，另外还有大量的灌草丛；野生动物较少，多为鸟类、蛇类、青蛙、鼠类等常见物种，无珍稀濒危物种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6" w:type="pct"/>
            <w:vAlign w:val="center"/>
          </w:tcPr>
          <w:p>
            <w:pPr>
              <w:pStyle w:val="174"/>
              <w:adjustRightInd w:val="0"/>
              <w:snapToGrid w:val="0"/>
              <w:spacing w:line="240" w:lineRule="auto"/>
              <w:rPr>
                <w:rFonts w:eastAsiaTheme="minorEastAsia"/>
                <w:color w:val="FF0000"/>
                <w:sz w:val="21"/>
                <w:szCs w:val="21"/>
                <w:u w:val="single"/>
              </w:rPr>
            </w:pPr>
            <w:r>
              <w:rPr>
                <w:rFonts w:eastAsiaTheme="minorEastAsia"/>
                <w:color w:val="FF0000"/>
                <w:sz w:val="21"/>
                <w:szCs w:val="21"/>
                <w:u w:val="single"/>
              </w:rPr>
              <w:t>水生生物资源</w:t>
            </w:r>
          </w:p>
        </w:tc>
        <w:tc>
          <w:tcPr>
            <w:tcW w:w="1229" w:type="pct"/>
            <w:vAlign w:val="center"/>
          </w:tcPr>
          <w:p>
            <w:pPr>
              <w:pStyle w:val="174"/>
              <w:adjustRightInd w:val="0"/>
              <w:snapToGrid w:val="0"/>
              <w:spacing w:line="240" w:lineRule="auto"/>
              <w:jc w:val="both"/>
              <w:rPr>
                <w:rFonts w:eastAsiaTheme="minorEastAsia"/>
                <w:color w:val="FF0000"/>
                <w:sz w:val="21"/>
                <w:szCs w:val="21"/>
                <w:u w:val="single"/>
              </w:rPr>
            </w:pPr>
            <w:r>
              <w:rPr>
                <w:rFonts w:eastAsiaTheme="minorEastAsia"/>
                <w:color w:val="FF0000"/>
                <w:sz w:val="21"/>
                <w:szCs w:val="21"/>
                <w:u w:val="single"/>
              </w:rPr>
              <w:t>评价长江江段</w:t>
            </w:r>
          </w:p>
        </w:tc>
        <w:tc>
          <w:tcPr>
            <w:tcW w:w="2965" w:type="pct"/>
            <w:vAlign w:val="center"/>
          </w:tcPr>
          <w:p>
            <w:pPr>
              <w:pStyle w:val="174"/>
              <w:adjustRightInd w:val="0"/>
              <w:snapToGrid w:val="0"/>
              <w:spacing w:line="240" w:lineRule="auto"/>
              <w:jc w:val="both"/>
              <w:rPr>
                <w:rFonts w:eastAsiaTheme="minorEastAsia"/>
                <w:color w:val="FF0000"/>
                <w:sz w:val="21"/>
                <w:szCs w:val="21"/>
                <w:u w:val="single"/>
              </w:rPr>
            </w:pPr>
            <w:r>
              <w:rPr>
                <w:rFonts w:eastAsiaTheme="minorEastAsia"/>
                <w:color w:val="FF0000"/>
                <w:sz w:val="21"/>
                <w:szCs w:val="21"/>
                <w:u w:val="single"/>
              </w:rPr>
              <w:t>水生生物丰富，浮游植物有64种，浮游动物有58种，底栖动物约有20种。有鱼类115种，以鲤科为大宗，是淡水鱼类主要集散地，且洄游性鱼类较多，其他水生动物有软体类、甲壳类、爬行类等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6" w:type="pct"/>
            <w:vAlign w:val="center"/>
          </w:tcPr>
          <w:p>
            <w:pPr>
              <w:pStyle w:val="174"/>
              <w:adjustRightInd w:val="0"/>
              <w:snapToGrid w:val="0"/>
              <w:spacing w:line="240" w:lineRule="auto"/>
              <w:rPr>
                <w:rFonts w:eastAsiaTheme="minorEastAsia"/>
                <w:color w:val="FF0000"/>
                <w:sz w:val="21"/>
                <w:szCs w:val="21"/>
                <w:u w:val="single"/>
              </w:rPr>
            </w:pPr>
            <w:r>
              <w:rPr>
                <w:rFonts w:eastAsiaTheme="minorEastAsia"/>
                <w:color w:val="FF0000"/>
                <w:sz w:val="21"/>
                <w:szCs w:val="21"/>
                <w:u w:val="single"/>
              </w:rPr>
              <w:t>农田</w:t>
            </w:r>
          </w:p>
        </w:tc>
        <w:tc>
          <w:tcPr>
            <w:tcW w:w="1229" w:type="pct"/>
            <w:vAlign w:val="center"/>
          </w:tcPr>
          <w:p>
            <w:pPr>
              <w:pStyle w:val="174"/>
              <w:adjustRightInd w:val="0"/>
              <w:snapToGrid w:val="0"/>
              <w:spacing w:line="240" w:lineRule="auto"/>
              <w:jc w:val="both"/>
              <w:rPr>
                <w:rFonts w:eastAsiaTheme="minorEastAsia"/>
                <w:color w:val="FF0000"/>
                <w:sz w:val="21"/>
                <w:szCs w:val="21"/>
                <w:u w:val="single"/>
              </w:rPr>
            </w:pPr>
            <w:r>
              <w:rPr>
                <w:rFonts w:eastAsiaTheme="minorEastAsia"/>
                <w:color w:val="FF0000"/>
                <w:sz w:val="21"/>
                <w:szCs w:val="21"/>
                <w:u w:val="single"/>
              </w:rPr>
              <w:t>分布于码头作业区外</w:t>
            </w:r>
          </w:p>
        </w:tc>
        <w:tc>
          <w:tcPr>
            <w:tcW w:w="2965" w:type="pct"/>
            <w:vAlign w:val="center"/>
          </w:tcPr>
          <w:p>
            <w:pPr>
              <w:pStyle w:val="174"/>
              <w:adjustRightInd w:val="0"/>
              <w:snapToGrid w:val="0"/>
              <w:spacing w:line="240" w:lineRule="auto"/>
              <w:jc w:val="both"/>
              <w:rPr>
                <w:rFonts w:eastAsiaTheme="minorEastAsia"/>
                <w:color w:val="FF0000"/>
                <w:sz w:val="21"/>
                <w:szCs w:val="21"/>
                <w:u w:val="single"/>
              </w:rPr>
            </w:pPr>
            <w:r>
              <w:rPr>
                <w:rFonts w:eastAsiaTheme="minorEastAsia"/>
                <w:color w:val="FF0000"/>
                <w:sz w:val="21"/>
                <w:szCs w:val="21"/>
                <w:u w:val="single"/>
              </w:rPr>
              <w:t>主要作物为水稻、玉米、棉花等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6" w:type="pct"/>
            <w:vAlign w:val="center"/>
          </w:tcPr>
          <w:p>
            <w:pPr>
              <w:pStyle w:val="174"/>
              <w:adjustRightInd w:val="0"/>
              <w:snapToGrid w:val="0"/>
              <w:spacing w:line="240" w:lineRule="auto"/>
              <w:rPr>
                <w:rFonts w:eastAsiaTheme="minorEastAsia"/>
                <w:color w:val="FF0000"/>
                <w:sz w:val="21"/>
                <w:szCs w:val="21"/>
                <w:u w:val="single"/>
              </w:rPr>
            </w:pPr>
            <w:r>
              <w:rPr>
                <w:rFonts w:eastAsiaTheme="minorEastAsia"/>
                <w:color w:val="FF0000"/>
                <w:sz w:val="21"/>
                <w:szCs w:val="21"/>
                <w:u w:val="single"/>
              </w:rPr>
              <w:t>洞庭湖口铜鱼短颌鲚国家级水产种质资源保护区</w:t>
            </w:r>
          </w:p>
        </w:tc>
        <w:tc>
          <w:tcPr>
            <w:tcW w:w="1229" w:type="pct"/>
            <w:vAlign w:val="center"/>
          </w:tcPr>
          <w:p>
            <w:pPr>
              <w:pStyle w:val="174"/>
              <w:adjustRightInd w:val="0"/>
              <w:snapToGrid w:val="0"/>
              <w:spacing w:line="240" w:lineRule="auto"/>
              <w:jc w:val="both"/>
              <w:rPr>
                <w:rFonts w:eastAsiaTheme="minorEastAsia"/>
                <w:color w:val="FF0000"/>
                <w:sz w:val="21"/>
                <w:szCs w:val="21"/>
                <w:u w:val="single"/>
              </w:rPr>
            </w:pPr>
            <w:r>
              <w:rPr>
                <w:rFonts w:eastAsiaTheme="minorEastAsia"/>
                <w:color w:val="FF0000"/>
                <w:sz w:val="21"/>
                <w:szCs w:val="21"/>
                <w:u w:val="single"/>
              </w:rPr>
              <w:t>本项目位于该水产种质自然保护区的实验区范围内，见附图9</w:t>
            </w:r>
          </w:p>
        </w:tc>
        <w:tc>
          <w:tcPr>
            <w:tcW w:w="2965" w:type="pct"/>
            <w:vAlign w:val="center"/>
          </w:tcPr>
          <w:p>
            <w:pPr>
              <w:pStyle w:val="174"/>
              <w:adjustRightInd w:val="0"/>
              <w:snapToGrid w:val="0"/>
              <w:spacing w:line="240" w:lineRule="auto"/>
              <w:jc w:val="both"/>
              <w:rPr>
                <w:rFonts w:eastAsiaTheme="minorEastAsia"/>
                <w:color w:val="FF0000"/>
                <w:sz w:val="21"/>
                <w:szCs w:val="21"/>
                <w:u w:val="single"/>
              </w:rPr>
            </w:pPr>
            <w:r>
              <w:rPr>
                <w:rFonts w:eastAsiaTheme="minorEastAsia"/>
                <w:color w:val="FF0000"/>
                <w:sz w:val="21"/>
                <w:szCs w:val="21"/>
                <w:u w:val="single"/>
              </w:rPr>
              <w:t>主要保护对象为铜鱼、短颌鲚，其他保护物种还有青鱼、草鱼、鲢、鳙、鱤、鳤、鯮等江河半洄游性鱼类。距离工程最近的产粘砾石基质卵鱼类产卵场位于迈江洲，距离工程上游约2km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6" w:type="pct"/>
            <w:vAlign w:val="center"/>
          </w:tcPr>
          <w:p>
            <w:pPr>
              <w:pStyle w:val="174"/>
              <w:adjustRightInd w:val="0"/>
              <w:snapToGrid w:val="0"/>
              <w:spacing w:line="240" w:lineRule="auto"/>
              <w:rPr>
                <w:rFonts w:eastAsiaTheme="minorEastAsia"/>
                <w:color w:val="FF0000"/>
                <w:sz w:val="21"/>
                <w:szCs w:val="21"/>
                <w:u w:val="single"/>
              </w:rPr>
            </w:pPr>
            <w:r>
              <w:rPr>
                <w:rFonts w:eastAsiaTheme="minorEastAsia"/>
                <w:color w:val="FF0000"/>
                <w:sz w:val="21"/>
                <w:szCs w:val="21"/>
                <w:u w:val="single"/>
              </w:rPr>
              <w:t>湖南东洞庭湖国家级自然保护区</w:t>
            </w:r>
          </w:p>
        </w:tc>
        <w:tc>
          <w:tcPr>
            <w:tcW w:w="1229" w:type="pct"/>
            <w:vAlign w:val="center"/>
          </w:tcPr>
          <w:p>
            <w:pPr>
              <w:pStyle w:val="174"/>
              <w:adjustRightInd w:val="0"/>
              <w:snapToGrid w:val="0"/>
              <w:spacing w:line="240" w:lineRule="auto"/>
              <w:jc w:val="both"/>
              <w:rPr>
                <w:rFonts w:eastAsiaTheme="minorEastAsia"/>
                <w:color w:val="FF0000"/>
                <w:sz w:val="21"/>
                <w:szCs w:val="21"/>
                <w:u w:val="single"/>
              </w:rPr>
            </w:pPr>
            <w:r>
              <w:rPr>
                <w:rFonts w:eastAsiaTheme="minorEastAsia"/>
                <w:color w:val="FF0000"/>
                <w:sz w:val="21"/>
                <w:szCs w:val="21"/>
                <w:u w:val="single"/>
              </w:rPr>
              <w:t>本项目与自然保护区最近的为实验区，与实验区边界最近距离约40m，见附图10</w:t>
            </w:r>
          </w:p>
        </w:tc>
        <w:tc>
          <w:tcPr>
            <w:tcW w:w="2965" w:type="pct"/>
            <w:vAlign w:val="center"/>
          </w:tcPr>
          <w:p>
            <w:pPr>
              <w:pStyle w:val="174"/>
              <w:adjustRightInd w:val="0"/>
              <w:snapToGrid w:val="0"/>
              <w:spacing w:line="240" w:lineRule="auto"/>
              <w:jc w:val="both"/>
              <w:rPr>
                <w:rFonts w:eastAsiaTheme="minorEastAsia"/>
                <w:color w:val="FF0000"/>
                <w:sz w:val="21"/>
                <w:szCs w:val="21"/>
                <w:u w:val="single"/>
              </w:rPr>
            </w:pPr>
            <w:r>
              <w:rPr>
                <w:rFonts w:eastAsiaTheme="minorEastAsia"/>
                <w:color w:val="FF0000"/>
                <w:sz w:val="21"/>
                <w:szCs w:val="21"/>
                <w:u w:val="single"/>
              </w:rPr>
              <w:t>东洞庭湖国家级自然保护区位于</w:t>
            </w:r>
            <w:r>
              <w:rPr>
                <w:color w:val="FF0000"/>
                <w:u w:val="single"/>
              </w:rPr>
              <w:fldChar w:fldCharType="begin"/>
            </w:r>
            <w:r>
              <w:rPr>
                <w:color w:val="FF0000"/>
                <w:u w:val="single"/>
              </w:rPr>
              <w:instrText xml:space="preserve"> HYPERLINK "https://baike.so.com/doc/899615-950884.html" \t "_blank" </w:instrText>
            </w:r>
            <w:r>
              <w:rPr>
                <w:color w:val="FF0000"/>
                <w:u w:val="single"/>
              </w:rPr>
              <w:fldChar w:fldCharType="separate"/>
            </w:r>
            <w:r>
              <w:rPr>
                <w:rFonts w:eastAsiaTheme="minorEastAsia"/>
                <w:color w:val="FF0000"/>
                <w:sz w:val="21"/>
                <w:szCs w:val="21"/>
                <w:u w:val="single"/>
              </w:rPr>
              <w:t>洞庭湖</w:t>
            </w:r>
            <w:r>
              <w:rPr>
                <w:rFonts w:eastAsiaTheme="minorEastAsia"/>
                <w:color w:val="FF0000"/>
                <w:sz w:val="21"/>
                <w:szCs w:val="21"/>
                <w:u w:val="single"/>
              </w:rPr>
              <w:fldChar w:fldCharType="end"/>
            </w:r>
            <w:r>
              <w:rPr>
                <w:rFonts w:eastAsiaTheme="minorEastAsia"/>
                <w:color w:val="FF0000"/>
                <w:sz w:val="21"/>
                <w:szCs w:val="21"/>
                <w:u w:val="single"/>
              </w:rPr>
              <w:t>东部，处于长江中下游、湖南省北部，是生物多样性极为丰富的国际重要湿地。总面积19万hm</w:t>
            </w:r>
            <w:r>
              <w:rPr>
                <w:rFonts w:eastAsiaTheme="minorEastAsia"/>
                <w:color w:val="FF0000"/>
                <w:sz w:val="21"/>
                <w:szCs w:val="21"/>
                <w:u w:val="single"/>
                <w:vertAlign w:val="superscript"/>
              </w:rPr>
              <w:t>2</w:t>
            </w:r>
            <w:r>
              <w:rPr>
                <w:rFonts w:eastAsiaTheme="minorEastAsia"/>
                <w:color w:val="FF0000"/>
                <w:sz w:val="21"/>
                <w:szCs w:val="21"/>
                <w:u w:val="single"/>
              </w:rPr>
              <w:t>，其中水域面积6.54万hm</w:t>
            </w:r>
            <w:r>
              <w:rPr>
                <w:rFonts w:eastAsiaTheme="minorEastAsia"/>
                <w:color w:val="FF0000"/>
                <w:sz w:val="21"/>
                <w:szCs w:val="21"/>
                <w:u w:val="single"/>
                <w:vertAlign w:val="superscript"/>
              </w:rPr>
              <w:t>2</w:t>
            </w:r>
            <w:r>
              <w:rPr>
                <w:rFonts w:eastAsiaTheme="minorEastAsia"/>
                <w:color w:val="FF0000"/>
                <w:sz w:val="21"/>
                <w:szCs w:val="21"/>
                <w:u w:val="single"/>
              </w:rPr>
              <w:t>，核心区面积2.9万hm</w:t>
            </w:r>
            <w:r>
              <w:rPr>
                <w:rFonts w:eastAsiaTheme="minorEastAsia"/>
                <w:color w:val="FF0000"/>
                <w:sz w:val="21"/>
                <w:szCs w:val="21"/>
                <w:u w:val="single"/>
                <w:vertAlign w:val="superscript"/>
              </w:rPr>
              <w:t>2</w:t>
            </w:r>
            <w:r>
              <w:rPr>
                <w:rFonts w:eastAsiaTheme="minorEastAsia"/>
                <w:color w:val="FF0000"/>
                <w:sz w:val="21"/>
                <w:szCs w:val="21"/>
                <w:u w:val="single"/>
              </w:rPr>
              <w:t>。保护区内有鸟类303种，鱼类114种，水生动物68种，水生植物近400种，国家重点保护的水生哺乳动物江豚和白豚2种，其中国家一级保护鸟类7种、鱼类2种、水生哺乳动物1种、保护植物3种。国家二级保护鸟类37种、鱼类3种、水生哺乳动物1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6" w:type="pct"/>
            <w:vAlign w:val="center"/>
          </w:tcPr>
          <w:p>
            <w:pPr>
              <w:pStyle w:val="174"/>
              <w:adjustRightInd w:val="0"/>
              <w:snapToGrid w:val="0"/>
              <w:spacing w:line="240" w:lineRule="auto"/>
              <w:rPr>
                <w:rFonts w:eastAsiaTheme="minorEastAsia"/>
                <w:color w:val="FF0000"/>
                <w:u w:val="single"/>
              </w:rPr>
            </w:pPr>
            <w:r>
              <w:rPr>
                <w:rFonts w:eastAsiaTheme="minorEastAsia"/>
                <w:color w:val="FF0000"/>
                <w:sz w:val="21"/>
                <w:szCs w:val="21"/>
                <w:u w:val="single"/>
              </w:rPr>
              <w:t>岳阳楼-洞庭湖风景名胜区</w:t>
            </w:r>
          </w:p>
        </w:tc>
        <w:tc>
          <w:tcPr>
            <w:tcW w:w="1229" w:type="pct"/>
            <w:vAlign w:val="center"/>
          </w:tcPr>
          <w:p>
            <w:pPr>
              <w:pStyle w:val="174"/>
              <w:adjustRightInd w:val="0"/>
              <w:snapToGrid w:val="0"/>
              <w:spacing w:line="240" w:lineRule="auto"/>
              <w:jc w:val="both"/>
              <w:rPr>
                <w:rFonts w:eastAsiaTheme="minorEastAsia"/>
                <w:color w:val="FF0000"/>
                <w:sz w:val="21"/>
                <w:szCs w:val="21"/>
                <w:u w:val="single"/>
              </w:rPr>
            </w:pPr>
            <w:r>
              <w:rPr>
                <w:rFonts w:eastAsiaTheme="minorEastAsia"/>
                <w:color w:val="FF0000"/>
                <w:sz w:val="21"/>
                <w:szCs w:val="21"/>
                <w:u w:val="single"/>
              </w:rPr>
              <w:t>本项目位于风景名胜区的城陵矶独立景点的外围保护地带范围内，不属于风景名胜区范围内。拟提质改造的2#泊位与城陵矶独立景点的二级保护区（不设三级保护区）边界最近直线距离约145m，新增的输煤皮带线位于城陵矶独立景点的外围保护地带范围内，与城陵矶独立景点的二级保护区的最近距离约10m，见附图11</w:t>
            </w:r>
          </w:p>
        </w:tc>
        <w:tc>
          <w:tcPr>
            <w:tcW w:w="2965" w:type="pct"/>
            <w:vAlign w:val="center"/>
          </w:tcPr>
          <w:p>
            <w:pPr>
              <w:pStyle w:val="174"/>
              <w:adjustRightInd w:val="0"/>
              <w:snapToGrid w:val="0"/>
              <w:spacing w:line="240" w:lineRule="auto"/>
              <w:jc w:val="both"/>
              <w:rPr>
                <w:rFonts w:eastAsiaTheme="minorEastAsia"/>
                <w:color w:val="FF0000"/>
                <w:sz w:val="21"/>
                <w:szCs w:val="21"/>
                <w:u w:val="single"/>
              </w:rPr>
            </w:pPr>
            <w:r>
              <w:rPr>
                <w:rFonts w:eastAsiaTheme="minorEastAsia"/>
                <w:color w:val="FF0000"/>
                <w:sz w:val="21"/>
                <w:szCs w:val="21"/>
                <w:u w:val="single"/>
              </w:rPr>
              <w:t>风景名胜区包括岳阳楼景区、君山景区、南湖景区、屈子祠汨罗江景区、铁山景区五个景区以及团湖、城陵矶两处独立景点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6" w:type="pct"/>
            <w:vAlign w:val="center"/>
          </w:tcPr>
          <w:p>
            <w:pPr>
              <w:pStyle w:val="174"/>
              <w:adjustRightInd w:val="0"/>
              <w:snapToGrid w:val="0"/>
              <w:spacing w:line="240" w:lineRule="auto"/>
              <w:rPr>
                <w:rFonts w:eastAsiaTheme="minorEastAsia"/>
                <w:color w:val="FF0000"/>
                <w:u w:val="single"/>
              </w:rPr>
            </w:pPr>
            <w:r>
              <w:rPr>
                <w:rFonts w:eastAsiaTheme="minorEastAsia"/>
                <w:color w:val="FF0000"/>
                <w:sz w:val="21"/>
                <w:szCs w:val="21"/>
                <w:u w:val="single"/>
              </w:rPr>
              <w:t>长江监利段四大家鱼国家级水产种质资源保护区</w:t>
            </w:r>
          </w:p>
        </w:tc>
        <w:tc>
          <w:tcPr>
            <w:tcW w:w="1229" w:type="pct"/>
            <w:vAlign w:val="center"/>
          </w:tcPr>
          <w:p>
            <w:pPr>
              <w:pStyle w:val="174"/>
              <w:adjustRightInd w:val="0"/>
              <w:snapToGrid w:val="0"/>
              <w:spacing w:line="240" w:lineRule="auto"/>
              <w:jc w:val="both"/>
              <w:rPr>
                <w:rFonts w:eastAsiaTheme="minorEastAsia"/>
                <w:color w:val="FF0000"/>
                <w:sz w:val="21"/>
                <w:szCs w:val="21"/>
                <w:u w:val="single"/>
              </w:rPr>
            </w:pPr>
            <w:r>
              <w:rPr>
                <w:rFonts w:eastAsiaTheme="minorEastAsia"/>
                <w:color w:val="FF0000"/>
                <w:sz w:val="21"/>
                <w:szCs w:val="21"/>
                <w:u w:val="single"/>
              </w:rPr>
              <w:t>本项目位于该水产种质自然保护区范围外，项目与水产种质资源保护区最近的为实验区，与实验区上边界最近距离约8.8km，见附图12</w:t>
            </w:r>
          </w:p>
        </w:tc>
        <w:tc>
          <w:tcPr>
            <w:tcW w:w="2965" w:type="pct"/>
            <w:vAlign w:val="center"/>
          </w:tcPr>
          <w:p>
            <w:pPr>
              <w:adjustRightInd w:val="0"/>
              <w:snapToGrid w:val="0"/>
              <w:rPr>
                <w:rFonts w:ascii="Times New Roman" w:hAnsi="Times New Roman" w:eastAsiaTheme="minorEastAsia"/>
                <w:color w:val="FF0000"/>
                <w:kern w:val="10"/>
                <w:u w:val="single"/>
              </w:rPr>
            </w:pPr>
            <w:r>
              <w:rPr>
                <w:rFonts w:ascii="Times New Roman" w:hAnsi="Times New Roman" w:eastAsiaTheme="minorEastAsia"/>
                <w:color w:val="FF0000"/>
                <w:kern w:val="10"/>
                <w:u w:val="single"/>
              </w:rPr>
              <w:t>保护区主要保护对象为青鱼、草鱼、鲢、鳙“四大家鱼”，其他保护对象为保护区内的其它水生生物。不涉及鱼类三场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6" w:type="pct"/>
            <w:vAlign w:val="center"/>
          </w:tcPr>
          <w:p>
            <w:pPr>
              <w:pStyle w:val="174"/>
              <w:adjustRightInd w:val="0"/>
              <w:snapToGrid w:val="0"/>
              <w:spacing w:line="240" w:lineRule="auto"/>
              <w:rPr>
                <w:rFonts w:eastAsiaTheme="minorEastAsia"/>
                <w:color w:val="FF0000"/>
                <w:sz w:val="21"/>
                <w:szCs w:val="21"/>
                <w:u w:val="single"/>
              </w:rPr>
            </w:pPr>
            <w:r>
              <w:rPr>
                <w:rFonts w:eastAsiaTheme="minorEastAsia"/>
                <w:color w:val="FF0000"/>
                <w:kern w:val="0"/>
                <w:sz w:val="21"/>
                <w:szCs w:val="21"/>
                <w:u w:val="single"/>
              </w:rPr>
              <w:t>湖北长江新螺段白鱀豚国家级自然保护区</w:t>
            </w:r>
          </w:p>
        </w:tc>
        <w:tc>
          <w:tcPr>
            <w:tcW w:w="1229" w:type="pct"/>
            <w:vAlign w:val="center"/>
          </w:tcPr>
          <w:p>
            <w:pPr>
              <w:pStyle w:val="174"/>
              <w:adjustRightInd w:val="0"/>
              <w:snapToGrid w:val="0"/>
              <w:spacing w:line="240" w:lineRule="auto"/>
              <w:jc w:val="both"/>
              <w:rPr>
                <w:rFonts w:eastAsiaTheme="minorEastAsia"/>
                <w:color w:val="FF0000"/>
                <w:sz w:val="21"/>
                <w:szCs w:val="21"/>
                <w:u w:val="single"/>
              </w:rPr>
            </w:pPr>
            <w:r>
              <w:rPr>
                <w:rFonts w:eastAsiaTheme="minorEastAsia"/>
                <w:color w:val="FF0000"/>
                <w:sz w:val="21"/>
                <w:szCs w:val="21"/>
                <w:u w:val="single"/>
              </w:rPr>
              <w:t>本项目位于白鱀豚国家级自然保护区上游，自然保护区的范围外，项目与自然保护区最近的为实验区，与实验区上边界最近距离约26.7km，见附图13</w:t>
            </w:r>
          </w:p>
        </w:tc>
        <w:tc>
          <w:tcPr>
            <w:tcW w:w="2965" w:type="pct"/>
            <w:vAlign w:val="center"/>
          </w:tcPr>
          <w:p>
            <w:pPr>
              <w:pStyle w:val="174"/>
              <w:adjustRightInd w:val="0"/>
              <w:snapToGrid w:val="0"/>
              <w:spacing w:line="240" w:lineRule="auto"/>
              <w:jc w:val="both"/>
              <w:rPr>
                <w:rFonts w:eastAsiaTheme="minorEastAsia"/>
                <w:color w:val="FF0000"/>
                <w:sz w:val="21"/>
                <w:szCs w:val="21"/>
                <w:u w:val="single"/>
              </w:rPr>
            </w:pPr>
            <w:r>
              <w:rPr>
                <w:rFonts w:eastAsiaTheme="minorEastAsia"/>
                <w:color w:val="FF0000"/>
                <w:sz w:val="21"/>
                <w:szCs w:val="21"/>
                <w:u w:val="single"/>
                <w:shd w:val="clear" w:color="auto" w:fill="FFFFFF"/>
              </w:rPr>
              <w:t>湖北长江新螺段白鱀豚国家级自然保护区位于湖北省洪湖市、赤壁市、嘉鱼县和湖南省临湘市4市县的交界处。地理位置为东经113°07ˊ19″~114°05ˊ12″，北纬29°38ˊ39″~30°05ˊ12″，国土面积41607hm</w:t>
            </w:r>
            <w:r>
              <w:rPr>
                <w:rFonts w:eastAsiaTheme="minorEastAsia"/>
                <w:color w:val="FF0000"/>
                <w:sz w:val="21"/>
                <w:szCs w:val="21"/>
                <w:u w:val="single"/>
                <w:shd w:val="clear" w:color="auto" w:fill="FFFFFF"/>
                <w:vertAlign w:val="superscript"/>
              </w:rPr>
              <w:t>2</w:t>
            </w:r>
            <w:r>
              <w:rPr>
                <w:rFonts w:eastAsiaTheme="minorEastAsia"/>
                <w:color w:val="FF0000"/>
                <w:sz w:val="21"/>
                <w:szCs w:val="21"/>
                <w:u w:val="single"/>
                <w:shd w:val="clear" w:color="auto" w:fill="FFFFFF"/>
              </w:rPr>
              <w:t>。该区范围长135.5km，宽1000~2500m。1987年湖北省人民政府就批准筹建保护区，1992年10月27日晋升为国家级自然保护区。保护区主要保护对象是国家一级保护野生水生动物白鱀豚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6" w:type="pct"/>
            <w:vAlign w:val="center"/>
          </w:tcPr>
          <w:p>
            <w:pPr>
              <w:pStyle w:val="174"/>
              <w:adjustRightInd w:val="0"/>
              <w:snapToGrid w:val="0"/>
              <w:spacing w:line="240" w:lineRule="auto"/>
              <w:rPr>
                <w:rFonts w:eastAsiaTheme="minorEastAsia"/>
                <w:color w:val="FF0000"/>
                <w:sz w:val="21"/>
                <w:szCs w:val="21"/>
                <w:u w:val="single"/>
              </w:rPr>
            </w:pPr>
            <w:r>
              <w:rPr>
                <w:rFonts w:eastAsiaTheme="minorEastAsia"/>
                <w:color w:val="FF0000"/>
                <w:kern w:val="0"/>
                <w:sz w:val="21"/>
                <w:szCs w:val="21"/>
                <w:u w:val="single"/>
              </w:rPr>
              <w:t>湖南云溪白泥湖国家湿地公园</w:t>
            </w:r>
          </w:p>
        </w:tc>
        <w:tc>
          <w:tcPr>
            <w:tcW w:w="1229" w:type="pct"/>
            <w:vAlign w:val="center"/>
          </w:tcPr>
          <w:p>
            <w:pPr>
              <w:pStyle w:val="174"/>
              <w:adjustRightInd w:val="0"/>
              <w:snapToGrid w:val="0"/>
              <w:spacing w:line="240" w:lineRule="auto"/>
              <w:jc w:val="both"/>
              <w:rPr>
                <w:rFonts w:eastAsiaTheme="minorEastAsia"/>
                <w:color w:val="FF0000"/>
                <w:sz w:val="21"/>
                <w:szCs w:val="21"/>
                <w:u w:val="single"/>
              </w:rPr>
            </w:pPr>
            <w:r>
              <w:rPr>
                <w:rFonts w:eastAsiaTheme="minorEastAsia"/>
                <w:bCs/>
                <w:color w:val="FF0000"/>
                <w:sz w:val="21"/>
                <w:szCs w:val="21"/>
                <w:u w:val="single"/>
              </w:rPr>
              <w:t>本项目位于白泥湖湿地公园范围外，项目与湿地公园边界最近直线距离约</w:t>
            </w:r>
            <w:r>
              <w:rPr>
                <w:rFonts w:eastAsiaTheme="minorEastAsia"/>
                <w:bCs/>
                <w:color w:val="FF0000"/>
                <w:kern w:val="2"/>
                <w:sz w:val="21"/>
                <w:szCs w:val="21"/>
                <w:u w:val="single"/>
              </w:rPr>
              <w:t>12.0km</w:t>
            </w:r>
            <w:r>
              <w:rPr>
                <w:rFonts w:eastAsiaTheme="minorEastAsia"/>
                <w:bCs/>
                <w:color w:val="FF0000"/>
                <w:sz w:val="21"/>
                <w:szCs w:val="21"/>
                <w:u w:val="single"/>
              </w:rPr>
              <w:t>，见附图14</w:t>
            </w:r>
          </w:p>
        </w:tc>
        <w:tc>
          <w:tcPr>
            <w:tcW w:w="2965" w:type="pct"/>
            <w:vAlign w:val="center"/>
          </w:tcPr>
          <w:p>
            <w:pPr>
              <w:pStyle w:val="174"/>
              <w:adjustRightInd w:val="0"/>
              <w:snapToGrid w:val="0"/>
              <w:spacing w:line="240" w:lineRule="auto"/>
              <w:jc w:val="both"/>
              <w:rPr>
                <w:rFonts w:eastAsiaTheme="minorEastAsia"/>
                <w:color w:val="FF0000"/>
                <w:sz w:val="21"/>
                <w:szCs w:val="21"/>
                <w:u w:val="single"/>
              </w:rPr>
            </w:pPr>
            <w:r>
              <w:rPr>
                <w:rFonts w:eastAsiaTheme="minorEastAsia"/>
                <w:color w:val="FF0000"/>
                <w:sz w:val="21"/>
                <w:szCs w:val="21"/>
                <w:u w:val="single"/>
                <w:shd w:val="clear" w:color="auto" w:fill="FFFFFF"/>
              </w:rPr>
              <w:t>白泥湖国家湿地公园总面积1195.2hm</w:t>
            </w:r>
            <w:r>
              <w:rPr>
                <w:rFonts w:eastAsiaTheme="minorEastAsia"/>
                <w:color w:val="FF0000"/>
                <w:sz w:val="21"/>
                <w:szCs w:val="21"/>
                <w:u w:val="single"/>
                <w:shd w:val="clear" w:color="auto" w:fill="FFFFFF"/>
                <w:vertAlign w:val="superscript"/>
              </w:rPr>
              <w:t>2</w:t>
            </w:r>
            <w:r>
              <w:rPr>
                <w:rFonts w:eastAsiaTheme="minorEastAsia"/>
                <w:color w:val="FF0000"/>
                <w:sz w:val="21"/>
                <w:szCs w:val="21"/>
                <w:u w:val="single"/>
                <w:shd w:val="clear" w:color="auto" w:fill="FFFFFF"/>
              </w:rPr>
              <w:t>，湿地率达89.95%。园内湿地类型多样，有湖泊湿地、沼泽湿地和人工湿地3大湿地类，永久性淡水湖、草本沼泽等6种湿地型，有国家</w:t>
            </w:r>
            <w:r>
              <w:rPr>
                <w:rFonts w:hint="eastAsia" w:ascii="宋体" w:hAnsi="宋体" w:cs="宋体"/>
                <w:color w:val="FF0000"/>
                <w:sz w:val="21"/>
                <w:szCs w:val="21"/>
                <w:u w:val="single"/>
                <w:shd w:val="clear" w:color="auto" w:fill="FFFFFF"/>
              </w:rPr>
              <w:t>Ⅱ</w:t>
            </w:r>
            <w:r>
              <w:rPr>
                <w:rFonts w:eastAsiaTheme="minorEastAsia"/>
                <w:color w:val="FF0000"/>
                <w:sz w:val="21"/>
                <w:szCs w:val="21"/>
                <w:u w:val="single"/>
                <w:shd w:val="clear" w:color="auto" w:fill="FFFFFF"/>
              </w:rPr>
              <w:t>级重点保护野生植物4种，国家</w:t>
            </w:r>
            <w:r>
              <w:rPr>
                <w:rFonts w:hint="eastAsia" w:ascii="宋体" w:hAnsi="宋体" w:cs="宋体"/>
                <w:color w:val="FF0000"/>
                <w:sz w:val="21"/>
                <w:szCs w:val="21"/>
                <w:u w:val="single"/>
                <w:shd w:val="clear" w:color="auto" w:fill="FFFFFF"/>
              </w:rPr>
              <w:t>Ⅱ</w:t>
            </w:r>
            <w:r>
              <w:rPr>
                <w:rFonts w:eastAsiaTheme="minorEastAsia"/>
                <w:color w:val="FF0000"/>
                <w:sz w:val="21"/>
                <w:szCs w:val="21"/>
                <w:u w:val="single"/>
                <w:shd w:val="clear" w:color="auto" w:fill="FFFFFF"/>
              </w:rPr>
              <w:t>级重点保护野生动物7种</w:t>
            </w:r>
          </w:p>
        </w:tc>
      </w:tr>
    </w:tbl>
    <w:p>
      <w:pPr>
        <w:adjustRightInd w:val="0"/>
        <w:snapToGrid w:val="0"/>
        <w:spacing w:line="360" w:lineRule="auto"/>
        <w:rPr>
          <w:rFonts w:ascii="Times New Roman" w:hAnsi="Times New Roman" w:eastAsiaTheme="minorEastAsia"/>
          <w:color w:val="000000"/>
          <w:kern w:val="0"/>
          <w:lang w:bidi="ar"/>
        </w:rPr>
      </w:pPr>
      <w:r>
        <w:rPr>
          <w:rFonts w:ascii="Times New Roman" w:hAnsi="Times New Roman" w:eastAsiaTheme="minorEastAsia"/>
          <w:color w:val="FF0000"/>
          <w:kern w:val="0"/>
          <w:u w:val="single"/>
          <w:lang w:bidi="ar"/>
        </w:rPr>
        <w:t>注：本项目不涉及生态保护红线范围。</w:t>
      </w:r>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p>
    <w:p>
      <w:pPr>
        <w:pStyle w:val="4"/>
        <w:rPr>
          <w:rFonts w:eastAsiaTheme="minorEastAsia"/>
        </w:rPr>
      </w:pPr>
      <w:r>
        <w:rPr>
          <w:rFonts w:eastAsiaTheme="minorEastAsia"/>
        </w:rPr>
        <w:t>风险环境保护目标</w:t>
      </w:r>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ascii="Times New Roman" w:hAnsi="Times New Roman" w:eastAsiaTheme="minorEastAsia"/>
          <w:color w:val="000000"/>
          <w:kern w:val="0"/>
          <w:sz w:val="24"/>
          <w:szCs w:val="24"/>
          <w:lang w:bidi="ar"/>
        </w:rPr>
        <w:t>本项目风险环境保护目标即为地表水保护目标和生态环境保护目标，详见下表。</w:t>
      </w: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表2.7-5  评价范围内风险环境保护目标</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54"/>
        <w:gridCol w:w="1571"/>
        <w:gridCol w:w="3140"/>
        <w:gridCol w:w="383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tblHeader/>
          <w:jc w:val="center"/>
        </w:trPr>
        <w:tc>
          <w:tcPr>
            <w:tcW w:w="305"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序号</w:t>
            </w:r>
          </w:p>
        </w:tc>
        <w:tc>
          <w:tcPr>
            <w:tcW w:w="863"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名称</w:t>
            </w:r>
          </w:p>
        </w:tc>
        <w:tc>
          <w:tcPr>
            <w:tcW w:w="1725"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相对位置</w:t>
            </w:r>
          </w:p>
        </w:tc>
        <w:tc>
          <w:tcPr>
            <w:tcW w:w="2107"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rPr>
              <w:t>规模与环境特征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3" w:hRule="atLeast"/>
          <w:jc w:val="center"/>
        </w:trPr>
        <w:tc>
          <w:tcPr>
            <w:tcW w:w="305"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w:t>
            </w:r>
          </w:p>
        </w:tc>
        <w:tc>
          <w:tcPr>
            <w:tcW w:w="863"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highlight w:val="yellow"/>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长江（岳阳段）</w:t>
            </w:r>
          </w:p>
        </w:tc>
        <w:tc>
          <w:tcPr>
            <w:tcW w:w="1725"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北侧紧邻</w:t>
            </w:r>
          </w:p>
        </w:tc>
        <w:tc>
          <w:tcPr>
            <w:tcW w:w="2107"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FF0000"/>
                <w:kern w:val="0"/>
              </w:rPr>
            </w:pPr>
            <w:r>
              <w:rPr>
                <w:rFonts w:ascii="Times New Roman" w:hAnsi="Times New Roman" w:eastAsiaTheme="minorEastAsia"/>
                <w:color w:val="000000"/>
              </w:rPr>
              <w:t>长江属大型河流，多年平均流量为20400m</w:t>
            </w:r>
            <w:r>
              <w:rPr>
                <w:rFonts w:ascii="Times New Roman" w:hAnsi="Times New Roman" w:eastAsiaTheme="minorEastAsia"/>
                <w:color w:val="000000"/>
                <w:vertAlign w:val="superscript"/>
              </w:rPr>
              <w:t>3</w:t>
            </w:r>
            <w:r>
              <w:rPr>
                <w:rFonts w:ascii="Times New Roman" w:hAnsi="Times New Roman" w:eastAsiaTheme="minorEastAsia"/>
                <w:color w:val="000000"/>
              </w:rPr>
              <w:t>/s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3" w:hRule="atLeast"/>
          <w:jc w:val="center"/>
        </w:trPr>
        <w:tc>
          <w:tcPr>
            <w:tcW w:w="305"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w:t>
            </w:r>
          </w:p>
        </w:tc>
        <w:tc>
          <w:tcPr>
            <w:tcW w:w="863"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highlight w:val="yellow"/>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岳阳市云溪区道仁矶水厂长江取水口饮用水水源保护区</w:t>
            </w:r>
          </w:p>
        </w:tc>
        <w:tc>
          <w:tcPr>
            <w:tcW w:w="1725"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取水口坐标为E：113°13'40.47"，N：29°32'23.90"。本项目的下边界与水源地二级保护区上边界最近直线距离约6.7km</w:t>
            </w:r>
          </w:p>
        </w:tc>
        <w:tc>
          <w:tcPr>
            <w:tcW w:w="2107" w:type="pct"/>
            <w:tcMar>
              <w:left w:w="0" w:type="dxa"/>
              <w:right w:w="0" w:type="dxa"/>
            </w:tcMar>
            <w:vAlign w:val="center"/>
          </w:tcPr>
          <w:p>
            <w:pPr>
              <w:autoSpaceDE w:val="0"/>
              <w:autoSpaceDN w:val="0"/>
              <w:adjustRightInd w:val="0"/>
              <w:snapToGrid w:val="0"/>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该取水口取水量为40.15万m³/a（1100m³/d），服务人口为9429人，服务范围为居委会、滨江村、泗泷村、丁山村、柳田村、基隆村等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305"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3</w:t>
            </w:r>
          </w:p>
        </w:tc>
        <w:tc>
          <w:tcPr>
            <w:tcW w:w="863" w:type="pct"/>
            <w:tcMar>
              <w:left w:w="0" w:type="dxa"/>
              <w:right w:w="0" w:type="dxa"/>
            </w:tcMar>
            <w:vAlign w:val="center"/>
          </w:tcPr>
          <w:p>
            <w:pPr>
              <w:autoSpaceDE w:val="0"/>
              <w:autoSpaceDN w:val="0"/>
              <w:adjustRightInd w:val="0"/>
              <w:snapToGrid w:val="0"/>
              <w:jc w:val="center"/>
              <w:rPr>
                <w:rFonts w:ascii="Times New Roman" w:hAnsi="Times New Roman" w:eastAsiaTheme="minorEastAsia"/>
                <w:bCs/>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岳阳市云溪区陆城镇水厂文桥镇水厂长江取水口饮用水源保护区</w:t>
            </w:r>
          </w:p>
        </w:tc>
        <w:tc>
          <w:tcPr>
            <w:tcW w:w="1725" w:type="pct"/>
            <w:tcMar>
              <w:left w:w="0" w:type="dxa"/>
              <w:right w:w="0" w:type="dxa"/>
            </w:tcMar>
            <w:vAlign w:val="center"/>
          </w:tcPr>
          <w:p>
            <w:pPr>
              <w:autoSpaceDE w:val="0"/>
              <w:autoSpaceDN w:val="0"/>
              <w:adjustRightInd w:val="0"/>
              <w:snapToGrid w:val="0"/>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根据岳云政函〔2020〕32号文，该取水口实际坐标为E：113°16'19.47"，N：29°35'24.357"。根据实际坐标位置，按照《岳阳市云溪区陆城镇水厂文桥镇水厂长江取水口饮用水源保护区划分技术报告》的划分方案，本项目下边界与该水源地二级保护区上边界最近直线距离约10.5km，本项目不涉及水源地保护区范围</w:t>
            </w:r>
          </w:p>
        </w:tc>
        <w:tc>
          <w:tcPr>
            <w:tcW w:w="2107" w:type="pct"/>
            <w:tcMar>
              <w:left w:w="0" w:type="dxa"/>
              <w:right w:w="0" w:type="dxa"/>
            </w:tcMar>
            <w:vAlign w:val="center"/>
          </w:tcPr>
          <w:p>
            <w:pPr>
              <w:autoSpaceDE w:val="0"/>
              <w:autoSpaceDN w:val="0"/>
              <w:adjustRightInd w:val="0"/>
              <w:snapToGrid w:val="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该取水口取水水量为1500万m</w:t>
            </w:r>
            <w:r>
              <w:rPr>
                <w:rFonts w:ascii="Times New Roman" w:hAnsi="Times New Roman" w:eastAsiaTheme="minorEastAsia"/>
                <w:color w:val="000000" w:themeColor="text1"/>
                <w:vertAlign w:val="super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/a，其中80.3万m</w:t>
            </w:r>
            <w:r>
              <w:rPr>
                <w:rFonts w:ascii="Times New Roman" w:hAnsi="Times New Roman" w:eastAsiaTheme="minorEastAsia"/>
                <w:color w:val="000000" w:themeColor="text1"/>
                <w:vertAlign w:val="super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/a用于文桥镇水厂和陆城镇水厂取水，其余为长岭炼油厂工业取水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305"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4</w:t>
            </w:r>
          </w:p>
        </w:tc>
        <w:tc>
          <w:tcPr>
            <w:tcW w:w="863"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highlight w:val="yellow"/>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临湘市工业园滨江产业示范区自来水厂（取水口）</w:t>
            </w:r>
          </w:p>
        </w:tc>
        <w:tc>
          <w:tcPr>
            <w:tcW w:w="1725"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取水口坐标为E：113°19'12.06"，N：29°37'42.95"，</w:t>
            </w:r>
            <w:r>
              <w:rPr>
                <w:rFonts w:ascii="Times New Roman" w:hAnsi="Times New Roman" w:eastAsiaTheme="minorEastAsia"/>
                <w:color w:val="000000" w:themeColor="text1"/>
                <w14:textFill>
                  <w14:solidFill>
                    <w14:schemeClr w14:val="tx1"/>
                  </w14:solidFill>
                </w14:textFill>
              </w:rPr>
              <w:t>该取水口位于</w:t>
            </w:r>
            <w:r>
              <w:rPr>
                <w:rFonts w:ascii="Times New Roman" w:hAnsi="Times New Roman" w:eastAsiaTheme="minorEastAsia"/>
                <w:color w:val="000000" w:themeColor="text1"/>
                <w:kern w:val="0"/>
                <w14:textFill>
                  <w14:solidFill>
                    <w14:schemeClr w14:val="tx1"/>
                  </w14:solidFill>
                </w14:textFill>
              </w:rPr>
              <w:t>本项目的下边界，最近直线距离约20.35km</w:t>
            </w:r>
          </w:p>
        </w:tc>
        <w:tc>
          <w:tcPr>
            <w:tcW w:w="2107"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该取水口取水主要作为临湘市儒溪工业区工业企业生产用水，兼顾规划区3万居民生活用水，并已建成北控水务集团公司自来水厂，该自来水公司设计供水量5万m</w:t>
            </w:r>
            <w:r>
              <w:rPr>
                <w:rFonts w:ascii="Times New Roman" w:hAnsi="Times New Roman" w:eastAsiaTheme="minorEastAsia"/>
                <w:color w:val="000000" w:themeColor="text1"/>
                <w:vertAlign w:val="super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/d，供水范围为儒溪工业规划区约3万人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305"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5</w:t>
            </w:r>
          </w:p>
        </w:tc>
        <w:tc>
          <w:tcPr>
            <w:tcW w:w="863" w:type="pct"/>
            <w:tcMar>
              <w:left w:w="0" w:type="dxa"/>
              <w:right w:w="0" w:type="dxa"/>
            </w:tcMar>
            <w:vAlign w:val="center"/>
          </w:tcPr>
          <w:p>
            <w:pPr>
              <w:pStyle w:val="174"/>
              <w:adjustRightInd w:val="0"/>
              <w:snapToGrid w:val="0"/>
              <w:spacing w:line="240" w:lineRule="auto"/>
              <w:rPr>
                <w:rFonts w:eastAsiaTheme="minorEastAsia"/>
                <w:color w:val="000000"/>
                <w:sz w:val="21"/>
                <w:szCs w:val="21"/>
              </w:rPr>
            </w:pPr>
            <w:r>
              <w:rPr>
                <w:rFonts w:eastAsiaTheme="minorEastAsia"/>
                <w:color w:val="000000"/>
                <w:sz w:val="21"/>
                <w:szCs w:val="21"/>
              </w:rPr>
              <w:t>洞庭湖口铜鱼短颌鲚国家级水产种质资源保护区</w:t>
            </w:r>
          </w:p>
        </w:tc>
        <w:tc>
          <w:tcPr>
            <w:tcW w:w="1725" w:type="pct"/>
            <w:tcMar>
              <w:left w:w="0" w:type="dxa"/>
              <w:right w:w="0" w:type="dxa"/>
            </w:tcMar>
            <w:vAlign w:val="center"/>
          </w:tcPr>
          <w:p>
            <w:pPr>
              <w:pStyle w:val="174"/>
              <w:adjustRightInd w:val="0"/>
              <w:snapToGrid w:val="0"/>
              <w:spacing w:line="240" w:lineRule="auto"/>
              <w:jc w:val="both"/>
              <w:rPr>
                <w:rFonts w:eastAsiaTheme="minorEastAsia"/>
                <w:color w:val="000000"/>
                <w:sz w:val="21"/>
                <w:szCs w:val="21"/>
              </w:rPr>
            </w:pPr>
            <w:r>
              <w:rPr>
                <w:rFonts w:eastAsiaTheme="minorEastAsia"/>
                <w:color w:val="000000"/>
                <w:sz w:val="21"/>
                <w:szCs w:val="21"/>
              </w:rPr>
              <w:t>本项目位于该水产种质自然保护区的实验区</w:t>
            </w:r>
            <w:r>
              <w:rPr>
                <w:rFonts w:ascii="Times New Roman" w:hAnsi="Times New Roman" w:eastAsiaTheme="minorEastAsia"/>
                <w:color w:val="000000" w:themeColor="text1"/>
                <w:kern w:val="0"/>
                <w14:textFill>
                  <w14:solidFill>
                    <w14:schemeClr w14:val="tx1"/>
                  </w14:solidFill>
                </w14:textFill>
              </w:rPr>
              <w:t>范围</w:t>
            </w:r>
            <w:r>
              <w:rPr>
                <w:rFonts w:eastAsiaTheme="minorEastAsia"/>
                <w:color w:val="000000"/>
                <w:sz w:val="21"/>
                <w:szCs w:val="21"/>
              </w:rPr>
              <w:t>内</w:t>
            </w:r>
          </w:p>
        </w:tc>
        <w:tc>
          <w:tcPr>
            <w:tcW w:w="2107" w:type="pct"/>
            <w:tcMar>
              <w:left w:w="0" w:type="dxa"/>
              <w:right w:w="0" w:type="dxa"/>
            </w:tcMar>
            <w:vAlign w:val="center"/>
          </w:tcPr>
          <w:p>
            <w:pPr>
              <w:pStyle w:val="174"/>
              <w:adjustRightInd w:val="0"/>
              <w:snapToGrid w:val="0"/>
              <w:spacing w:line="240" w:lineRule="auto"/>
              <w:jc w:val="both"/>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主要保护对象为铜鱼、短颌鲚，其他保护物种还有青鱼、草鱼、鲢、鳙、鱤、鳤、鯮等江河半洄游性鱼类。距离工程最近的产粘砾石基质卵鱼类产卵场位于迈江洲，距离工程上游约2km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305"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6</w:t>
            </w:r>
          </w:p>
        </w:tc>
        <w:tc>
          <w:tcPr>
            <w:tcW w:w="863" w:type="pct"/>
            <w:tcMar>
              <w:left w:w="0" w:type="dxa"/>
              <w:right w:w="0" w:type="dxa"/>
            </w:tcMar>
            <w:vAlign w:val="center"/>
          </w:tcPr>
          <w:p>
            <w:pPr>
              <w:pStyle w:val="174"/>
              <w:adjustRightInd w:val="0"/>
              <w:snapToGrid w:val="0"/>
              <w:spacing w:line="240" w:lineRule="auto"/>
              <w:rPr>
                <w:rFonts w:eastAsiaTheme="minorEastAsia"/>
                <w:color w:val="000000"/>
                <w:sz w:val="21"/>
                <w:szCs w:val="21"/>
              </w:rPr>
            </w:pPr>
            <w:r>
              <w:rPr>
                <w:rFonts w:eastAsiaTheme="minorEastAsia"/>
                <w:color w:val="000000"/>
                <w:sz w:val="21"/>
                <w:szCs w:val="21"/>
              </w:rPr>
              <w:t>湖南东洞庭湖国家级自然保护区</w:t>
            </w:r>
          </w:p>
        </w:tc>
        <w:tc>
          <w:tcPr>
            <w:tcW w:w="1725" w:type="pct"/>
            <w:tcMar>
              <w:left w:w="0" w:type="dxa"/>
              <w:right w:w="0" w:type="dxa"/>
            </w:tcMar>
            <w:vAlign w:val="center"/>
          </w:tcPr>
          <w:p>
            <w:pPr>
              <w:pStyle w:val="174"/>
              <w:adjustRightInd w:val="0"/>
              <w:snapToGrid w:val="0"/>
              <w:spacing w:line="240" w:lineRule="auto"/>
              <w:jc w:val="both"/>
              <w:rPr>
                <w:rFonts w:eastAsiaTheme="minorEastAsia"/>
                <w:color w:val="000000"/>
                <w:sz w:val="21"/>
                <w:szCs w:val="21"/>
              </w:rPr>
            </w:pPr>
            <w:r>
              <w:rPr>
                <w:rFonts w:eastAsiaTheme="minorEastAsia"/>
                <w:color w:val="000000"/>
                <w:sz w:val="21"/>
                <w:szCs w:val="21"/>
              </w:rPr>
              <w:t>本项目与自然保护区最近的为实验区，与实验区边界最近距离约40m</w:t>
            </w:r>
          </w:p>
        </w:tc>
        <w:tc>
          <w:tcPr>
            <w:tcW w:w="2107" w:type="pct"/>
            <w:tcMar>
              <w:left w:w="0" w:type="dxa"/>
              <w:right w:w="0" w:type="dxa"/>
            </w:tcMar>
            <w:vAlign w:val="center"/>
          </w:tcPr>
          <w:p>
            <w:pPr>
              <w:pStyle w:val="174"/>
              <w:adjustRightInd w:val="0"/>
              <w:snapToGrid w:val="0"/>
              <w:spacing w:line="240" w:lineRule="auto"/>
              <w:jc w:val="both"/>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东洞庭湖国家级自然保护区位于</w:t>
            </w:r>
            <w:r>
              <w:fldChar w:fldCharType="begin"/>
            </w:r>
            <w:r>
              <w:instrText xml:space="preserve"> HYPERLINK "https://baike.so.com/doc/899615-950884.html" \t "_blank" </w:instrText>
            </w:r>
            <w:r>
              <w:fldChar w:fldCharType="separate"/>
            </w:r>
            <w:r>
              <w:rPr>
                <w:rFonts w:eastAsiaTheme="minorEastAsia"/>
                <w:color w:val="000000" w:themeColor="text1"/>
                <w:sz w:val="21"/>
                <w:szCs w:val="21"/>
                <w14:textFill>
                  <w14:solidFill>
                    <w14:schemeClr w14:val="tx1"/>
                  </w14:solidFill>
                </w14:textFill>
              </w:rPr>
              <w:t>洞庭湖</w:t>
            </w:r>
            <w:r>
              <w:rPr>
                <w:rFonts w:eastAsiaTheme="minorEastAsia"/>
                <w:color w:val="000000" w:themeColor="text1"/>
                <w:sz w:val="21"/>
                <w:szCs w:val="21"/>
                <w14:textFill>
                  <w14:solidFill>
                    <w14:schemeClr w14:val="tx1"/>
                  </w14:solidFill>
                </w14:textFill>
              </w:rPr>
              <w:fldChar w:fldCharType="end"/>
            </w:r>
            <w:r>
              <w:rPr>
                <w:rFonts w:eastAsiaTheme="minorEastAsia"/>
                <w:color w:val="000000" w:themeColor="text1"/>
                <w:sz w:val="21"/>
                <w:szCs w:val="21"/>
                <w14:textFill>
                  <w14:solidFill>
                    <w14:schemeClr w14:val="tx1"/>
                  </w14:solidFill>
                </w14:textFill>
              </w:rPr>
              <w:t>东部，处于长江中下游、湖南省北部，是生物多样性极为丰富的国际重要湿地。总面积19万hm</w:t>
            </w:r>
            <w:r>
              <w:rPr>
                <w:rFonts w:eastAsiaTheme="minorEastAsia"/>
                <w:color w:val="000000" w:themeColor="text1"/>
                <w:sz w:val="21"/>
                <w:szCs w:val="21"/>
                <w:vertAlign w:val="superscript"/>
                <w14:textFill>
                  <w14:solidFill>
                    <w14:schemeClr w14:val="tx1"/>
                  </w14:solidFill>
                </w14:textFill>
              </w:rPr>
              <w:t>2</w:t>
            </w:r>
            <w:r>
              <w:rPr>
                <w:rFonts w:eastAsiaTheme="minorEastAsia"/>
                <w:color w:val="000000" w:themeColor="text1"/>
                <w:sz w:val="21"/>
                <w:szCs w:val="21"/>
                <w14:textFill>
                  <w14:solidFill>
                    <w14:schemeClr w14:val="tx1"/>
                  </w14:solidFill>
                </w14:textFill>
              </w:rPr>
              <w:t>，其中水域面积6.54万hm</w:t>
            </w:r>
            <w:r>
              <w:rPr>
                <w:rFonts w:eastAsiaTheme="minorEastAsia"/>
                <w:color w:val="000000" w:themeColor="text1"/>
                <w:sz w:val="21"/>
                <w:szCs w:val="21"/>
                <w:vertAlign w:val="superscript"/>
                <w14:textFill>
                  <w14:solidFill>
                    <w14:schemeClr w14:val="tx1"/>
                  </w14:solidFill>
                </w14:textFill>
              </w:rPr>
              <w:t>2</w:t>
            </w:r>
            <w:r>
              <w:rPr>
                <w:rFonts w:eastAsiaTheme="minorEastAsia"/>
                <w:color w:val="000000" w:themeColor="text1"/>
                <w:sz w:val="21"/>
                <w:szCs w:val="21"/>
                <w14:textFill>
                  <w14:solidFill>
                    <w14:schemeClr w14:val="tx1"/>
                  </w14:solidFill>
                </w14:textFill>
              </w:rPr>
              <w:t>，核心区面积2.9万hm</w:t>
            </w:r>
            <w:r>
              <w:rPr>
                <w:rFonts w:eastAsiaTheme="minorEastAsia"/>
                <w:color w:val="000000" w:themeColor="text1"/>
                <w:sz w:val="21"/>
                <w:szCs w:val="21"/>
                <w:vertAlign w:val="superscript"/>
                <w14:textFill>
                  <w14:solidFill>
                    <w14:schemeClr w14:val="tx1"/>
                  </w14:solidFill>
                </w14:textFill>
              </w:rPr>
              <w:t>2</w:t>
            </w:r>
            <w:r>
              <w:rPr>
                <w:rFonts w:eastAsiaTheme="minorEastAsia"/>
                <w:color w:val="000000" w:themeColor="text1"/>
                <w:sz w:val="21"/>
                <w:szCs w:val="21"/>
                <w14:textFill>
                  <w14:solidFill>
                    <w14:schemeClr w14:val="tx1"/>
                  </w14:solidFill>
                </w14:textFill>
              </w:rPr>
              <w:t>。保护区内有鸟类303种，鱼类114种，水生动物68种，水生植物近400种，国家重点保护的水生哺乳动物江豚和白豚2种，其中国家一级保护鸟类7种、鱼类2种、水生哺乳动物1种、保护植物3种。国家二级保护鸟类37种、鱼类3种、水生哺乳动物1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305"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7</w:t>
            </w:r>
          </w:p>
        </w:tc>
        <w:tc>
          <w:tcPr>
            <w:tcW w:w="863" w:type="pct"/>
            <w:tcMar>
              <w:left w:w="0" w:type="dxa"/>
              <w:right w:w="0" w:type="dxa"/>
            </w:tcMar>
            <w:vAlign w:val="center"/>
          </w:tcPr>
          <w:p>
            <w:pPr>
              <w:pStyle w:val="174"/>
              <w:adjustRightInd w:val="0"/>
              <w:snapToGrid w:val="0"/>
              <w:spacing w:line="240" w:lineRule="auto"/>
              <w:rPr>
                <w:rFonts w:eastAsiaTheme="minorEastAsia"/>
              </w:rPr>
            </w:pPr>
            <w:r>
              <w:rPr>
                <w:rFonts w:eastAsiaTheme="minorEastAsia"/>
                <w:color w:val="000000"/>
                <w:sz w:val="21"/>
                <w:szCs w:val="21"/>
              </w:rPr>
              <w:t>岳阳楼-洞庭湖风景名胜区</w:t>
            </w:r>
          </w:p>
        </w:tc>
        <w:tc>
          <w:tcPr>
            <w:tcW w:w="1725" w:type="pct"/>
            <w:tcMar>
              <w:left w:w="0" w:type="dxa"/>
              <w:right w:w="0" w:type="dxa"/>
            </w:tcMar>
            <w:vAlign w:val="center"/>
          </w:tcPr>
          <w:p>
            <w:pPr>
              <w:pStyle w:val="174"/>
              <w:adjustRightInd w:val="0"/>
              <w:snapToGrid w:val="0"/>
              <w:spacing w:line="240" w:lineRule="auto"/>
              <w:jc w:val="both"/>
              <w:rPr>
                <w:rFonts w:eastAsiaTheme="minorEastAsia"/>
                <w:color w:val="000000"/>
                <w:sz w:val="21"/>
                <w:szCs w:val="21"/>
              </w:rPr>
            </w:pPr>
            <w:r>
              <w:rPr>
                <w:rFonts w:eastAsiaTheme="minorEastAsia"/>
                <w:color w:val="000000"/>
                <w:sz w:val="21"/>
                <w:szCs w:val="21"/>
              </w:rPr>
              <w:t>本项目位于风景名胜区的城陵矶独立景点的外围保护地带范围内，不属于风景名胜区范围内。拟提质改造的2#泊位与城陵矶独立景点的二级保护区（不设三级保护区）边界最近直线距离约145m，新增的输煤皮带线位于城陵矶独立景点的外围保护地带范围内，与城陵矶独立景点的二级保护区的最近距离约10m</w:t>
            </w:r>
          </w:p>
        </w:tc>
        <w:tc>
          <w:tcPr>
            <w:tcW w:w="2107" w:type="pct"/>
            <w:tcMar>
              <w:left w:w="0" w:type="dxa"/>
              <w:right w:w="0" w:type="dxa"/>
            </w:tcMar>
            <w:vAlign w:val="center"/>
          </w:tcPr>
          <w:p>
            <w:pPr>
              <w:pStyle w:val="174"/>
              <w:adjustRightInd w:val="0"/>
              <w:snapToGrid w:val="0"/>
              <w:spacing w:line="240" w:lineRule="auto"/>
              <w:jc w:val="both"/>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风景名胜区包括岳阳楼景区、君山景区、南湖景区、屈子祠汨罗江景区、铁山景区五个景区以及团湖、城陵矶两处独立景点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305"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8</w:t>
            </w:r>
          </w:p>
        </w:tc>
        <w:tc>
          <w:tcPr>
            <w:tcW w:w="863" w:type="pct"/>
            <w:tcMar>
              <w:left w:w="0" w:type="dxa"/>
              <w:right w:w="0" w:type="dxa"/>
            </w:tcMar>
            <w:vAlign w:val="center"/>
          </w:tcPr>
          <w:p>
            <w:pPr>
              <w:pStyle w:val="174"/>
              <w:adjustRightInd w:val="0"/>
              <w:snapToGrid w:val="0"/>
              <w:spacing w:line="240" w:lineRule="auto"/>
              <w:rPr>
                <w:rFonts w:eastAsiaTheme="minorEastAsia"/>
              </w:rPr>
            </w:pPr>
            <w:r>
              <w:rPr>
                <w:rFonts w:eastAsiaTheme="minorEastAsia"/>
                <w:color w:val="000000"/>
                <w:sz w:val="21"/>
                <w:szCs w:val="21"/>
              </w:rPr>
              <w:t>长江监利段四大家鱼国家级水产种质资源保护区</w:t>
            </w:r>
          </w:p>
        </w:tc>
        <w:tc>
          <w:tcPr>
            <w:tcW w:w="1725" w:type="pct"/>
            <w:tcMar>
              <w:left w:w="0" w:type="dxa"/>
              <w:right w:w="0" w:type="dxa"/>
            </w:tcMar>
            <w:vAlign w:val="center"/>
          </w:tcPr>
          <w:p>
            <w:pPr>
              <w:pStyle w:val="174"/>
              <w:adjustRightInd w:val="0"/>
              <w:snapToGrid w:val="0"/>
              <w:spacing w:line="240" w:lineRule="auto"/>
              <w:jc w:val="both"/>
              <w:rPr>
                <w:rFonts w:eastAsiaTheme="minorEastAsia"/>
                <w:color w:val="000000"/>
                <w:sz w:val="21"/>
                <w:szCs w:val="21"/>
              </w:rPr>
            </w:pPr>
            <w:r>
              <w:rPr>
                <w:rFonts w:eastAsiaTheme="minorEastAsia"/>
                <w:color w:val="000000"/>
                <w:sz w:val="21"/>
                <w:szCs w:val="21"/>
              </w:rPr>
              <w:t>本项目位于该水产种质自然保护区范围外，项目与水产种质资源保护区最近的为实验区，与实验区上边界最近距离约8.8km</w:t>
            </w:r>
          </w:p>
        </w:tc>
        <w:tc>
          <w:tcPr>
            <w:tcW w:w="2107" w:type="pct"/>
            <w:tcMar>
              <w:left w:w="0" w:type="dxa"/>
              <w:right w:w="0" w:type="dxa"/>
            </w:tcMar>
            <w:vAlign w:val="center"/>
          </w:tcPr>
          <w:p>
            <w:pPr>
              <w:adjustRightInd w:val="0"/>
              <w:snapToGrid w:val="0"/>
              <w:rPr>
                <w:rFonts w:ascii="Times New Roman" w:hAnsi="Times New Roman" w:eastAsiaTheme="minorEastAsia"/>
                <w:color w:val="000000"/>
                <w:kern w:val="10"/>
              </w:rPr>
            </w:pPr>
            <w:r>
              <w:rPr>
                <w:rFonts w:ascii="Times New Roman" w:hAnsi="Times New Roman" w:eastAsiaTheme="minorEastAsia"/>
                <w:color w:val="000000"/>
                <w:kern w:val="10"/>
              </w:rPr>
              <w:t>保护区主要保护对象为青鱼、草鱼、鲢、鳙“四大家鱼”，其他保护对象为保护区内的其它水生生物。不涉及鱼类三场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305"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9</w:t>
            </w:r>
          </w:p>
        </w:tc>
        <w:tc>
          <w:tcPr>
            <w:tcW w:w="863" w:type="pct"/>
            <w:tcMar>
              <w:left w:w="0" w:type="dxa"/>
              <w:right w:w="0" w:type="dxa"/>
            </w:tcMar>
            <w:vAlign w:val="center"/>
          </w:tcPr>
          <w:p>
            <w:pPr>
              <w:pStyle w:val="174"/>
              <w:adjustRightInd w:val="0"/>
              <w:snapToGrid w:val="0"/>
              <w:spacing w:line="240" w:lineRule="auto"/>
              <w:rPr>
                <w:rFonts w:eastAsiaTheme="minorEastAsia"/>
                <w:sz w:val="21"/>
                <w:szCs w:val="21"/>
              </w:rPr>
            </w:pPr>
            <w:r>
              <w:rPr>
                <w:rFonts w:eastAsiaTheme="minorEastAsia"/>
                <w:color w:val="000000" w:themeColor="text1"/>
                <w:kern w:val="0"/>
                <w:sz w:val="21"/>
                <w:szCs w:val="21"/>
                <w14:textFill>
                  <w14:solidFill>
                    <w14:schemeClr w14:val="tx1"/>
                  </w14:solidFill>
                </w14:textFill>
              </w:rPr>
              <w:t>湖北长江新螺段白鱀豚国家级自然保护区</w:t>
            </w:r>
          </w:p>
        </w:tc>
        <w:tc>
          <w:tcPr>
            <w:tcW w:w="1725" w:type="pct"/>
            <w:tcMar>
              <w:left w:w="0" w:type="dxa"/>
              <w:right w:w="0" w:type="dxa"/>
            </w:tcMar>
            <w:vAlign w:val="center"/>
          </w:tcPr>
          <w:p>
            <w:pPr>
              <w:pStyle w:val="174"/>
              <w:adjustRightInd w:val="0"/>
              <w:snapToGrid w:val="0"/>
              <w:spacing w:line="240" w:lineRule="auto"/>
              <w:jc w:val="both"/>
              <w:rPr>
                <w:rFonts w:eastAsiaTheme="minorEastAsia"/>
                <w:sz w:val="21"/>
                <w:szCs w:val="21"/>
              </w:rPr>
            </w:pPr>
            <w:r>
              <w:rPr>
                <w:rFonts w:eastAsiaTheme="minorEastAsia"/>
                <w:sz w:val="21"/>
                <w:szCs w:val="21"/>
              </w:rPr>
              <w:t>本项目位于白鱀豚国家级自然保护区上游，自然保护区的范围外，项目与自然保护区最近的为实验区，与实验区上边界最近距离约26.7km</w:t>
            </w:r>
          </w:p>
        </w:tc>
        <w:tc>
          <w:tcPr>
            <w:tcW w:w="2107" w:type="pct"/>
            <w:tcMar>
              <w:left w:w="0" w:type="dxa"/>
              <w:right w:w="0" w:type="dxa"/>
            </w:tcMar>
            <w:vAlign w:val="center"/>
          </w:tcPr>
          <w:p>
            <w:pPr>
              <w:pStyle w:val="174"/>
              <w:adjustRightInd w:val="0"/>
              <w:snapToGrid w:val="0"/>
              <w:spacing w:line="240" w:lineRule="auto"/>
              <w:jc w:val="both"/>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shd w:val="clear" w:color="auto" w:fill="FFFFFF"/>
                <w14:textFill>
                  <w14:solidFill>
                    <w14:schemeClr w14:val="tx1"/>
                  </w14:solidFill>
                </w14:textFill>
              </w:rPr>
              <w:t>湖北长江新螺段白鱀豚国家级自然保护区位于湖北省洪湖市、赤壁市、嘉鱼县和湖南省临湘市4市县的交界处。地理位置为东经113°07ˊ19″~114°05ˊ12″，北纬29°38ˊ39″~30°05ˊ12″，国土面积41607hm</w:t>
            </w:r>
            <w:r>
              <w:rPr>
                <w:rFonts w:eastAsiaTheme="minorEastAsia"/>
                <w:color w:val="000000" w:themeColor="text1"/>
                <w:sz w:val="21"/>
                <w:szCs w:val="21"/>
                <w:shd w:val="clear" w:color="auto" w:fill="FFFFFF"/>
                <w:vertAlign w:val="superscript"/>
                <w14:textFill>
                  <w14:solidFill>
                    <w14:schemeClr w14:val="tx1"/>
                  </w14:solidFill>
                </w14:textFill>
              </w:rPr>
              <w:t>2</w:t>
            </w:r>
            <w:r>
              <w:rPr>
                <w:rFonts w:eastAsiaTheme="minorEastAsia"/>
                <w:color w:val="000000" w:themeColor="text1"/>
                <w:sz w:val="21"/>
                <w:szCs w:val="21"/>
                <w:shd w:val="clear" w:color="auto" w:fill="FFFFFF"/>
                <w14:textFill>
                  <w14:solidFill>
                    <w14:schemeClr w14:val="tx1"/>
                  </w14:solidFill>
                </w14:textFill>
              </w:rPr>
              <w:t>。该区范围长135.5km，宽1000~2500m。1987年湖北省人民政府就批准筹建保护区，1992年10月27日晋升为国家级自然保护区。保护区主要保护对象是国家一级保护野生水生动物白鱀豚</w:t>
            </w:r>
          </w:p>
        </w:tc>
      </w:tr>
    </w:tbl>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p>
    <w:p>
      <w:pPr>
        <w:pStyle w:val="3"/>
        <w:rPr>
          <w:rFonts w:ascii="Times New Roman" w:hAnsi="Times New Roman" w:eastAsiaTheme="minorEastAsia"/>
          <w:b/>
        </w:rPr>
      </w:pPr>
      <w:bookmarkStart w:id="28" w:name="_Toc22253"/>
      <w:r>
        <w:rPr>
          <w:rFonts w:ascii="Times New Roman" w:hAnsi="Times New Roman" w:eastAsiaTheme="minorEastAsia"/>
          <w:b/>
        </w:rPr>
        <w:t>评价工作程序</w:t>
      </w:r>
      <w:bookmarkEnd w:id="28"/>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ascii="Times New Roman" w:hAnsi="Times New Roman" w:eastAsiaTheme="minorEastAsia"/>
          <w:color w:val="000000"/>
          <w:kern w:val="0"/>
          <w:sz w:val="24"/>
          <w:szCs w:val="24"/>
          <w:lang w:bidi="ar"/>
        </w:rPr>
        <w:t>按照《建设项目环境保护管理条例》和《环境影响评价技术导则》的要求，本项目环境影响评价工作分以下三个阶段。</w:t>
      </w:r>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ascii="Times New Roman" w:hAnsi="Times New Roman" w:eastAsiaTheme="minorEastAsia"/>
          <w:color w:val="000000"/>
          <w:kern w:val="0"/>
          <w:sz w:val="24"/>
          <w:szCs w:val="24"/>
          <w:lang w:bidi="ar"/>
        </w:rPr>
        <w:t>本项目环境影响评价程序框图如下：</w:t>
      </w:r>
    </w:p>
    <w:p>
      <w:pPr>
        <w:adjustRightInd w:val="0"/>
        <w:snapToGrid w:val="0"/>
        <w:spacing w:line="360" w:lineRule="auto"/>
        <w:rPr>
          <w:rFonts w:ascii="Times New Roman" w:hAnsi="Times New Roman" w:eastAsiaTheme="minorEastAsia"/>
          <w:color w:val="000000"/>
          <w:sz w:val="24"/>
        </w:rPr>
      </w:pPr>
      <w:r>
        <w:rPr>
          <w:rFonts w:ascii="Times New Roman" w:hAnsi="Times New Roman" w:eastAsiaTheme="minorEastAsia"/>
        </w:rPr>
        <w:drawing>
          <wp:inline distT="0" distB="0" distL="0" distR="0">
            <wp:extent cx="5537200" cy="5768340"/>
            <wp:effectExtent l="0" t="127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3"/>
                    <a:stretch>
                      <a:fillRect/>
                    </a:stretch>
                  </pic:blipFill>
                  <pic:spPr>
                    <a:xfrm rot="16200000">
                      <a:off x="0" y="0"/>
                      <a:ext cx="5541929" cy="5772893"/>
                    </a:xfrm>
                    <a:prstGeom prst="rect">
                      <a:avLst/>
                    </a:prstGeom>
                  </pic:spPr>
                </pic:pic>
              </a:graphicData>
            </a:graphic>
          </wp:inline>
        </w:drawing>
      </w: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图2.8-1  评价工作程序图</w:t>
      </w:r>
    </w:p>
    <w:p>
      <w:pPr>
        <w:pStyle w:val="6"/>
        <w:ind w:firstLine="0" w:firstLineChars="0"/>
        <w:rPr>
          <w:rFonts w:cs="Times New Roman" w:eastAsiaTheme="minorEastAsia"/>
        </w:rPr>
      </w:pPr>
    </w:p>
    <w:p>
      <w:pPr>
        <w:pStyle w:val="6"/>
        <w:ind w:firstLine="480"/>
        <w:rPr>
          <w:rFonts w:cs="Times New Roman" w:eastAsiaTheme="minorEastAsia"/>
        </w:rPr>
        <w:sectPr>
          <w:headerReference r:id="rId10" w:type="default"/>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2"/>
        <w:spacing w:line="480" w:lineRule="auto"/>
        <w:ind w:left="431" w:hanging="431"/>
        <w:jc w:val="center"/>
        <w:rPr>
          <w:rFonts w:eastAsiaTheme="minorEastAsia"/>
          <w:b/>
          <w:sz w:val="32"/>
          <w:szCs w:val="32"/>
        </w:rPr>
      </w:pPr>
      <w:bookmarkStart w:id="29" w:name="_Toc9324"/>
      <w:r>
        <w:rPr>
          <w:rFonts w:eastAsiaTheme="minorEastAsia"/>
          <w:b/>
          <w:sz w:val="32"/>
          <w:szCs w:val="32"/>
        </w:rPr>
        <w:t>工程概况及工程环境影响分析</w:t>
      </w:r>
      <w:bookmarkEnd w:id="29"/>
    </w:p>
    <w:p>
      <w:pPr>
        <w:pStyle w:val="3"/>
        <w:rPr>
          <w:rFonts w:ascii="Times New Roman" w:hAnsi="Times New Roman" w:eastAsiaTheme="minorEastAsia"/>
          <w:b/>
        </w:rPr>
      </w:pPr>
      <w:bookmarkStart w:id="30" w:name="_Toc12168"/>
      <w:r>
        <w:rPr>
          <w:rFonts w:ascii="Times New Roman" w:hAnsi="Times New Roman" w:eastAsiaTheme="minorEastAsia"/>
          <w:b/>
        </w:rPr>
        <w:t>现有工程概况</w:t>
      </w:r>
      <w:bookmarkEnd w:id="30"/>
    </w:p>
    <w:p>
      <w:pPr>
        <w:pStyle w:val="4"/>
        <w:rPr>
          <w:rFonts w:eastAsiaTheme="minorEastAsia"/>
        </w:rPr>
      </w:pPr>
      <w:r>
        <w:fldChar w:fldCharType="begin"/>
      </w:r>
      <w:r>
        <w:instrText xml:space="preserve"> HYPERLINK \l "_Toc25016_WPSOffice_Level1" </w:instrText>
      </w:r>
      <w:r>
        <w:fldChar w:fldCharType="separate"/>
      </w:r>
      <w:r>
        <w:rPr>
          <w:rFonts w:eastAsiaTheme="minorEastAsia"/>
        </w:rPr>
        <w:t>港口现有设施情况</w:t>
      </w:r>
      <w:r>
        <w:rPr>
          <w:rFonts w:eastAsiaTheme="minorEastAsia"/>
        </w:rPr>
        <w:fldChar w:fldCharType="end"/>
      </w:r>
    </w:p>
    <w:p>
      <w:pPr>
        <w:tabs>
          <w:tab w:val="left" w:pos="900"/>
        </w:tabs>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华能岳阳电厂码头位于岳阳港城陵矶擂鼓台下游的长江右岸，现有岸线共2343</w:t>
      </w:r>
      <w:r>
        <w:rPr>
          <w:rFonts w:hint="eastAsia" w:ascii="Times New Roman" w:hAnsi="Times New Roman" w:eastAsiaTheme="minorEastAsia"/>
          <w:color w:val="FF0000"/>
          <w:sz w:val="24"/>
          <w:szCs w:val="24"/>
          <w:u w:val="single"/>
        </w:rPr>
        <w:t>m</w:t>
      </w:r>
      <w:r>
        <w:rPr>
          <w:rFonts w:ascii="Times New Roman" w:hAnsi="Times New Roman" w:eastAsiaTheme="minorEastAsia"/>
          <w:color w:val="FF0000"/>
          <w:sz w:val="24"/>
          <w:szCs w:val="24"/>
          <w:u w:val="single"/>
        </w:rPr>
        <w:t>，码头设有2个卸煤泊位，3个靠船过驳及生活泊位。码头均采用钢管桩固定的浮式结构。其中1#泊位于2015年8月份新投产一套2×16t-35m的浮式抓斗吊卸船机，可停靠卸载10000吨级散货船，是电厂码头卸煤的单一设备，而且后方水路卸煤皮带线也只有一条单线运行，由于码头卸煤设备（双抓斗吊）、皮带机等均为单线设备，对设备的可靠性和运行操作要求极高，运行操作人员和设备维护人员一直处于高度紧张状态。</w:t>
      </w:r>
    </w:p>
    <w:p>
      <w:pPr>
        <w:tabs>
          <w:tab w:val="left" w:pos="900"/>
        </w:tabs>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2017年1#泊位水路卸煤线曾出现连续运行7个月的记录，人员和设备都极度疲劳。2#泊位布置了一套悬链斗卸船机及趸船，1993年投产，设计卸煤量6000~8000吨/天，卸载船型为3000吨甲板驳，但由于近年长江上江船船型和载重逐步向大型化发展，江船95%以上均为自航驳，船型一般为深仓或半仓驳，下游来船最大已提升至15000吨左右，在枯水季节一万吨级江船已常态化，悬链斗卸船机已不能卸载现有船型，目前只作为枯水季节卸小船或需联合作业时才投入运行。详见表3.1-1。</w:t>
      </w:r>
    </w:p>
    <w:p>
      <w:pPr>
        <w:widowControl/>
        <w:spacing w:line="276" w:lineRule="auto"/>
        <w:jc w:val="center"/>
        <w:rPr>
          <w:rFonts w:ascii="Times New Roman" w:hAnsi="Times New Roman" w:eastAsiaTheme="minorEastAsia"/>
          <w:b/>
          <w:color w:val="FF0000"/>
          <w:sz w:val="24"/>
          <w:szCs w:val="24"/>
          <w:u w:val="single"/>
        </w:rPr>
      </w:pPr>
      <w:r>
        <w:rPr>
          <w:rFonts w:ascii="Times New Roman" w:hAnsi="Times New Roman"/>
          <w:b/>
          <w:color w:val="FF0000"/>
          <w:kern w:val="0"/>
          <w:sz w:val="24"/>
          <w:szCs w:val="24"/>
          <w:u w:val="single"/>
        </w:rPr>
        <w:t xml:space="preserve">表3.1-1  </w:t>
      </w:r>
      <w:r>
        <w:rPr>
          <w:rFonts w:ascii="Times New Roman" w:hAnsi="Times New Roman"/>
          <w:b/>
          <w:bCs/>
          <w:color w:val="FF0000"/>
          <w:kern w:val="0"/>
          <w:sz w:val="24"/>
          <w:szCs w:val="24"/>
          <w:u w:val="single"/>
        </w:rPr>
        <w:t>岳阳电厂码头设施现状表</w:t>
      </w:r>
    </w:p>
    <w:tbl>
      <w:tblPr>
        <w:tblStyle w:val="7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990"/>
        <w:gridCol w:w="1045"/>
        <w:gridCol w:w="1516"/>
        <w:gridCol w:w="1516"/>
        <w:gridCol w:w="1516"/>
        <w:gridCol w:w="15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93" w:type="pct"/>
            <w:vAlign w:val="center"/>
          </w:tcPr>
          <w:p>
            <w:pPr>
              <w:tabs>
                <w:tab w:val="left" w:pos="900"/>
              </w:tabs>
              <w:adjustRightInd w:val="0"/>
              <w:snapToGrid w:val="0"/>
              <w:jc w:val="center"/>
              <w:rPr>
                <w:rFonts w:ascii="Times New Roman" w:hAnsi="Times New Roman" w:eastAsiaTheme="minorEastAsia"/>
                <w:b/>
                <w:color w:val="FF0000"/>
                <w:u w:val="single"/>
              </w:rPr>
            </w:pPr>
            <w:r>
              <w:rPr>
                <w:rFonts w:ascii="Times New Roman" w:hAnsi="Times New Roman"/>
                <w:b/>
                <w:color w:val="FF0000"/>
                <w:u w:val="single"/>
              </w:rPr>
              <w:t>码头名称</w:t>
            </w:r>
          </w:p>
        </w:tc>
        <w:tc>
          <w:tcPr>
            <w:tcW w:w="574" w:type="pct"/>
            <w:vAlign w:val="center"/>
          </w:tcPr>
          <w:p>
            <w:pPr>
              <w:widowControl/>
              <w:adjustRightInd w:val="0"/>
              <w:snapToGrid w:val="0"/>
              <w:jc w:val="center"/>
              <w:rPr>
                <w:rFonts w:ascii="Times New Roman" w:hAnsi="Times New Roman"/>
                <w:b/>
                <w:color w:val="FF0000"/>
                <w:kern w:val="0"/>
                <w:u w:val="single"/>
              </w:rPr>
            </w:pPr>
            <w:r>
              <w:rPr>
                <w:rFonts w:ascii="Times New Roman" w:hAnsi="Times New Roman"/>
                <w:b/>
                <w:color w:val="FF0000"/>
                <w:kern w:val="0"/>
                <w:u w:val="single"/>
              </w:rPr>
              <w:t>泊位数</w:t>
            </w:r>
          </w:p>
          <w:p>
            <w:pPr>
              <w:tabs>
                <w:tab w:val="left" w:pos="900"/>
              </w:tabs>
              <w:adjustRightInd w:val="0"/>
              <w:snapToGrid w:val="0"/>
              <w:jc w:val="center"/>
              <w:rPr>
                <w:rFonts w:ascii="Times New Roman" w:hAnsi="Times New Roman" w:eastAsiaTheme="minorEastAsia"/>
                <w:b/>
                <w:color w:val="FF0000"/>
                <w:u w:val="single"/>
              </w:rPr>
            </w:pPr>
            <w:r>
              <w:rPr>
                <w:rFonts w:ascii="Times New Roman" w:hAnsi="Times New Roman"/>
                <w:b/>
                <w:color w:val="FF0000"/>
                <w:kern w:val="0"/>
                <w:u w:val="single"/>
              </w:rPr>
              <w:t>（个）</w:t>
            </w:r>
          </w:p>
        </w:tc>
        <w:tc>
          <w:tcPr>
            <w:tcW w:w="833" w:type="pct"/>
            <w:vAlign w:val="center"/>
          </w:tcPr>
          <w:p>
            <w:pPr>
              <w:tabs>
                <w:tab w:val="left" w:pos="900"/>
              </w:tabs>
              <w:adjustRightInd w:val="0"/>
              <w:snapToGrid w:val="0"/>
              <w:jc w:val="center"/>
              <w:rPr>
                <w:rFonts w:ascii="Times New Roman" w:hAnsi="Times New Roman" w:eastAsiaTheme="minorEastAsia"/>
                <w:b/>
                <w:color w:val="FF0000"/>
                <w:u w:val="single"/>
              </w:rPr>
            </w:pPr>
            <w:r>
              <w:rPr>
                <w:rFonts w:ascii="Times New Roman" w:hAnsi="Times New Roman"/>
                <w:b/>
                <w:color w:val="FF0000"/>
                <w:u w:val="single"/>
              </w:rPr>
              <w:t>结构型式</w:t>
            </w:r>
          </w:p>
        </w:tc>
        <w:tc>
          <w:tcPr>
            <w:tcW w:w="833" w:type="pct"/>
            <w:vAlign w:val="center"/>
          </w:tcPr>
          <w:p>
            <w:pPr>
              <w:tabs>
                <w:tab w:val="left" w:pos="900"/>
              </w:tabs>
              <w:adjustRightInd w:val="0"/>
              <w:snapToGrid w:val="0"/>
              <w:jc w:val="center"/>
              <w:rPr>
                <w:rFonts w:ascii="Times New Roman" w:hAnsi="Times New Roman" w:eastAsiaTheme="minorEastAsia"/>
                <w:b/>
                <w:color w:val="FF0000"/>
                <w:u w:val="single"/>
              </w:rPr>
            </w:pPr>
            <w:r>
              <w:rPr>
                <w:rFonts w:ascii="Times New Roman" w:hAnsi="Times New Roman"/>
                <w:b/>
                <w:color w:val="FF0000"/>
                <w:u w:val="single"/>
              </w:rPr>
              <w:t>主要用途</w:t>
            </w:r>
          </w:p>
        </w:tc>
        <w:tc>
          <w:tcPr>
            <w:tcW w:w="833" w:type="pct"/>
            <w:vAlign w:val="center"/>
          </w:tcPr>
          <w:p>
            <w:pPr>
              <w:widowControl/>
              <w:adjustRightInd w:val="0"/>
              <w:snapToGrid w:val="0"/>
              <w:jc w:val="center"/>
              <w:rPr>
                <w:rFonts w:ascii="Times New Roman" w:hAnsi="Times New Roman"/>
                <w:b/>
                <w:color w:val="FF0000"/>
                <w:kern w:val="0"/>
                <w:u w:val="single"/>
              </w:rPr>
            </w:pPr>
            <w:r>
              <w:rPr>
                <w:rFonts w:ascii="Times New Roman" w:hAnsi="Times New Roman"/>
                <w:b/>
                <w:color w:val="FF0000"/>
                <w:kern w:val="0"/>
                <w:u w:val="single"/>
              </w:rPr>
              <w:t>靠泊吨级</w:t>
            </w:r>
          </w:p>
          <w:p>
            <w:pPr>
              <w:tabs>
                <w:tab w:val="left" w:pos="900"/>
              </w:tabs>
              <w:adjustRightInd w:val="0"/>
              <w:snapToGrid w:val="0"/>
              <w:jc w:val="center"/>
              <w:rPr>
                <w:rFonts w:ascii="Times New Roman" w:hAnsi="Times New Roman" w:eastAsiaTheme="minorEastAsia"/>
                <w:b/>
                <w:color w:val="FF0000"/>
                <w:u w:val="single"/>
              </w:rPr>
            </w:pPr>
            <w:r>
              <w:rPr>
                <w:rFonts w:ascii="Times New Roman" w:hAnsi="Times New Roman"/>
                <w:b/>
                <w:color w:val="FF0000"/>
                <w:kern w:val="0"/>
                <w:u w:val="single"/>
              </w:rPr>
              <w:t>（DWT）</w:t>
            </w:r>
          </w:p>
        </w:tc>
        <w:tc>
          <w:tcPr>
            <w:tcW w:w="833" w:type="pct"/>
            <w:vAlign w:val="center"/>
          </w:tcPr>
          <w:p>
            <w:pPr>
              <w:widowControl/>
              <w:adjustRightInd w:val="0"/>
              <w:snapToGrid w:val="0"/>
              <w:jc w:val="center"/>
              <w:rPr>
                <w:rFonts w:ascii="Times New Roman" w:hAnsi="Times New Roman" w:eastAsiaTheme="minorEastAsia"/>
                <w:b/>
                <w:color w:val="FF0000"/>
                <w:u w:val="single"/>
              </w:rPr>
            </w:pPr>
            <w:r>
              <w:rPr>
                <w:rFonts w:ascii="Times New Roman" w:hAnsi="Times New Roman"/>
                <w:b/>
                <w:color w:val="FF0000"/>
                <w:kern w:val="0"/>
                <w:u w:val="single"/>
              </w:rPr>
              <w:t>核定通过能力（万吨/年）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93" w:type="pct"/>
            <w:vAlign w:val="center"/>
          </w:tcPr>
          <w:p>
            <w:pPr>
              <w:tabs>
                <w:tab w:val="left" w:pos="900"/>
              </w:tabs>
              <w:adjustRightInd w:val="0"/>
              <w:snapToGrid w:val="0"/>
              <w:jc w:val="center"/>
              <w:rPr>
                <w:rFonts w:ascii="Times New Roman" w:hAnsi="Times New Roman" w:eastAsiaTheme="minorEastAsia"/>
                <w:color w:val="FF0000"/>
                <w:u w:val="single"/>
              </w:rPr>
            </w:pPr>
            <w:r>
              <w:rPr>
                <w:rFonts w:ascii="Times New Roman" w:hAnsi="Times New Roman"/>
                <w:color w:val="FF0000"/>
                <w:u w:val="single"/>
              </w:rPr>
              <w:t>煤泊位（1#泊位）</w:t>
            </w:r>
          </w:p>
        </w:tc>
        <w:tc>
          <w:tcPr>
            <w:tcW w:w="574" w:type="pct"/>
            <w:vAlign w:val="center"/>
          </w:tcPr>
          <w:p>
            <w:pPr>
              <w:tabs>
                <w:tab w:val="left" w:pos="900"/>
              </w:tabs>
              <w:adjustRightInd w:val="0"/>
              <w:snapToGrid w:val="0"/>
              <w:jc w:val="center"/>
              <w:rPr>
                <w:rFonts w:ascii="Times New Roman" w:hAnsi="Times New Roman" w:eastAsiaTheme="minorEastAsia"/>
                <w:color w:val="FF0000"/>
                <w:u w:val="single"/>
              </w:rPr>
            </w:pPr>
            <w:r>
              <w:rPr>
                <w:rFonts w:ascii="Times New Roman" w:hAnsi="Times New Roman"/>
                <w:color w:val="FF0000"/>
                <w:u w:val="single"/>
              </w:rPr>
              <w:t>1</w:t>
            </w:r>
          </w:p>
        </w:tc>
        <w:tc>
          <w:tcPr>
            <w:tcW w:w="833" w:type="pct"/>
            <w:vAlign w:val="center"/>
          </w:tcPr>
          <w:p>
            <w:pPr>
              <w:tabs>
                <w:tab w:val="left" w:pos="900"/>
              </w:tabs>
              <w:adjustRightInd w:val="0"/>
              <w:snapToGrid w:val="0"/>
              <w:jc w:val="center"/>
              <w:rPr>
                <w:rFonts w:ascii="Times New Roman" w:hAnsi="Times New Roman" w:eastAsiaTheme="minorEastAsia"/>
                <w:color w:val="FF0000"/>
                <w:u w:val="single"/>
              </w:rPr>
            </w:pPr>
            <w:r>
              <w:rPr>
                <w:rFonts w:ascii="Times New Roman" w:hAnsi="Times New Roman"/>
                <w:color w:val="FF0000"/>
                <w:u w:val="single"/>
              </w:rPr>
              <w:t>浮码头</w:t>
            </w:r>
          </w:p>
        </w:tc>
        <w:tc>
          <w:tcPr>
            <w:tcW w:w="833" w:type="pct"/>
            <w:vAlign w:val="center"/>
          </w:tcPr>
          <w:p>
            <w:pPr>
              <w:tabs>
                <w:tab w:val="left" w:pos="900"/>
              </w:tabs>
              <w:adjustRightInd w:val="0"/>
              <w:snapToGrid w:val="0"/>
              <w:jc w:val="center"/>
              <w:rPr>
                <w:rFonts w:ascii="Times New Roman" w:hAnsi="Times New Roman" w:eastAsiaTheme="minorEastAsia"/>
                <w:color w:val="FF0000"/>
                <w:u w:val="single"/>
              </w:rPr>
            </w:pPr>
            <w:r>
              <w:rPr>
                <w:rFonts w:ascii="Times New Roman" w:hAnsi="Times New Roman"/>
                <w:color w:val="FF0000"/>
                <w:u w:val="single"/>
              </w:rPr>
              <w:t>运入煤炭</w:t>
            </w:r>
          </w:p>
        </w:tc>
        <w:tc>
          <w:tcPr>
            <w:tcW w:w="833" w:type="pct"/>
            <w:vAlign w:val="center"/>
          </w:tcPr>
          <w:p>
            <w:pPr>
              <w:tabs>
                <w:tab w:val="left" w:pos="900"/>
              </w:tabs>
              <w:adjustRightInd w:val="0"/>
              <w:snapToGrid w:val="0"/>
              <w:jc w:val="center"/>
              <w:rPr>
                <w:rFonts w:ascii="Times New Roman" w:hAnsi="Times New Roman" w:eastAsiaTheme="minorEastAsia"/>
                <w:color w:val="FF0000"/>
                <w:u w:val="single"/>
              </w:rPr>
            </w:pPr>
            <w:r>
              <w:rPr>
                <w:rFonts w:ascii="Times New Roman" w:hAnsi="Times New Roman"/>
                <w:color w:val="FF0000"/>
                <w:u w:val="single"/>
              </w:rPr>
              <w:t>5000兼10000</w:t>
            </w:r>
          </w:p>
        </w:tc>
        <w:tc>
          <w:tcPr>
            <w:tcW w:w="833" w:type="pct"/>
            <w:vAlign w:val="center"/>
          </w:tcPr>
          <w:p>
            <w:pPr>
              <w:tabs>
                <w:tab w:val="left" w:pos="900"/>
              </w:tabs>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230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93" w:type="pct"/>
            <w:vAlign w:val="center"/>
          </w:tcPr>
          <w:p>
            <w:pPr>
              <w:tabs>
                <w:tab w:val="left" w:pos="900"/>
              </w:tabs>
              <w:adjustRightInd w:val="0"/>
              <w:snapToGrid w:val="0"/>
              <w:jc w:val="center"/>
              <w:rPr>
                <w:rFonts w:ascii="Times New Roman" w:hAnsi="Times New Roman" w:eastAsiaTheme="minorEastAsia"/>
                <w:color w:val="FF0000"/>
                <w:u w:val="single"/>
              </w:rPr>
            </w:pPr>
            <w:r>
              <w:rPr>
                <w:rFonts w:ascii="Times New Roman" w:hAnsi="Times New Roman"/>
                <w:color w:val="FF0000"/>
                <w:u w:val="single"/>
              </w:rPr>
              <w:t>煤泊位（2#泊位）</w:t>
            </w:r>
          </w:p>
        </w:tc>
        <w:tc>
          <w:tcPr>
            <w:tcW w:w="574" w:type="pct"/>
            <w:vAlign w:val="center"/>
          </w:tcPr>
          <w:p>
            <w:pPr>
              <w:tabs>
                <w:tab w:val="left" w:pos="900"/>
              </w:tabs>
              <w:adjustRightInd w:val="0"/>
              <w:snapToGrid w:val="0"/>
              <w:jc w:val="center"/>
              <w:rPr>
                <w:rFonts w:ascii="Times New Roman" w:hAnsi="Times New Roman" w:eastAsiaTheme="minorEastAsia"/>
                <w:color w:val="FF0000"/>
                <w:u w:val="single"/>
              </w:rPr>
            </w:pPr>
            <w:r>
              <w:rPr>
                <w:rFonts w:ascii="Times New Roman" w:hAnsi="Times New Roman"/>
                <w:color w:val="FF0000"/>
                <w:u w:val="single"/>
              </w:rPr>
              <w:t>1</w:t>
            </w:r>
          </w:p>
        </w:tc>
        <w:tc>
          <w:tcPr>
            <w:tcW w:w="833" w:type="pct"/>
            <w:vAlign w:val="center"/>
          </w:tcPr>
          <w:p>
            <w:pPr>
              <w:tabs>
                <w:tab w:val="left" w:pos="900"/>
              </w:tabs>
              <w:adjustRightInd w:val="0"/>
              <w:snapToGrid w:val="0"/>
              <w:jc w:val="center"/>
              <w:rPr>
                <w:rFonts w:ascii="Times New Roman" w:hAnsi="Times New Roman" w:eastAsiaTheme="minorEastAsia"/>
                <w:color w:val="FF0000"/>
                <w:u w:val="single"/>
              </w:rPr>
            </w:pPr>
            <w:r>
              <w:rPr>
                <w:rFonts w:ascii="Times New Roman" w:hAnsi="Times New Roman"/>
                <w:color w:val="FF0000"/>
                <w:u w:val="single"/>
              </w:rPr>
              <w:t>浮码头</w:t>
            </w:r>
          </w:p>
        </w:tc>
        <w:tc>
          <w:tcPr>
            <w:tcW w:w="833" w:type="pct"/>
            <w:vAlign w:val="center"/>
          </w:tcPr>
          <w:p>
            <w:pPr>
              <w:tabs>
                <w:tab w:val="left" w:pos="900"/>
              </w:tabs>
              <w:adjustRightInd w:val="0"/>
              <w:snapToGrid w:val="0"/>
              <w:jc w:val="center"/>
              <w:rPr>
                <w:rFonts w:ascii="Times New Roman" w:hAnsi="Times New Roman" w:eastAsiaTheme="minorEastAsia"/>
                <w:color w:val="FF0000"/>
                <w:u w:val="single"/>
              </w:rPr>
            </w:pPr>
            <w:r>
              <w:rPr>
                <w:rFonts w:ascii="Times New Roman" w:hAnsi="Times New Roman"/>
                <w:color w:val="FF0000"/>
                <w:u w:val="single"/>
              </w:rPr>
              <w:t>运入煤炭</w:t>
            </w:r>
          </w:p>
        </w:tc>
        <w:tc>
          <w:tcPr>
            <w:tcW w:w="833" w:type="pct"/>
            <w:vAlign w:val="center"/>
          </w:tcPr>
          <w:p>
            <w:pPr>
              <w:tabs>
                <w:tab w:val="left" w:pos="900"/>
              </w:tabs>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3000</w:t>
            </w:r>
          </w:p>
        </w:tc>
        <w:tc>
          <w:tcPr>
            <w:tcW w:w="833" w:type="pct"/>
            <w:vAlign w:val="center"/>
          </w:tcPr>
          <w:p>
            <w:pPr>
              <w:tabs>
                <w:tab w:val="left" w:pos="900"/>
              </w:tabs>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93" w:type="pct"/>
            <w:vAlign w:val="center"/>
          </w:tcPr>
          <w:p>
            <w:pPr>
              <w:tabs>
                <w:tab w:val="left" w:pos="900"/>
              </w:tabs>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合计</w:t>
            </w:r>
          </w:p>
        </w:tc>
        <w:tc>
          <w:tcPr>
            <w:tcW w:w="574" w:type="pct"/>
            <w:vAlign w:val="center"/>
          </w:tcPr>
          <w:p>
            <w:pPr>
              <w:tabs>
                <w:tab w:val="left" w:pos="900"/>
              </w:tabs>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2</w:t>
            </w:r>
          </w:p>
        </w:tc>
        <w:tc>
          <w:tcPr>
            <w:tcW w:w="833" w:type="pct"/>
            <w:vAlign w:val="center"/>
          </w:tcPr>
          <w:p>
            <w:pPr>
              <w:tabs>
                <w:tab w:val="left" w:pos="900"/>
              </w:tabs>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w:t>
            </w:r>
          </w:p>
        </w:tc>
        <w:tc>
          <w:tcPr>
            <w:tcW w:w="833" w:type="pct"/>
            <w:vAlign w:val="center"/>
          </w:tcPr>
          <w:p>
            <w:pPr>
              <w:tabs>
                <w:tab w:val="left" w:pos="900"/>
              </w:tabs>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w:t>
            </w:r>
          </w:p>
        </w:tc>
        <w:tc>
          <w:tcPr>
            <w:tcW w:w="833" w:type="pct"/>
            <w:vAlign w:val="center"/>
          </w:tcPr>
          <w:p>
            <w:pPr>
              <w:tabs>
                <w:tab w:val="left" w:pos="900"/>
              </w:tabs>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w:t>
            </w:r>
          </w:p>
        </w:tc>
        <w:tc>
          <w:tcPr>
            <w:tcW w:w="833" w:type="pct"/>
            <w:vAlign w:val="center"/>
          </w:tcPr>
          <w:p>
            <w:pPr>
              <w:tabs>
                <w:tab w:val="left" w:pos="900"/>
              </w:tabs>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280</w:t>
            </w:r>
          </w:p>
        </w:tc>
      </w:tr>
    </w:tbl>
    <w:p>
      <w:pPr>
        <w:tabs>
          <w:tab w:val="left" w:pos="900"/>
        </w:tabs>
        <w:adjustRightInd w:val="0"/>
        <w:snapToGrid w:val="0"/>
        <w:spacing w:line="360" w:lineRule="auto"/>
        <w:ind w:firstLine="480" w:firstLineChars="200"/>
        <w:rPr>
          <w:rFonts w:ascii="Times New Roman" w:hAnsi="Times New Roman" w:eastAsiaTheme="minorEastAsia"/>
          <w:sz w:val="24"/>
          <w:szCs w:val="24"/>
        </w:rPr>
      </w:pPr>
    </w:p>
    <w:p>
      <w:pPr>
        <w:pStyle w:val="4"/>
        <w:rPr>
          <w:rFonts w:eastAsiaTheme="minorEastAsia"/>
        </w:rPr>
      </w:pPr>
      <w:r>
        <w:rPr>
          <w:rFonts w:eastAsiaTheme="minorEastAsia"/>
        </w:rPr>
        <w:t>港口生产运营状况</w:t>
      </w:r>
    </w:p>
    <w:p>
      <w:pPr>
        <w:tabs>
          <w:tab w:val="left" w:pos="900"/>
        </w:tabs>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由于2#泊位设计靠泊船型太小，已不能卸载长江现有运煤船型，目前只作为枯水季节卸小船或需联合作业时才投入运行。近年来90%以上煤船卸载作业是由1#泊位两台抓斗浮式起重机完成的。岳阳电厂码头2017年码头接卸煤炭量为335.50万吨，超负荷使用情况严重。</w:t>
      </w:r>
    </w:p>
    <w:p>
      <w:pPr>
        <w:tabs>
          <w:tab w:val="left" w:pos="900"/>
        </w:tabs>
        <w:wordWrap w:val="0"/>
        <w:adjustRightInd w:val="0"/>
        <w:snapToGrid w:val="0"/>
        <w:spacing w:line="276" w:lineRule="auto"/>
        <w:jc w:val="right"/>
        <w:rPr>
          <w:rFonts w:ascii="Times New Roman" w:hAnsi="Times New Roman" w:eastAsiaTheme="minorEastAsia"/>
          <w:color w:val="FF0000"/>
          <w:sz w:val="24"/>
          <w:szCs w:val="24"/>
          <w:u w:val="single"/>
        </w:rPr>
      </w:pPr>
      <w:r>
        <w:rPr>
          <w:rFonts w:ascii="Times New Roman" w:hAnsi="Times New Roman" w:eastAsiaTheme="minorEastAsia"/>
          <w:b/>
          <w:color w:val="FF0000"/>
          <w:sz w:val="24"/>
          <w:szCs w:val="24"/>
          <w:u w:val="single"/>
        </w:rPr>
        <w:t xml:space="preserve">表3.1-2  岳阳电厂码头吞吐量统计表        </w:t>
      </w:r>
      <w:r>
        <w:rPr>
          <w:rFonts w:ascii="Times New Roman" w:hAnsi="Times New Roman" w:eastAsiaTheme="minorEastAsia"/>
          <w:color w:val="FF0000"/>
          <w:sz w:val="24"/>
          <w:szCs w:val="24"/>
          <w:u w:val="single"/>
        </w:rPr>
        <w:t>单位：万吨/年</w:t>
      </w:r>
    </w:p>
    <w:tbl>
      <w:tblPr>
        <w:tblStyle w:val="7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1812"/>
        <w:gridCol w:w="1812"/>
        <w:gridCol w:w="1812"/>
        <w:gridCol w:w="18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2" w:type="dxa"/>
            <w:vAlign w:val="center"/>
          </w:tcPr>
          <w:p>
            <w:pPr>
              <w:tabs>
                <w:tab w:val="left" w:pos="900"/>
              </w:tabs>
              <w:adjustRightInd w:val="0"/>
              <w:snapToGrid w:val="0"/>
              <w:jc w:val="center"/>
              <w:rPr>
                <w:rFonts w:ascii="Times New Roman" w:hAnsi="Times New Roman" w:eastAsiaTheme="minorEastAsia"/>
                <w:b/>
                <w:color w:val="FF0000"/>
                <w:u w:val="single"/>
              </w:rPr>
            </w:pPr>
            <w:r>
              <w:rPr>
                <w:rFonts w:ascii="Times New Roman" w:hAnsi="Times New Roman"/>
                <w:b/>
                <w:color w:val="FF0000"/>
                <w:u w:val="single"/>
              </w:rPr>
              <w:t>项目</w:t>
            </w:r>
          </w:p>
        </w:tc>
        <w:tc>
          <w:tcPr>
            <w:tcW w:w="1812" w:type="dxa"/>
            <w:vAlign w:val="center"/>
          </w:tcPr>
          <w:p>
            <w:pPr>
              <w:tabs>
                <w:tab w:val="left" w:pos="900"/>
              </w:tabs>
              <w:adjustRightInd w:val="0"/>
              <w:snapToGrid w:val="0"/>
              <w:jc w:val="center"/>
              <w:rPr>
                <w:rFonts w:ascii="Times New Roman" w:hAnsi="Times New Roman" w:eastAsiaTheme="minorEastAsia"/>
                <w:b/>
                <w:color w:val="FF0000"/>
                <w:u w:val="single"/>
              </w:rPr>
            </w:pPr>
            <w:r>
              <w:rPr>
                <w:rFonts w:ascii="Times New Roman" w:hAnsi="Times New Roman"/>
                <w:b/>
                <w:color w:val="FF0000"/>
                <w:u w:val="single"/>
              </w:rPr>
              <w:t>2014 年</w:t>
            </w:r>
          </w:p>
        </w:tc>
        <w:tc>
          <w:tcPr>
            <w:tcW w:w="1812" w:type="dxa"/>
            <w:vAlign w:val="center"/>
          </w:tcPr>
          <w:p>
            <w:pPr>
              <w:tabs>
                <w:tab w:val="left" w:pos="900"/>
              </w:tabs>
              <w:adjustRightInd w:val="0"/>
              <w:snapToGrid w:val="0"/>
              <w:jc w:val="center"/>
              <w:rPr>
                <w:rFonts w:ascii="Times New Roman" w:hAnsi="Times New Roman" w:eastAsiaTheme="minorEastAsia"/>
                <w:b/>
                <w:color w:val="FF0000"/>
                <w:u w:val="single"/>
              </w:rPr>
            </w:pPr>
            <w:r>
              <w:rPr>
                <w:rFonts w:ascii="Times New Roman" w:hAnsi="Times New Roman"/>
                <w:b/>
                <w:color w:val="FF0000"/>
                <w:u w:val="single"/>
              </w:rPr>
              <w:t>2015 年</w:t>
            </w:r>
          </w:p>
        </w:tc>
        <w:tc>
          <w:tcPr>
            <w:tcW w:w="1812" w:type="dxa"/>
            <w:vAlign w:val="center"/>
          </w:tcPr>
          <w:p>
            <w:pPr>
              <w:tabs>
                <w:tab w:val="left" w:pos="900"/>
              </w:tabs>
              <w:adjustRightInd w:val="0"/>
              <w:snapToGrid w:val="0"/>
              <w:jc w:val="center"/>
              <w:rPr>
                <w:rFonts w:ascii="Times New Roman" w:hAnsi="Times New Roman" w:eastAsiaTheme="minorEastAsia"/>
                <w:b/>
                <w:color w:val="FF0000"/>
                <w:u w:val="single"/>
              </w:rPr>
            </w:pPr>
            <w:r>
              <w:rPr>
                <w:rFonts w:ascii="Times New Roman" w:hAnsi="Times New Roman"/>
                <w:b/>
                <w:color w:val="FF0000"/>
                <w:u w:val="single"/>
              </w:rPr>
              <w:t>2016 年</w:t>
            </w:r>
          </w:p>
        </w:tc>
        <w:tc>
          <w:tcPr>
            <w:tcW w:w="1812" w:type="dxa"/>
            <w:vAlign w:val="center"/>
          </w:tcPr>
          <w:p>
            <w:pPr>
              <w:tabs>
                <w:tab w:val="left" w:pos="900"/>
              </w:tabs>
              <w:adjustRightInd w:val="0"/>
              <w:snapToGrid w:val="0"/>
              <w:jc w:val="center"/>
              <w:rPr>
                <w:rFonts w:ascii="Times New Roman" w:hAnsi="Times New Roman" w:eastAsiaTheme="minorEastAsia"/>
                <w:b/>
                <w:color w:val="FF0000"/>
                <w:u w:val="single"/>
              </w:rPr>
            </w:pPr>
            <w:r>
              <w:rPr>
                <w:rFonts w:ascii="Times New Roman" w:hAnsi="Times New Roman"/>
                <w:b/>
                <w:color w:val="FF0000"/>
                <w:u w:val="single"/>
              </w:rPr>
              <w:t>2018 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2" w:type="dxa"/>
            <w:vAlign w:val="center"/>
          </w:tcPr>
          <w:p>
            <w:pPr>
              <w:tabs>
                <w:tab w:val="left" w:pos="900"/>
              </w:tabs>
              <w:adjustRightInd w:val="0"/>
              <w:snapToGrid w:val="0"/>
              <w:jc w:val="center"/>
              <w:rPr>
                <w:rFonts w:ascii="Times New Roman" w:hAnsi="Times New Roman" w:eastAsiaTheme="minorEastAsia"/>
                <w:color w:val="FF0000"/>
                <w:u w:val="single"/>
              </w:rPr>
            </w:pPr>
            <w:r>
              <w:rPr>
                <w:rFonts w:ascii="Times New Roman" w:hAnsi="Times New Roman"/>
                <w:color w:val="FF0000"/>
                <w:u w:val="single"/>
              </w:rPr>
              <w:t>卸煤量</w:t>
            </w:r>
          </w:p>
        </w:tc>
        <w:tc>
          <w:tcPr>
            <w:tcW w:w="1812" w:type="dxa"/>
            <w:vAlign w:val="center"/>
          </w:tcPr>
          <w:p>
            <w:pPr>
              <w:tabs>
                <w:tab w:val="left" w:pos="900"/>
              </w:tabs>
              <w:adjustRightInd w:val="0"/>
              <w:snapToGrid w:val="0"/>
              <w:jc w:val="center"/>
              <w:rPr>
                <w:rFonts w:ascii="Times New Roman" w:hAnsi="Times New Roman" w:eastAsiaTheme="minorEastAsia"/>
                <w:color w:val="FF0000"/>
                <w:u w:val="single"/>
              </w:rPr>
            </w:pPr>
            <w:r>
              <w:rPr>
                <w:rFonts w:ascii="Times New Roman" w:hAnsi="Times New Roman"/>
                <w:color w:val="FF0000"/>
                <w:u w:val="single"/>
              </w:rPr>
              <w:t>274.71</w:t>
            </w:r>
          </w:p>
        </w:tc>
        <w:tc>
          <w:tcPr>
            <w:tcW w:w="1812" w:type="dxa"/>
            <w:vAlign w:val="center"/>
          </w:tcPr>
          <w:p>
            <w:pPr>
              <w:tabs>
                <w:tab w:val="left" w:pos="900"/>
              </w:tabs>
              <w:adjustRightInd w:val="0"/>
              <w:snapToGrid w:val="0"/>
              <w:jc w:val="center"/>
              <w:rPr>
                <w:rFonts w:ascii="Times New Roman" w:hAnsi="Times New Roman" w:eastAsiaTheme="minorEastAsia"/>
                <w:color w:val="FF0000"/>
                <w:u w:val="single"/>
              </w:rPr>
            </w:pPr>
            <w:r>
              <w:rPr>
                <w:rFonts w:ascii="Times New Roman" w:hAnsi="Times New Roman"/>
                <w:color w:val="FF0000"/>
                <w:u w:val="single"/>
              </w:rPr>
              <w:t>229.25</w:t>
            </w:r>
          </w:p>
        </w:tc>
        <w:tc>
          <w:tcPr>
            <w:tcW w:w="1812" w:type="dxa"/>
            <w:vAlign w:val="center"/>
          </w:tcPr>
          <w:p>
            <w:pPr>
              <w:tabs>
                <w:tab w:val="left" w:pos="900"/>
              </w:tabs>
              <w:adjustRightInd w:val="0"/>
              <w:snapToGrid w:val="0"/>
              <w:jc w:val="center"/>
              <w:rPr>
                <w:rFonts w:ascii="Times New Roman" w:hAnsi="Times New Roman" w:eastAsiaTheme="minorEastAsia"/>
                <w:color w:val="FF0000"/>
                <w:u w:val="single"/>
              </w:rPr>
            </w:pPr>
            <w:r>
              <w:rPr>
                <w:rFonts w:ascii="Times New Roman" w:hAnsi="Times New Roman"/>
                <w:color w:val="FF0000"/>
                <w:kern w:val="0"/>
                <w:u w:val="single"/>
              </w:rPr>
              <w:t>291.04</w:t>
            </w:r>
          </w:p>
        </w:tc>
        <w:tc>
          <w:tcPr>
            <w:tcW w:w="1812" w:type="dxa"/>
            <w:vAlign w:val="center"/>
          </w:tcPr>
          <w:p>
            <w:pPr>
              <w:tabs>
                <w:tab w:val="left" w:pos="900"/>
              </w:tabs>
              <w:adjustRightInd w:val="0"/>
              <w:snapToGrid w:val="0"/>
              <w:jc w:val="center"/>
              <w:rPr>
                <w:rFonts w:ascii="Times New Roman" w:hAnsi="Times New Roman" w:eastAsiaTheme="minorEastAsia"/>
                <w:color w:val="FF0000"/>
                <w:u w:val="single"/>
              </w:rPr>
            </w:pPr>
            <w:r>
              <w:rPr>
                <w:rFonts w:ascii="Times New Roman" w:hAnsi="Times New Roman"/>
                <w:color w:val="FF0000"/>
                <w:u w:val="single"/>
              </w:rPr>
              <w:t>380.00</w:t>
            </w:r>
          </w:p>
        </w:tc>
      </w:tr>
    </w:tbl>
    <w:p>
      <w:pPr>
        <w:jc w:val="center"/>
        <w:rPr>
          <w:rFonts w:ascii="Times New Roman" w:hAnsi="Times New Roman" w:eastAsiaTheme="minorEastAsia"/>
          <w:spacing w:val="4"/>
          <w:kern w:val="0"/>
          <w:sz w:val="28"/>
          <w:szCs w:val="28"/>
        </w:rPr>
      </w:pPr>
      <w:r>
        <w:rPr>
          <w:rFonts w:ascii="Times New Roman" w:hAnsi="Times New Roman"/>
        </w:rPr>
        <w:drawing>
          <wp:inline distT="0" distB="0" distL="0" distR="0">
            <wp:extent cx="5759450" cy="37782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4"/>
                    <a:stretch>
                      <a:fillRect/>
                    </a:stretch>
                  </pic:blipFill>
                  <pic:spPr>
                    <a:xfrm>
                      <a:off x="0" y="0"/>
                      <a:ext cx="5759450" cy="3778250"/>
                    </a:xfrm>
                    <a:prstGeom prst="rect">
                      <a:avLst/>
                    </a:prstGeom>
                  </pic:spPr>
                </pic:pic>
              </a:graphicData>
            </a:graphic>
          </wp:inline>
        </w:drawing>
      </w:r>
    </w:p>
    <w:p>
      <w:pPr>
        <w:adjustRightInd w:val="0"/>
        <w:snapToGrid w:val="0"/>
        <w:spacing w:line="360" w:lineRule="auto"/>
        <w:jc w:val="center"/>
        <w:rPr>
          <w:rFonts w:ascii="Times New Roman" w:hAnsi="Times New Roman" w:eastAsiaTheme="minorEastAsia"/>
          <w:b/>
          <w:kern w:val="0"/>
          <w:sz w:val="24"/>
          <w:szCs w:val="24"/>
          <w:lang w:val="zh-CN"/>
        </w:rPr>
      </w:pPr>
      <w:r>
        <w:rPr>
          <w:rFonts w:ascii="Times New Roman" w:hAnsi="Times New Roman"/>
          <w:b/>
          <w:bCs/>
          <w:color w:val="000000"/>
          <w:sz w:val="24"/>
          <w:szCs w:val="24"/>
        </w:rPr>
        <w:t>图3.1-1  本项目码头现状布置图</w:t>
      </w:r>
    </w:p>
    <w:p>
      <w:pPr>
        <w:adjustRightInd w:val="0"/>
        <w:snapToGrid w:val="0"/>
        <w:spacing w:line="360" w:lineRule="auto"/>
        <w:rPr>
          <w:rFonts w:ascii="Times New Roman" w:hAnsi="Times New Roman" w:eastAsiaTheme="minorEastAsia"/>
          <w:b/>
          <w:kern w:val="0"/>
          <w:sz w:val="24"/>
          <w:szCs w:val="22"/>
          <w:lang w:val="zh-CN"/>
        </w:rPr>
      </w:pPr>
      <w:r>
        <w:rPr>
          <w:rFonts w:ascii="Times New Roman" w:hAnsi="Times New Roman"/>
        </w:rPr>
        <w:drawing>
          <wp:inline distT="0" distB="0" distL="0" distR="0">
            <wp:extent cx="5759450" cy="41922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5759450" cy="4192270"/>
                    </a:xfrm>
                    <a:prstGeom prst="rect">
                      <a:avLst/>
                    </a:prstGeom>
                  </pic:spPr>
                </pic:pic>
              </a:graphicData>
            </a:graphic>
          </wp:inline>
        </w:drawing>
      </w:r>
    </w:p>
    <w:p>
      <w:pPr>
        <w:adjustRightInd w:val="0"/>
        <w:snapToGrid w:val="0"/>
        <w:spacing w:line="360" w:lineRule="auto"/>
        <w:ind w:firstLine="482" w:firstLineChars="200"/>
        <w:jc w:val="center"/>
        <w:rPr>
          <w:rFonts w:ascii="Times New Roman" w:hAnsi="Times New Roman" w:eastAsiaTheme="minorEastAsia"/>
          <w:b/>
          <w:kern w:val="0"/>
          <w:sz w:val="24"/>
          <w:szCs w:val="22"/>
          <w:lang w:val="zh-CN"/>
        </w:rPr>
      </w:pPr>
      <w:r>
        <w:rPr>
          <w:rFonts w:ascii="Times New Roman" w:hAnsi="Times New Roman" w:eastAsiaTheme="minorEastAsia"/>
          <w:b/>
          <w:kern w:val="0"/>
          <w:sz w:val="24"/>
          <w:szCs w:val="22"/>
          <w:lang w:val="zh-CN"/>
        </w:rPr>
        <w:t>图3.1-2  码头区卫星图</w:t>
      </w:r>
    </w:p>
    <w:p>
      <w:pPr>
        <w:pStyle w:val="4"/>
        <w:rPr>
          <w:rFonts w:eastAsiaTheme="minorEastAsia"/>
        </w:rPr>
      </w:pPr>
      <w:bookmarkStart w:id="31" w:name="_Toc488129965"/>
      <w:r>
        <w:rPr>
          <w:rFonts w:eastAsiaTheme="minorEastAsia"/>
        </w:rPr>
        <w:t>污染源分析</w:t>
      </w:r>
      <w:bookmarkEnd w:id="31"/>
    </w:p>
    <w:p>
      <w:pPr>
        <w:pStyle w:val="5"/>
        <w:rPr>
          <w:rFonts w:eastAsiaTheme="minorEastAsia"/>
        </w:rPr>
      </w:pPr>
      <w:r>
        <w:rPr>
          <w:rFonts w:eastAsiaTheme="minorEastAsia"/>
        </w:rPr>
        <w:t>废水治理措施</w:t>
      </w:r>
    </w:p>
    <w:p>
      <w:pPr>
        <w:tabs>
          <w:tab w:val="left" w:pos="900"/>
        </w:tabs>
        <w:adjustRightInd w:val="0"/>
        <w:snapToGrid w:val="0"/>
        <w:spacing w:line="360" w:lineRule="auto"/>
        <w:ind w:firstLine="480" w:firstLineChars="200"/>
        <w:rPr>
          <w:rFonts w:ascii="Times New Roman" w:hAnsi="Times New Roman" w:eastAsiaTheme="minorEastAsia"/>
          <w:color w:val="FF0000"/>
          <w:sz w:val="24"/>
          <w:szCs w:val="24"/>
          <w:u w:val="single"/>
        </w:rPr>
      </w:pPr>
      <w:r>
        <w:rPr>
          <w:rFonts w:hint="eastAsia" w:ascii="宋体" w:hAnsi="宋体" w:cs="宋体"/>
          <w:color w:val="FF0000"/>
          <w:sz w:val="24"/>
          <w:szCs w:val="24"/>
          <w:u w:val="single"/>
        </w:rPr>
        <w:t>⑴</w:t>
      </w:r>
      <w:r>
        <w:rPr>
          <w:rFonts w:ascii="Times New Roman" w:hAnsi="Times New Roman" w:eastAsiaTheme="minorEastAsia"/>
          <w:color w:val="FF0000"/>
          <w:sz w:val="24"/>
          <w:szCs w:val="24"/>
          <w:u w:val="single"/>
        </w:rPr>
        <w:t xml:space="preserve"> 码头船舶舱底油污水</w:t>
      </w:r>
    </w:p>
    <w:p>
      <w:pPr>
        <w:tabs>
          <w:tab w:val="left" w:pos="900"/>
        </w:tabs>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现有工程为华能电厂专用煤码头，接纳的均为为运煤货船，不需设置压载舱，因此无压舱水。</w:t>
      </w:r>
      <w:r>
        <w:rPr>
          <w:rFonts w:ascii="Times New Roman" w:hAnsi="Times New Roman"/>
          <w:color w:val="FF0000"/>
          <w:sz w:val="24"/>
          <w:szCs w:val="24"/>
          <w:u w:val="single"/>
        </w:rPr>
        <w:t>本项目</w:t>
      </w:r>
      <w:r>
        <w:rPr>
          <w:rFonts w:hint="eastAsia" w:ascii="Times New Roman" w:hAnsi="Times New Roman"/>
          <w:color w:val="FF0000"/>
          <w:sz w:val="24"/>
          <w:szCs w:val="24"/>
          <w:u w:val="single"/>
          <w:lang w:eastAsia="zh-CN"/>
        </w:rPr>
        <w:t>到港</w:t>
      </w:r>
      <w:r>
        <w:rPr>
          <w:rFonts w:ascii="Times New Roman" w:hAnsi="Times New Roman"/>
          <w:color w:val="FF0000"/>
          <w:sz w:val="24"/>
          <w:szCs w:val="24"/>
          <w:u w:val="single"/>
        </w:rPr>
        <w:t>船舶舱底油污水由船舶自备的油水分离器隔油处理后由船舶交给海事部门环保船接收处理，不上岸处理。</w:t>
      </w:r>
    </w:p>
    <w:p>
      <w:pPr>
        <w:tabs>
          <w:tab w:val="left" w:pos="900"/>
        </w:tabs>
        <w:adjustRightInd w:val="0"/>
        <w:snapToGrid w:val="0"/>
        <w:spacing w:line="360" w:lineRule="auto"/>
        <w:ind w:firstLine="480" w:firstLineChars="200"/>
        <w:rPr>
          <w:rFonts w:ascii="Times New Roman" w:hAnsi="Times New Roman" w:eastAsiaTheme="minorEastAsia"/>
          <w:color w:val="FF0000"/>
          <w:sz w:val="24"/>
          <w:szCs w:val="24"/>
          <w:u w:val="single"/>
        </w:rPr>
      </w:pPr>
      <w:r>
        <w:rPr>
          <w:rFonts w:hint="eastAsia" w:ascii="宋体" w:hAnsi="宋体" w:cs="宋体"/>
          <w:color w:val="FF0000"/>
          <w:sz w:val="24"/>
          <w:szCs w:val="24"/>
          <w:u w:val="single"/>
        </w:rPr>
        <w:t>⑵</w:t>
      </w:r>
      <w:r>
        <w:rPr>
          <w:rFonts w:ascii="Times New Roman" w:hAnsi="Times New Roman" w:eastAsiaTheme="minorEastAsia"/>
          <w:color w:val="FF0000"/>
          <w:sz w:val="24"/>
          <w:szCs w:val="24"/>
          <w:u w:val="single"/>
        </w:rPr>
        <w:t xml:space="preserve"> 生活污水</w:t>
      </w:r>
    </w:p>
    <w:p>
      <w:pPr>
        <w:tabs>
          <w:tab w:val="left" w:pos="900"/>
        </w:tabs>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现有工程在码头陆域平台未设生活设施。因此，现有工程无生活污水产生。</w:t>
      </w:r>
    </w:p>
    <w:p>
      <w:pPr>
        <w:tabs>
          <w:tab w:val="left" w:pos="900"/>
        </w:tabs>
        <w:adjustRightInd w:val="0"/>
        <w:snapToGrid w:val="0"/>
        <w:spacing w:line="360" w:lineRule="auto"/>
        <w:ind w:firstLine="480" w:firstLineChars="200"/>
        <w:rPr>
          <w:rFonts w:ascii="Times New Roman" w:hAnsi="Times New Roman" w:eastAsiaTheme="minorEastAsia"/>
          <w:color w:val="FF0000"/>
          <w:sz w:val="24"/>
          <w:szCs w:val="24"/>
          <w:u w:val="single"/>
        </w:rPr>
      </w:pPr>
      <w:r>
        <w:rPr>
          <w:rFonts w:hint="eastAsia" w:ascii="宋体" w:hAnsi="宋体" w:cs="宋体"/>
          <w:color w:val="FF0000"/>
          <w:sz w:val="24"/>
          <w:szCs w:val="24"/>
          <w:u w:val="single"/>
        </w:rPr>
        <w:t>⑶</w:t>
      </w:r>
      <w:r>
        <w:rPr>
          <w:rFonts w:ascii="Times New Roman" w:hAnsi="Times New Roman" w:eastAsiaTheme="minorEastAsia"/>
          <w:color w:val="FF0000"/>
          <w:sz w:val="24"/>
          <w:szCs w:val="24"/>
          <w:u w:val="single"/>
        </w:rPr>
        <w:t xml:space="preserve"> 生产废水</w:t>
      </w:r>
    </w:p>
    <w:p>
      <w:pPr>
        <w:tabs>
          <w:tab w:val="left" w:pos="900"/>
        </w:tabs>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现有工程生产废水产生量很小，主要为码头陆域平台冲洗废水及初期雨水。其中陆域平台平均每3天冲洗一次，冲洗水量约为10m</w:t>
      </w:r>
      <w:r>
        <w:rPr>
          <w:rFonts w:ascii="Times New Roman" w:hAnsi="Times New Roman" w:eastAsiaTheme="minorEastAsia"/>
          <w:color w:val="FF0000"/>
          <w:sz w:val="24"/>
          <w:szCs w:val="24"/>
          <w:u w:val="single"/>
          <w:vertAlign w:val="superscript"/>
        </w:rPr>
        <w:t>3</w:t>
      </w:r>
      <w:r>
        <w:rPr>
          <w:rFonts w:ascii="Times New Roman" w:hAnsi="Times New Roman" w:eastAsiaTheme="minorEastAsia"/>
          <w:color w:val="FF0000"/>
          <w:sz w:val="24"/>
          <w:szCs w:val="24"/>
          <w:u w:val="single"/>
        </w:rPr>
        <w:t>/次，废水产生量约为用水量的90%，即9m</w:t>
      </w:r>
      <w:r>
        <w:rPr>
          <w:rFonts w:ascii="Times New Roman" w:hAnsi="Times New Roman" w:eastAsiaTheme="minorEastAsia"/>
          <w:color w:val="FF0000"/>
          <w:sz w:val="24"/>
          <w:szCs w:val="24"/>
          <w:u w:val="single"/>
          <w:vertAlign w:val="superscript"/>
        </w:rPr>
        <w:t>3</w:t>
      </w:r>
      <w:r>
        <w:rPr>
          <w:rFonts w:ascii="Times New Roman" w:hAnsi="Times New Roman" w:eastAsiaTheme="minorEastAsia"/>
          <w:color w:val="FF0000"/>
          <w:sz w:val="24"/>
          <w:szCs w:val="24"/>
          <w:u w:val="single"/>
        </w:rPr>
        <w:t>/次（折3.0m</w:t>
      </w:r>
      <w:r>
        <w:rPr>
          <w:rFonts w:ascii="Times New Roman" w:hAnsi="Times New Roman" w:eastAsiaTheme="minorEastAsia"/>
          <w:color w:val="FF0000"/>
          <w:sz w:val="24"/>
          <w:szCs w:val="24"/>
          <w:u w:val="single"/>
          <w:vertAlign w:val="superscript"/>
        </w:rPr>
        <w:t>3</w:t>
      </w:r>
      <w:r>
        <w:rPr>
          <w:rFonts w:ascii="Times New Roman" w:hAnsi="Times New Roman" w:eastAsiaTheme="minorEastAsia"/>
          <w:color w:val="FF0000"/>
          <w:sz w:val="24"/>
          <w:szCs w:val="24"/>
          <w:u w:val="single"/>
        </w:rPr>
        <w:t>/d）。</w:t>
      </w:r>
    </w:p>
    <w:p>
      <w:pPr>
        <w:tabs>
          <w:tab w:val="left" w:pos="900"/>
        </w:tabs>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目前，建设方在陆域平台四周设置有收集坎，码头冲洗水和初期雨水经过平台坡面流入收集池，经沉淀和过滤处理后的废水经污水管网排入华能厂区进一步处置。</w:t>
      </w:r>
    </w:p>
    <w:p>
      <w:pPr>
        <w:pStyle w:val="5"/>
        <w:rPr>
          <w:rFonts w:eastAsiaTheme="minorEastAsia"/>
        </w:rPr>
      </w:pPr>
      <w:r>
        <w:rPr>
          <w:rFonts w:eastAsiaTheme="minorEastAsia"/>
        </w:rPr>
        <w:t>废气治理措施</w:t>
      </w:r>
    </w:p>
    <w:p>
      <w:pPr>
        <w:tabs>
          <w:tab w:val="left" w:pos="900"/>
        </w:tabs>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现有工程营运期的大气污染主要是装卸煤过程的扬尘，主要以无组织的形式排放；目前建设方主要采取了以下防治措施：</w:t>
      </w:r>
    </w:p>
    <w:p>
      <w:pPr>
        <w:tabs>
          <w:tab w:val="left" w:pos="900"/>
        </w:tabs>
        <w:adjustRightInd w:val="0"/>
        <w:snapToGrid w:val="0"/>
        <w:spacing w:line="360" w:lineRule="auto"/>
        <w:ind w:firstLine="480" w:firstLineChars="200"/>
        <w:rPr>
          <w:rFonts w:ascii="Times New Roman" w:hAnsi="Times New Roman" w:eastAsiaTheme="minorEastAsia"/>
          <w:color w:val="FF0000"/>
          <w:sz w:val="24"/>
          <w:szCs w:val="24"/>
          <w:u w:val="single"/>
        </w:rPr>
      </w:pPr>
      <w:r>
        <w:rPr>
          <w:rFonts w:hint="eastAsia" w:ascii="宋体" w:hAnsi="宋体" w:cs="宋体"/>
          <w:color w:val="FF0000"/>
          <w:sz w:val="24"/>
          <w:szCs w:val="24"/>
          <w:u w:val="single"/>
        </w:rPr>
        <w:t>⑴</w:t>
      </w:r>
      <w:r>
        <w:rPr>
          <w:rFonts w:ascii="Times New Roman" w:hAnsi="Times New Roman" w:eastAsiaTheme="minorEastAsia"/>
          <w:color w:val="FF0000"/>
          <w:sz w:val="24"/>
          <w:szCs w:val="24"/>
          <w:u w:val="single"/>
        </w:rPr>
        <w:t xml:space="preserve"> 在煤炭接卸过程中，在煤抓斗下方趸船与运煤船之间设置了防撒煤的帆布，防止煤装卸过程中煤撒落至长江中；</w:t>
      </w:r>
    </w:p>
    <w:p>
      <w:pPr>
        <w:tabs>
          <w:tab w:val="left" w:pos="900"/>
        </w:tabs>
        <w:adjustRightInd w:val="0"/>
        <w:snapToGrid w:val="0"/>
        <w:spacing w:line="360" w:lineRule="auto"/>
        <w:ind w:firstLine="480" w:firstLineChars="200"/>
        <w:rPr>
          <w:rFonts w:ascii="Times New Roman" w:hAnsi="Times New Roman" w:eastAsiaTheme="minorEastAsia"/>
          <w:color w:val="FF0000"/>
          <w:sz w:val="24"/>
          <w:szCs w:val="24"/>
          <w:u w:val="single"/>
        </w:rPr>
      </w:pPr>
      <w:r>
        <w:rPr>
          <w:rFonts w:hint="eastAsia" w:ascii="宋体" w:hAnsi="宋体" w:cs="宋体"/>
          <w:color w:val="FF0000"/>
          <w:sz w:val="24"/>
          <w:szCs w:val="24"/>
          <w:u w:val="single"/>
        </w:rPr>
        <w:t>⑵</w:t>
      </w:r>
      <w:r>
        <w:rPr>
          <w:rFonts w:ascii="Times New Roman" w:hAnsi="Times New Roman" w:eastAsiaTheme="minorEastAsia"/>
          <w:color w:val="FF0000"/>
          <w:sz w:val="24"/>
          <w:szCs w:val="24"/>
          <w:u w:val="single"/>
        </w:rPr>
        <w:t xml:space="preserve"> 1#泊位趸船料斗处设置了雾炮机、水雾化喷淋装置，本次拟改造的2#泊位趸船料斗处仅设置了水雾化喷淋装置；</w:t>
      </w:r>
    </w:p>
    <w:p>
      <w:pPr>
        <w:tabs>
          <w:tab w:val="left" w:pos="900"/>
        </w:tabs>
        <w:adjustRightInd w:val="0"/>
        <w:snapToGrid w:val="0"/>
        <w:spacing w:line="360" w:lineRule="auto"/>
        <w:ind w:firstLine="480" w:firstLineChars="200"/>
        <w:rPr>
          <w:rFonts w:ascii="Times New Roman" w:hAnsi="Times New Roman" w:eastAsiaTheme="minorEastAsia"/>
          <w:color w:val="FF0000"/>
          <w:sz w:val="24"/>
          <w:szCs w:val="24"/>
          <w:u w:val="single"/>
        </w:rPr>
      </w:pPr>
      <w:r>
        <w:rPr>
          <w:rFonts w:hint="eastAsia" w:ascii="宋体" w:hAnsi="宋体" w:cs="宋体"/>
          <w:color w:val="FF0000"/>
          <w:sz w:val="24"/>
          <w:szCs w:val="24"/>
          <w:u w:val="single"/>
        </w:rPr>
        <w:t>⑶</w:t>
      </w:r>
      <w:r>
        <w:rPr>
          <w:rFonts w:ascii="Times New Roman" w:hAnsi="Times New Roman" w:eastAsiaTheme="minorEastAsia"/>
          <w:color w:val="FF0000"/>
          <w:sz w:val="24"/>
          <w:szCs w:val="24"/>
          <w:u w:val="single"/>
        </w:rPr>
        <w:t xml:space="preserve"> 当煤料卸至皮带机上时，运输皮带机、运输皮带均为完全封闭；</w:t>
      </w:r>
    </w:p>
    <w:p>
      <w:pPr>
        <w:tabs>
          <w:tab w:val="left" w:pos="900"/>
        </w:tabs>
        <w:adjustRightInd w:val="0"/>
        <w:snapToGrid w:val="0"/>
        <w:spacing w:line="360" w:lineRule="auto"/>
        <w:ind w:firstLine="480" w:firstLineChars="200"/>
        <w:rPr>
          <w:rFonts w:ascii="Times New Roman" w:hAnsi="Times New Roman" w:eastAsiaTheme="minorEastAsia"/>
          <w:color w:val="FF0000"/>
          <w:sz w:val="24"/>
          <w:szCs w:val="24"/>
          <w:u w:val="single"/>
        </w:rPr>
      </w:pPr>
      <w:r>
        <w:rPr>
          <w:rFonts w:hint="eastAsia" w:ascii="宋体" w:hAnsi="宋体" w:cs="宋体"/>
          <w:color w:val="FF0000"/>
          <w:sz w:val="24"/>
          <w:szCs w:val="24"/>
          <w:u w:val="single"/>
        </w:rPr>
        <w:t>⑷</w:t>
      </w:r>
      <w:r>
        <w:rPr>
          <w:rFonts w:ascii="Times New Roman" w:hAnsi="Times New Roman" w:eastAsiaTheme="minorEastAsia"/>
          <w:color w:val="FF0000"/>
          <w:sz w:val="24"/>
          <w:szCs w:val="24"/>
          <w:u w:val="single"/>
        </w:rPr>
        <w:t xml:space="preserve"> 转运站转运节点处设置水雾化喷淋装置；</w:t>
      </w:r>
    </w:p>
    <w:p>
      <w:pPr>
        <w:tabs>
          <w:tab w:val="left" w:pos="900"/>
        </w:tabs>
        <w:adjustRightInd w:val="0"/>
        <w:snapToGrid w:val="0"/>
        <w:spacing w:line="360" w:lineRule="auto"/>
        <w:ind w:firstLine="480" w:firstLineChars="200"/>
        <w:rPr>
          <w:rFonts w:ascii="Times New Roman" w:hAnsi="Times New Roman" w:eastAsiaTheme="minorEastAsia"/>
          <w:color w:val="FF0000"/>
          <w:sz w:val="24"/>
          <w:szCs w:val="24"/>
          <w:u w:val="single"/>
        </w:rPr>
      </w:pPr>
      <w:r>
        <w:rPr>
          <w:rFonts w:hint="eastAsia" w:ascii="宋体" w:hAnsi="宋体" w:cs="宋体"/>
          <w:color w:val="FF0000"/>
          <w:sz w:val="24"/>
          <w:szCs w:val="24"/>
          <w:u w:val="single"/>
        </w:rPr>
        <w:t>⑸</w:t>
      </w:r>
      <w:r>
        <w:rPr>
          <w:rFonts w:ascii="Times New Roman" w:hAnsi="Times New Roman" w:eastAsiaTheme="minorEastAsia"/>
          <w:color w:val="FF0000"/>
          <w:sz w:val="24"/>
          <w:szCs w:val="24"/>
          <w:u w:val="single"/>
        </w:rPr>
        <w:t xml:space="preserve"> 对码头作业区路面和平台每天清扫，每三日冲洗一次。</w:t>
      </w:r>
    </w:p>
    <w:p>
      <w:pPr>
        <w:tabs>
          <w:tab w:val="left" w:pos="900"/>
        </w:tabs>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具体情况见图3.1-3。</w:t>
      </w:r>
    </w:p>
    <w:p>
      <w:pPr>
        <w:tabs>
          <w:tab w:val="left" w:pos="900"/>
        </w:tabs>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此外，进港船舶及机械设备在运行过程中产生一定量的尾气。</w:t>
      </w:r>
    </w:p>
    <w:tbl>
      <w:tblPr>
        <w:tblStyle w:val="71"/>
        <w:tblW w:w="0" w:type="auto"/>
        <w:jc w:val="center"/>
        <w:tblLayout w:type="fixed"/>
        <w:tblCellMar>
          <w:top w:w="0" w:type="dxa"/>
          <w:left w:w="108" w:type="dxa"/>
          <w:bottom w:w="0" w:type="dxa"/>
          <w:right w:w="108" w:type="dxa"/>
        </w:tblCellMar>
      </w:tblPr>
      <w:tblGrid>
        <w:gridCol w:w="4502"/>
        <w:gridCol w:w="4502"/>
      </w:tblGrid>
      <w:tr>
        <w:tblPrEx>
          <w:tblCellMar>
            <w:top w:w="0" w:type="dxa"/>
            <w:left w:w="108" w:type="dxa"/>
            <w:bottom w:w="0" w:type="dxa"/>
            <w:right w:w="108" w:type="dxa"/>
          </w:tblCellMar>
        </w:tblPrEx>
        <w:trPr>
          <w:jc w:val="center"/>
        </w:trPr>
        <w:tc>
          <w:tcPr>
            <w:tcW w:w="4502" w:type="dxa"/>
            <w:vAlign w:val="center"/>
          </w:tcPr>
          <w:p>
            <w:pPr>
              <w:jc w:val="center"/>
              <w:rPr>
                <w:rFonts w:ascii="Times New Roman" w:hAnsi="Times New Roman"/>
              </w:rPr>
            </w:pPr>
            <w:r>
              <w:rPr>
                <w:rFonts w:ascii="Times New Roman" w:hAnsi="Times New Roman"/>
                <w:sz w:val="24"/>
              </w:rPr>
              <w:drawing>
                <wp:inline distT="0" distB="0" distL="0" distR="0">
                  <wp:extent cx="2519045" cy="2190115"/>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540447" cy="2209085"/>
                          </a:xfrm>
                          <a:prstGeom prst="rect">
                            <a:avLst/>
                          </a:prstGeom>
                          <a:noFill/>
                          <a:ln>
                            <a:noFill/>
                          </a:ln>
                        </pic:spPr>
                      </pic:pic>
                    </a:graphicData>
                  </a:graphic>
                </wp:inline>
              </w:drawing>
            </w:r>
          </w:p>
        </w:tc>
        <w:tc>
          <w:tcPr>
            <w:tcW w:w="4502" w:type="dxa"/>
            <w:vAlign w:val="center"/>
          </w:tcPr>
          <w:p>
            <w:pPr>
              <w:jc w:val="center"/>
              <w:rPr>
                <w:rFonts w:ascii="Times New Roman" w:hAnsi="Times New Roman"/>
              </w:rPr>
            </w:pPr>
            <w:r>
              <w:rPr>
                <w:rFonts w:ascii="Times New Roman" w:hAnsi="Times New Roman"/>
              </w:rPr>
              <w:drawing>
                <wp:inline distT="0" distB="0" distL="0" distR="0">
                  <wp:extent cx="2478405" cy="21551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501008" cy="2174789"/>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4502" w:type="dxa"/>
            <w:vAlign w:val="center"/>
          </w:tcPr>
          <w:p>
            <w:pPr>
              <w:spacing w:line="360" w:lineRule="auto"/>
              <w:jc w:val="center"/>
              <w:rPr>
                <w:rFonts w:ascii="Times New Roman" w:hAnsi="Times New Roman"/>
                <w:sz w:val="24"/>
              </w:rPr>
            </w:pPr>
            <w:r>
              <w:rPr>
                <w:rFonts w:ascii="Times New Roman" w:hAnsi="Times New Roman"/>
                <w:sz w:val="24"/>
              </w:rPr>
              <w:t>趸船料斗口喷淋装置</w:t>
            </w:r>
          </w:p>
        </w:tc>
        <w:tc>
          <w:tcPr>
            <w:tcW w:w="4502" w:type="dxa"/>
            <w:vAlign w:val="center"/>
          </w:tcPr>
          <w:p>
            <w:pPr>
              <w:spacing w:line="360" w:lineRule="auto"/>
              <w:jc w:val="center"/>
              <w:rPr>
                <w:rFonts w:ascii="Times New Roman" w:hAnsi="Times New Roman"/>
              </w:rPr>
            </w:pPr>
            <w:r>
              <w:rPr>
                <w:rFonts w:ascii="Times New Roman" w:hAnsi="Times New Roman"/>
                <w:sz w:val="24"/>
              </w:rPr>
              <w:t>煤抓斗下方设置防撒煤的帆布</w:t>
            </w:r>
          </w:p>
        </w:tc>
      </w:tr>
    </w:tbl>
    <w:p>
      <w:pPr>
        <w:adjustRightInd w:val="0"/>
        <w:snapToGrid w:val="0"/>
        <w:spacing w:line="360" w:lineRule="auto"/>
        <w:ind w:firstLine="482" w:firstLineChars="200"/>
        <w:jc w:val="center"/>
        <w:rPr>
          <w:rFonts w:ascii="Times New Roman" w:hAnsi="Times New Roman" w:eastAsiaTheme="minorEastAsia"/>
          <w:b/>
          <w:kern w:val="0"/>
          <w:sz w:val="24"/>
          <w:szCs w:val="22"/>
          <w:lang w:val="zh-CN"/>
        </w:rPr>
      </w:pPr>
      <w:r>
        <w:rPr>
          <w:rFonts w:ascii="Times New Roman" w:hAnsi="Times New Roman" w:eastAsiaTheme="minorEastAsia"/>
          <w:b/>
          <w:kern w:val="0"/>
          <w:sz w:val="24"/>
          <w:szCs w:val="22"/>
          <w:lang w:val="zh-CN"/>
        </w:rPr>
        <w:t>图3.1-3  现有工程废气治理设施</w:t>
      </w:r>
    </w:p>
    <w:p>
      <w:pPr>
        <w:pStyle w:val="5"/>
        <w:rPr>
          <w:rFonts w:eastAsiaTheme="minorEastAsia"/>
        </w:rPr>
      </w:pPr>
      <w:r>
        <w:rPr>
          <w:rFonts w:eastAsiaTheme="minorEastAsia"/>
        </w:rPr>
        <w:t>噪声治理措施</w:t>
      </w:r>
    </w:p>
    <w:p>
      <w:pPr>
        <w:tabs>
          <w:tab w:val="left" w:pos="900"/>
        </w:tabs>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现有工程噪声源主要为传送带等机械设备、运输车辆、船舶、物料装卸等。建设方在设备选型时均选用噪声水平符合国家标准规定的设备；并针对设备特性，在安装时采取了减震、消声的措施，在运输上注重了降低噪声的管理，要求车辆限速、禁鸣，船舶运输进港时尽量减少鸣笛次数，以减少工程运行对区域声环境的影响。</w:t>
      </w:r>
    </w:p>
    <w:p>
      <w:pPr>
        <w:pStyle w:val="5"/>
        <w:rPr>
          <w:rFonts w:eastAsiaTheme="minorEastAsia"/>
        </w:rPr>
      </w:pPr>
      <w:r>
        <w:rPr>
          <w:rFonts w:eastAsiaTheme="minorEastAsia"/>
        </w:rPr>
        <w:t>固体废物治理措施</w:t>
      </w:r>
    </w:p>
    <w:p>
      <w:pPr>
        <w:tabs>
          <w:tab w:val="left" w:pos="900"/>
        </w:tabs>
        <w:adjustRightInd w:val="0"/>
        <w:snapToGrid w:val="0"/>
        <w:spacing w:line="360" w:lineRule="auto"/>
        <w:ind w:firstLine="480" w:firstLineChars="200"/>
        <w:rPr>
          <w:rFonts w:ascii="Times New Roman" w:hAnsi="Times New Roman" w:eastAsiaTheme="minorEastAsia"/>
          <w:color w:val="FF0000"/>
          <w:sz w:val="24"/>
          <w:szCs w:val="24"/>
          <w:u w:val="single"/>
        </w:rPr>
      </w:pPr>
      <w:r>
        <w:rPr>
          <w:rFonts w:hint="eastAsia" w:ascii="宋体" w:hAnsi="宋体" w:cs="宋体"/>
          <w:color w:val="FF0000"/>
          <w:sz w:val="24"/>
          <w:szCs w:val="24"/>
          <w:u w:val="single"/>
        </w:rPr>
        <w:t>⑴</w:t>
      </w:r>
      <w:r>
        <w:rPr>
          <w:rFonts w:ascii="Times New Roman" w:hAnsi="Times New Roman"/>
          <w:color w:val="FF0000"/>
          <w:sz w:val="24"/>
          <w:szCs w:val="24"/>
          <w:u w:val="single"/>
        </w:rPr>
        <w:t xml:space="preserve"> </w:t>
      </w:r>
      <w:r>
        <w:rPr>
          <w:rFonts w:ascii="Times New Roman" w:hAnsi="Times New Roman" w:eastAsiaTheme="minorEastAsia"/>
          <w:color w:val="FF0000"/>
          <w:sz w:val="24"/>
          <w:szCs w:val="24"/>
          <w:u w:val="single"/>
        </w:rPr>
        <w:t>生活垃圾</w:t>
      </w:r>
    </w:p>
    <w:p>
      <w:pPr>
        <w:tabs>
          <w:tab w:val="left" w:pos="900"/>
        </w:tabs>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码头作业人员及到港船舶人员会产生少量生活垃圾，其产生量约为0.025kg/d（8.09t/a）。</w:t>
      </w:r>
    </w:p>
    <w:p>
      <w:pPr>
        <w:tabs>
          <w:tab w:val="left" w:pos="900"/>
        </w:tabs>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目前，建设方在码头设置了小型生活垃圾桶，并安排有人员收集生活垃圾，再与岳阳电厂生活垃圾一起当地交环卫部门统一处理。</w:t>
      </w:r>
    </w:p>
    <w:p>
      <w:pPr>
        <w:tabs>
          <w:tab w:val="left" w:pos="900"/>
        </w:tabs>
        <w:adjustRightInd w:val="0"/>
        <w:snapToGrid w:val="0"/>
        <w:spacing w:line="360" w:lineRule="auto"/>
        <w:ind w:firstLine="480" w:firstLineChars="200"/>
        <w:rPr>
          <w:rFonts w:ascii="Times New Roman" w:hAnsi="Times New Roman" w:eastAsiaTheme="minorEastAsia"/>
          <w:color w:val="FF0000"/>
          <w:sz w:val="24"/>
          <w:szCs w:val="24"/>
          <w:u w:val="single"/>
        </w:rPr>
      </w:pPr>
      <w:r>
        <w:rPr>
          <w:rFonts w:hint="eastAsia" w:ascii="宋体" w:hAnsi="宋体" w:cs="宋体"/>
          <w:color w:val="FF0000"/>
          <w:sz w:val="24"/>
          <w:szCs w:val="24"/>
          <w:u w:val="single"/>
        </w:rPr>
        <w:t>⑵</w:t>
      </w:r>
      <w:r>
        <w:rPr>
          <w:rFonts w:ascii="Times New Roman" w:hAnsi="Times New Roman"/>
          <w:color w:val="FF0000"/>
          <w:sz w:val="24"/>
          <w:szCs w:val="24"/>
          <w:u w:val="single"/>
        </w:rPr>
        <w:t xml:space="preserve"> </w:t>
      </w:r>
      <w:r>
        <w:rPr>
          <w:rFonts w:ascii="Times New Roman" w:hAnsi="Times New Roman" w:eastAsiaTheme="minorEastAsia"/>
          <w:color w:val="FF0000"/>
          <w:sz w:val="24"/>
          <w:szCs w:val="24"/>
          <w:u w:val="single"/>
        </w:rPr>
        <w:t>沉淀池污泥</w:t>
      </w:r>
    </w:p>
    <w:p>
      <w:pPr>
        <w:tabs>
          <w:tab w:val="left" w:pos="900"/>
        </w:tabs>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污水沉淀池将会产生少量的污泥，其产生量约为0.1t/a，主要成分为煤尘，属一般固废。经人工清掏后运至岳阳电厂作为燃料综合利用。</w:t>
      </w:r>
    </w:p>
    <w:p>
      <w:pPr>
        <w:tabs>
          <w:tab w:val="left" w:pos="900"/>
        </w:tabs>
        <w:adjustRightInd w:val="0"/>
        <w:snapToGrid w:val="0"/>
        <w:spacing w:line="360" w:lineRule="auto"/>
        <w:ind w:firstLine="480" w:firstLineChars="200"/>
        <w:rPr>
          <w:rFonts w:ascii="Times New Roman" w:hAnsi="Times New Roman" w:eastAsiaTheme="minorEastAsia"/>
          <w:color w:val="FF0000"/>
          <w:sz w:val="24"/>
          <w:szCs w:val="24"/>
          <w:u w:val="single"/>
        </w:rPr>
      </w:pPr>
      <w:r>
        <w:rPr>
          <w:rFonts w:hint="eastAsia" w:ascii="宋体" w:hAnsi="宋体" w:cs="宋体"/>
          <w:color w:val="FF0000"/>
          <w:sz w:val="24"/>
          <w:szCs w:val="24"/>
          <w:u w:val="single"/>
        </w:rPr>
        <w:t>⑶</w:t>
      </w:r>
      <w:r>
        <w:rPr>
          <w:rFonts w:ascii="Times New Roman" w:hAnsi="Times New Roman"/>
          <w:color w:val="FF0000"/>
          <w:sz w:val="24"/>
          <w:szCs w:val="24"/>
          <w:u w:val="single"/>
        </w:rPr>
        <w:t xml:space="preserve"> </w:t>
      </w:r>
      <w:r>
        <w:rPr>
          <w:rFonts w:ascii="Times New Roman" w:hAnsi="Times New Roman" w:eastAsiaTheme="minorEastAsia"/>
          <w:color w:val="FF0000"/>
          <w:sz w:val="24"/>
          <w:szCs w:val="24"/>
          <w:u w:val="single"/>
        </w:rPr>
        <w:t>废机油</w:t>
      </w:r>
    </w:p>
    <w:p>
      <w:pPr>
        <w:tabs>
          <w:tab w:val="left" w:pos="900"/>
        </w:tabs>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现有工程码头机械需要定期更换机油，将会产生一定量的废机油，属危险废物。建设方将其收集后存放在电厂的危险废物仓库内，再统一交给有相应危废处理资质的单位进行处理。</w:t>
      </w:r>
    </w:p>
    <w:p>
      <w:pPr>
        <w:pStyle w:val="4"/>
        <w:rPr>
          <w:rFonts w:eastAsiaTheme="minorEastAsia"/>
        </w:rPr>
      </w:pPr>
      <w:r>
        <w:rPr>
          <w:rFonts w:eastAsiaTheme="minorEastAsia"/>
        </w:rPr>
        <w:t>现有工程存在的主要环境问题及“以新带老”整改措施</w:t>
      </w:r>
    </w:p>
    <w:p>
      <w:pPr>
        <w:adjustRightInd w:val="0"/>
        <w:snapToGrid w:val="0"/>
        <w:spacing w:line="360" w:lineRule="auto"/>
        <w:ind w:firstLine="482" w:firstLineChars="200"/>
        <w:rPr>
          <w:rFonts w:ascii="Times New Roman" w:hAnsi="Times New Roman"/>
          <w:b/>
          <w:color w:val="FF0000"/>
          <w:sz w:val="24"/>
          <w:szCs w:val="24"/>
          <w:u w:val="single"/>
        </w:rPr>
      </w:pPr>
      <w:r>
        <w:rPr>
          <w:rFonts w:ascii="Times New Roman" w:hAnsi="Times New Roman"/>
          <w:b/>
          <w:color w:val="FF0000"/>
          <w:sz w:val="24"/>
          <w:szCs w:val="24"/>
          <w:u w:val="single"/>
        </w:rPr>
        <w:t>1、现有工程存在的环保问题</w:t>
      </w:r>
    </w:p>
    <w:p>
      <w:pPr>
        <w:adjustRightInd w:val="0"/>
        <w:snapToGrid w:val="0"/>
        <w:spacing w:line="360" w:lineRule="auto"/>
        <w:ind w:firstLine="480" w:firstLineChars="200"/>
        <w:rPr>
          <w:rFonts w:ascii="Times New Roman" w:hAnsi="Times New Roman"/>
          <w:color w:val="FF0000"/>
          <w:sz w:val="24"/>
          <w:szCs w:val="24"/>
          <w:u w:val="single"/>
        </w:rPr>
      </w:pPr>
      <w:r>
        <w:rPr>
          <w:rFonts w:hint="eastAsia" w:ascii="宋体" w:hAnsi="宋体" w:cs="宋体"/>
          <w:color w:val="FF0000"/>
          <w:sz w:val="24"/>
          <w:szCs w:val="24"/>
          <w:u w:val="single"/>
        </w:rPr>
        <w:t>⑴</w:t>
      </w:r>
      <w:r>
        <w:rPr>
          <w:rFonts w:ascii="Times New Roman" w:hAnsi="Times New Roman"/>
          <w:color w:val="FF0000"/>
          <w:sz w:val="24"/>
          <w:szCs w:val="24"/>
          <w:u w:val="single"/>
        </w:rPr>
        <w:t xml:space="preserve"> 2#泊位现有装卸设施老旧，未配套有降尘及冲洗废水回收装置；</w:t>
      </w:r>
    </w:p>
    <w:p>
      <w:pPr>
        <w:adjustRightInd w:val="0"/>
        <w:snapToGrid w:val="0"/>
        <w:spacing w:line="360" w:lineRule="auto"/>
        <w:ind w:firstLine="480" w:firstLineChars="200"/>
        <w:rPr>
          <w:rFonts w:ascii="Times New Roman" w:hAnsi="Times New Roman"/>
          <w:color w:val="FF0000"/>
          <w:sz w:val="24"/>
          <w:szCs w:val="24"/>
          <w:u w:val="single"/>
        </w:rPr>
      </w:pPr>
      <w:r>
        <w:rPr>
          <w:rFonts w:hint="eastAsia" w:ascii="宋体" w:hAnsi="宋体" w:cs="宋体"/>
          <w:color w:val="FF0000"/>
          <w:sz w:val="24"/>
          <w:szCs w:val="24"/>
          <w:u w:val="single"/>
        </w:rPr>
        <w:t>⑵</w:t>
      </w:r>
      <w:r>
        <w:rPr>
          <w:rFonts w:ascii="Times New Roman" w:hAnsi="Times New Roman"/>
          <w:color w:val="FF0000"/>
          <w:sz w:val="24"/>
          <w:szCs w:val="24"/>
          <w:u w:val="single"/>
        </w:rPr>
        <w:t xml:space="preserve"> 输煤廊道老化、掉漆，设备噪声大；</w:t>
      </w:r>
    </w:p>
    <w:p>
      <w:pPr>
        <w:adjustRightInd w:val="0"/>
        <w:snapToGrid w:val="0"/>
        <w:spacing w:line="360" w:lineRule="auto"/>
        <w:ind w:firstLine="480" w:firstLineChars="200"/>
        <w:rPr>
          <w:rFonts w:ascii="Times New Roman" w:hAnsi="Times New Roman"/>
          <w:color w:val="FF0000"/>
          <w:sz w:val="24"/>
          <w:szCs w:val="24"/>
          <w:u w:val="single"/>
        </w:rPr>
      </w:pPr>
      <w:r>
        <w:rPr>
          <w:rFonts w:hint="eastAsia" w:ascii="宋体" w:hAnsi="宋体" w:cs="宋体"/>
          <w:color w:val="FF0000"/>
          <w:sz w:val="24"/>
          <w:szCs w:val="24"/>
          <w:u w:val="single"/>
        </w:rPr>
        <w:t>⑶</w:t>
      </w:r>
      <w:r>
        <w:rPr>
          <w:rFonts w:ascii="Times New Roman" w:hAnsi="Times New Roman"/>
          <w:color w:val="FF0000"/>
          <w:sz w:val="24"/>
          <w:szCs w:val="24"/>
          <w:u w:val="single"/>
        </w:rPr>
        <w:t xml:space="preserve"> 码头装卸区及输煤廊道内未设置危废暂存间。</w:t>
      </w:r>
    </w:p>
    <w:p>
      <w:pPr>
        <w:adjustRightInd w:val="0"/>
        <w:snapToGrid w:val="0"/>
        <w:spacing w:line="360" w:lineRule="auto"/>
        <w:ind w:firstLine="482" w:firstLineChars="200"/>
        <w:rPr>
          <w:rFonts w:ascii="Times New Roman" w:hAnsi="Times New Roman"/>
          <w:b/>
          <w:color w:val="FF0000"/>
          <w:sz w:val="24"/>
          <w:szCs w:val="24"/>
          <w:u w:val="single"/>
        </w:rPr>
      </w:pPr>
      <w:r>
        <w:rPr>
          <w:rFonts w:ascii="Times New Roman" w:hAnsi="Times New Roman"/>
          <w:b/>
          <w:color w:val="FF0000"/>
          <w:sz w:val="24"/>
          <w:szCs w:val="24"/>
          <w:u w:val="single"/>
        </w:rPr>
        <w:t>2、以新带老及整改措施</w:t>
      </w:r>
    </w:p>
    <w:p>
      <w:pPr>
        <w:adjustRightInd w:val="0"/>
        <w:snapToGrid w:val="0"/>
        <w:spacing w:line="360" w:lineRule="auto"/>
        <w:ind w:firstLine="480" w:firstLineChars="200"/>
        <w:rPr>
          <w:rFonts w:ascii="Times New Roman" w:hAnsi="Times New Roman"/>
          <w:color w:val="FF0000"/>
          <w:sz w:val="24"/>
          <w:szCs w:val="24"/>
          <w:u w:val="single"/>
        </w:rPr>
      </w:pPr>
      <w:r>
        <w:rPr>
          <w:rFonts w:hint="eastAsia" w:ascii="宋体" w:hAnsi="宋体" w:cs="宋体"/>
          <w:color w:val="FF0000"/>
          <w:sz w:val="24"/>
          <w:szCs w:val="24"/>
          <w:u w:val="single"/>
        </w:rPr>
        <w:t>⑴</w:t>
      </w:r>
      <w:r>
        <w:rPr>
          <w:rFonts w:ascii="Times New Roman" w:hAnsi="Times New Roman"/>
          <w:color w:val="FF0000"/>
          <w:sz w:val="24"/>
          <w:szCs w:val="24"/>
          <w:u w:val="single"/>
        </w:rPr>
        <w:t xml:space="preserve"> 增加码头煤尘防治措施</w:t>
      </w:r>
    </w:p>
    <w:p>
      <w:pPr>
        <w:adjustRightInd w:val="0"/>
        <w:snapToGrid w:val="0"/>
        <w:spacing w:line="360" w:lineRule="auto"/>
        <w:ind w:firstLine="480" w:firstLineChars="200"/>
        <w:rPr>
          <w:rFonts w:ascii="Times New Roman" w:hAnsi="Times New Roman"/>
          <w:color w:val="FF0000"/>
          <w:sz w:val="24"/>
          <w:szCs w:val="24"/>
          <w:u w:val="single"/>
        </w:rPr>
      </w:pPr>
      <w:r>
        <w:rPr>
          <w:rFonts w:ascii="Times New Roman" w:hAnsi="Times New Roman"/>
          <w:color w:val="FF0000"/>
          <w:sz w:val="24"/>
          <w:szCs w:val="24"/>
          <w:u w:val="single"/>
        </w:rPr>
        <w:t>在趸船甲板上加装雾炮机，对煤炭扬尘进行压制；同时在卸料漏斗口四周加装除尘设施，在每个带式输送机落料口处加装干雾除尘装置。</w:t>
      </w:r>
    </w:p>
    <w:p>
      <w:pPr>
        <w:adjustRightInd w:val="0"/>
        <w:snapToGrid w:val="0"/>
        <w:spacing w:line="360" w:lineRule="auto"/>
        <w:ind w:firstLine="480" w:firstLineChars="200"/>
        <w:rPr>
          <w:rFonts w:ascii="Times New Roman" w:hAnsi="Times New Roman"/>
          <w:color w:val="FF0000"/>
          <w:sz w:val="24"/>
          <w:szCs w:val="24"/>
          <w:u w:val="single"/>
        </w:rPr>
      </w:pPr>
      <w:r>
        <w:rPr>
          <w:rFonts w:hint="eastAsia" w:ascii="宋体" w:hAnsi="宋体" w:cs="宋体"/>
          <w:color w:val="FF0000"/>
          <w:sz w:val="24"/>
          <w:szCs w:val="24"/>
          <w:u w:val="single"/>
        </w:rPr>
        <w:t>⑵</w:t>
      </w:r>
      <w:r>
        <w:rPr>
          <w:rFonts w:ascii="Times New Roman" w:hAnsi="Times New Roman"/>
          <w:color w:val="FF0000"/>
          <w:sz w:val="24"/>
          <w:szCs w:val="24"/>
          <w:u w:val="single"/>
        </w:rPr>
        <w:t xml:space="preserve"> 增设趸船设水冲洗及污水收集装置。</w:t>
      </w:r>
    </w:p>
    <w:p>
      <w:pPr>
        <w:adjustRightInd w:val="0"/>
        <w:snapToGrid w:val="0"/>
        <w:spacing w:line="360" w:lineRule="auto"/>
        <w:ind w:firstLine="480" w:firstLineChars="200"/>
        <w:rPr>
          <w:rFonts w:ascii="Times New Roman" w:hAnsi="Times New Roman"/>
          <w:color w:val="FF0000"/>
          <w:sz w:val="24"/>
          <w:szCs w:val="24"/>
          <w:u w:val="single"/>
        </w:rPr>
      </w:pPr>
      <w:r>
        <w:rPr>
          <w:rFonts w:hint="eastAsia" w:ascii="宋体" w:hAnsi="宋体" w:cs="宋体"/>
          <w:color w:val="FF0000"/>
          <w:sz w:val="24"/>
          <w:szCs w:val="24"/>
          <w:u w:val="single"/>
        </w:rPr>
        <w:t>⑶</w:t>
      </w:r>
      <w:r>
        <w:rPr>
          <w:rFonts w:ascii="Times New Roman" w:hAnsi="Times New Roman"/>
          <w:color w:val="FF0000"/>
          <w:sz w:val="24"/>
          <w:szCs w:val="24"/>
          <w:u w:val="single"/>
        </w:rPr>
        <w:t xml:space="preserve"> 对目前现有的带式输送机廊道进行打磨除锈，并对其重新涂装，与2#泊位新增廊道保持一致，使码头整体较为美观。</w:t>
      </w:r>
    </w:p>
    <w:p>
      <w:pPr>
        <w:adjustRightInd w:val="0"/>
        <w:snapToGrid w:val="0"/>
        <w:spacing w:line="360" w:lineRule="auto"/>
        <w:ind w:firstLine="480" w:firstLineChars="200"/>
        <w:rPr>
          <w:rFonts w:ascii="Times New Roman" w:hAnsi="Times New Roman"/>
          <w:color w:val="FF0000"/>
          <w:sz w:val="24"/>
          <w:szCs w:val="24"/>
          <w:u w:val="single"/>
        </w:rPr>
      </w:pPr>
      <w:r>
        <w:rPr>
          <w:rFonts w:hint="eastAsia" w:ascii="宋体" w:hAnsi="宋体" w:cs="宋体"/>
          <w:color w:val="FF0000"/>
          <w:sz w:val="24"/>
          <w:szCs w:val="24"/>
          <w:u w:val="single"/>
        </w:rPr>
        <w:t>⑷</w:t>
      </w:r>
      <w:r>
        <w:rPr>
          <w:rFonts w:ascii="Times New Roman" w:hAnsi="Times New Roman"/>
          <w:color w:val="FF0000"/>
          <w:sz w:val="24"/>
          <w:szCs w:val="24"/>
          <w:u w:val="single"/>
        </w:rPr>
        <w:t xml:space="preserve"> 趸船上设置垃圾桶收集各类固体废弃物，在陆域工程范围内增设固废垃圾收集箱及危废暂存间，分类收集固体废物，定期将收集的危险固体废物交由有资质的单位处理；</w:t>
      </w:r>
    </w:p>
    <w:p>
      <w:pPr>
        <w:adjustRightInd w:val="0"/>
        <w:snapToGrid w:val="0"/>
        <w:spacing w:line="360" w:lineRule="auto"/>
        <w:ind w:firstLine="480" w:firstLineChars="200"/>
        <w:rPr>
          <w:rFonts w:ascii="Times New Roman" w:hAnsi="Times New Roman"/>
          <w:color w:val="FF0000"/>
          <w:sz w:val="24"/>
          <w:szCs w:val="24"/>
          <w:u w:val="single"/>
        </w:rPr>
      </w:pPr>
      <w:r>
        <w:rPr>
          <w:rFonts w:hint="eastAsia" w:ascii="宋体" w:hAnsi="宋体" w:cs="宋体"/>
          <w:color w:val="FF0000"/>
          <w:sz w:val="24"/>
          <w:szCs w:val="24"/>
          <w:u w:val="single"/>
        </w:rPr>
        <w:t>⑸</w:t>
      </w:r>
      <w:r>
        <w:rPr>
          <w:rFonts w:ascii="Times New Roman" w:hAnsi="Times New Roman"/>
          <w:color w:val="FF0000"/>
          <w:sz w:val="24"/>
          <w:szCs w:val="24"/>
          <w:u w:val="single"/>
        </w:rPr>
        <w:t xml:space="preserve"> 对输送机廊道沿线进行复绿，增加绿化面积。</w:t>
      </w:r>
    </w:p>
    <w:p>
      <w:pPr>
        <w:pStyle w:val="3"/>
        <w:rPr>
          <w:rFonts w:ascii="Times New Roman" w:hAnsi="Times New Roman" w:eastAsiaTheme="minorEastAsia"/>
          <w:b/>
        </w:rPr>
      </w:pPr>
      <w:bookmarkStart w:id="32" w:name="_Toc14362"/>
      <w:r>
        <w:rPr>
          <w:rFonts w:ascii="Times New Roman" w:hAnsi="Times New Roman" w:eastAsiaTheme="minorEastAsia"/>
          <w:b/>
        </w:rPr>
        <w:t>提质改造工程概况</w:t>
      </w:r>
      <w:bookmarkEnd w:id="32"/>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hint="eastAsia" w:ascii="宋体" w:hAnsi="宋体" w:cs="宋体"/>
          <w:color w:val="000000"/>
          <w:kern w:val="0"/>
          <w:sz w:val="24"/>
          <w:szCs w:val="24"/>
          <w:lang w:bidi="ar"/>
        </w:rPr>
        <w:t>⑴</w:t>
      </w:r>
      <w:r>
        <w:rPr>
          <w:rFonts w:ascii="Times New Roman" w:hAnsi="Times New Roman" w:eastAsiaTheme="minorEastAsia"/>
          <w:color w:val="000000"/>
          <w:kern w:val="0"/>
          <w:sz w:val="24"/>
          <w:szCs w:val="24"/>
          <w:lang w:bidi="ar"/>
        </w:rPr>
        <w:t xml:space="preserve"> 项目名称：华能岳阳电厂码头2#泊位提质改造工程</w:t>
      </w:r>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hint="eastAsia" w:ascii="宋体" w:hAnsi="宋体" w:cs="宋体"/>
          <w:color w:val="000000"/>
          <w:kern w:val="0"/>
          <w:sz w:val="24"/>
          <w:szCs w:val="24"/>
          <w:lang w:bidi="ar"/>
        </w:rPr>
        <w:t>⑵</w:t>
      </w:r>
      <w:r>
        <w:rPr>
          <w:rFonts w:ascii="Times New Roman" w:hAnsi="Times New Roman"/>
          <w:color w:val="000000"/>
          <w:kern w:val="0"/>
          <w:sz w:val="24"/>
          <w:szCs w:val="24"/>
          <w:lang w:bidi="ar"/>
        </w:rPr>
        <w:t xml:space="preserve"> </w:t>
      </w:r>
      <w:r>
        <w:rPr>
          <w:rFonts w:ascii="Times New Roman" w:hAnsi="Times New Roman" w:eastAsiaTheme="minorEastAsia"/>
          <w:color w:val="000000"/>
          <w:kern w:val="0"/>
          <w:sz w:val="24"/>
          <w:szCs w:val="24"/>
          <w:lang w:bidi="ar"/>
        </w:rPr>
        <w:t>项目性质：改建项目</w:t>
      </w:r>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hint="eastAsia" w:ascii="宋体" w:hAnsi="宋体" w:cs="宋体"/>
          <w:color w:val="000000"/>
          <w:kern w:val="0"/>
          <w:sz w:val="24"/>
          <w:szCs w:val="24"/>
          <w:lang w:bidi="ar"/>
        </w:rPr>
        <w:t>⑶</w:t>
      </w:r>
      <w:r>
        <w:rPr>
          <w:rFonts w:ascii="Times New Roman" w:hAnsi="Times New Roman"/>
          <w:color w:val="000000"/>
          <w:kern w:val="0"/>
          <w:sz w:val="24"/>
          <w:szCs w:val="24"/>
          <w:lang w:bidi="ar"/>
        </w:rPr>
        <w:t xml:space="preserve"> </w:t>
      </w:r>
      <w:r>
        <w:rPr>
          <w:rFonts w:ascii="Times New Roman" w:hAnsi="Times New Roman" w:eastAsiaTheme="minorEastAsia"/>
          <w:color w:val="000000"/>
          <w:kern w:val="0"/>
          <w:sz w:val="24"/>
          <w:szCs w:val="24"/>
          <w:lang w:bidi="ar"/>
        </w:rPr>
        <w:t>建设地点：本项目位于岳阳港城陵矶港区松阳湖作业区，</w:t>
      </w:r>
      <w:r>
        <w:rPr>
          <w:rFonts w:ascii="Times New Roman" w:hAnsi="Times New Roman" w:eastAsiaTheme="minorEastAsia"/>
          <w:sz w:val="24"/>
          <w:szCs w:val="24"/>
        </w:rPr>
        <w:t>城陵矶擂鼓台下游约600m处的长江右岸</w:t>
      </w:r>
      <w:r>
        <w:rPr>
          <w:rFonts w:ascii="Times New Roman" w:hAnsi="Times New Roman" w:eastAsiaTheme="minorEastAsia"/>
          <w:color w:val="000000"/>
          <w:kern w:val="0"/>
          <w:sz w:val="24"/>
          <w:szCs w:val="24"/>
          <w:lang w:bidi="ar"/>
        </w:rPr>
        <w:t>。</w:t>
      </w:r>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hint="eastAsia" w:ascii="宋体" w:hAnsi="宋体" w:cs="宋体"/>
          <w:color w:val="000000"/>
          <w:kern w:val="0"/>
          <w:sz w:val="24"/>
          <w:szCs w:val="24"/>
          <w:lang w:bidi="ar"/>
        </w:rPr>
        <w:t>⑷</w:t>
      </w:r>
      <w:r>
        <w:rPr>
          <w:rFonts w:ascii="Times New Roman" w:hAnsi="Times New Roman" w:eastAsiaTheme="minorEastAsia"/>
          <w:color w:val="000000"/>
          <w:kern w:val="0"/>
          <w:sz w:val="24"/>
          <w:szCs w:val="24"/>
          <w:lang w:bidi="ar"/>
        </w:rPr>
        <w:t xml:space="preserve"> 建设内容及建设规模：</w:t>
      </w:r>
      <w:r>
        <w:rPr>
          <w:rFonts w:ascii="Times New Roman" w:hAnsi="Times New Roman" w:eastAsiaTheme="minorEastAsia"/>
          <w:sz w:val="24"/>
          <w:szCs w:val="24"/>
        </w:rPr>
        <w:t>本项目拟拆除电厂2#泊位并于原址建设3000吨级（码头结构按靠泊10000吨级内河散货货船设计）煤炭进口泊位，占用</w:t>
      </w:r>
      <w:r>
        <w:rPr>
          <w:rFonts w:ascii="Times New Roman" w:hAnsi="Times New Roman"/>
          <w:sz w:val="24"/>
        </w:rPr>
        <w:t>岸线长度173m。</w:t>
      </w:r>
      <w:r>
        <w:rPr>
          <w:rFonts w:ascii="Times New Roman" w:hAnsi="Times New Roman" w:eastAsiaTheme="minorEastAsia"/>
          <w:color w:val="000000"/>
          <w:kern w:val="0"/>
          <w:sz w:val="24"/>
          <w:szCs w:val="24"/>
          <w:lang w:bidi="ar"/>
        </w:rPr>
        <w:t>新增总长约1200</w:t>
      </w:r>
      <w:r>
        <w:rPr>
          <w:rFonts w:hint="eastAsia" w:ascii="Times New Roman" w:hAnsi="Times New Roman" w:eastAsiaTheme="minorEastAsia"/>
          <w:color w:val="000000"/>
          <w:kern w:val="0"/>
          <w:sz w:val="24"/>
          <w:szCs w:val="24"/>
          <w:lang w:bidi="ar"/>
        </w:rPr>
        <w:t>m</w:t>
      </w:r>
      <w:r>
        <w:rPr>
          <w:rFonts w:ascii="Times New Roman" w:hAnsi="Times New Roman" w:eastAsiaTheme="minorEastAsia"/>
          <w:color w:val="000000"/>
          <w:kern w:val="0"/>
          <w:sz w:val="24"/>
          <w:szCs w:val="24"/>
          <w:lang w:bidi="ar"/>
        </w:rPr>
        <w:t>输煤皮带线，同步建设相应的生产及辅助生产建筑物，配备相应的装卸、输送设备和配套设施等。</w:t>
      </w:r>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hint="eastAsia" w:ascii="宋体" w:hAnsi="宋体" w:cs="宋体"/>
          <w:color w:val="000000"/>
          <w:kern w:val="0"/>
          <w:sz w:val="24"/>
          <w:szCs w:val="24"/>
          <w:lang w:bidi="ar"/>
        </w:rPr>
        <w:t>⑸</w:t>
      </w:r>
      <w:r>
        <w:rPr>
          <w:rFonts w:ascii="Times New Roman" w:hAnsi="Times New Roman" w:eastAsiaTheme="minorEastAsia"/>
          <w:color w:val="000000"/>
          <w:kern w:val="0"/>
          <w:sz w:val="24"/>
          <w:szCs w:val="24"/>
          <w:lang w:bidi="ar"/>
        </w:rPr>
        <w:t xml:space="preserve"> 服务对象、货种及吞吐量：本项目建成后服务对象主要为岳阳华能电厂，负责提供煤炭的水路调入运输服务，煤炭进口量200万吨/年。</w:t>
      </w:r>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hint="eastAsia" w:ascii="宋体" w:hAnsi="宋体" w:cs="宋体"/>
          <w:color w:val="000000"/>
          <w:kern w:val="0"/>
          <w:sz w:val="24"/>
          <w:szCs w:val="24"/>
          <w:lang w:bidi="ar"/>
        </w:rPr>
        <w:t>⑹</w:t>
      </w:r>
      <w:r>
        <w:rPr>
          <w:rFonts w:ascii="Times New Roman" w:hAnsi="Times New Roman" w:eastAsiaTheme="minorEastAsia"/>
          <w:color w:val="000000"/>
          <w:kern w:val="0"/>
          <w:sz w:val="24"/>
          <w:szCs w:val="24"/>
          <w:lang w:bidi="ar"/>
        </w:rPr>
        <w:t xml:space="preserve"> 总投资：</w:t>
      </w:r>
      <w:r>
        <w:rPr>
          <w:rFonts w:ascii="Times New Roman" w:hAnsi="Times New Roman" w:eastAsiaTheme="minorEastAsia"/>
          <w:sz w:val="24"/>
          <w:szCs w:val="24"/>
        </w:rPr>
        <w:t>14059.61万元，资金为建设单位自筹。</w:t>
      </w:r>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hint="eastAsia" w:ascii="宋体" w:hAnsi="宋体" w:cs="宋体"/>
          <w:color w:val="000000"/>
          <w:kern w:val="0"/>
          <w:sz w:val="24"/>
          <w:szCs w:val="24"/>
          <w:lang w:bidi="ar"/>
        </w:rPr>
        <w:t>⑺</w:t>
      </w:r>
      <w:r>
        <w:rPr>
          <w:rFonts w:ascii="Times New Roman" w:hAnsi="Times New Roman" w:eastAsiaTheme="minorEastAsia"/>
          <w:color w:val="000000"/>
          <w:kern w:val="0"/>
          <w:sz w:val="24"/>
          <w:szCs w:val="24"/>
          <w:lang w:bidi="ar"/>
        </w:rPr>
        <w:t xml:space="preserve"> 建设期限：建设工期12个月，工程施工拟于2021年1月</w:t>
      </w:r>
      <w:r>
        <w:rPr>
          <w:rFonts w:ascii="Times New Roman" w:hAnsi="Times New Roman" w:eastAsiaTheme="minorEastAsia"/>
          <w:sz w:val="24"/>
          <w:szCs w:val="24"/>
        </w:rPr>
        <w:t>施工，2021年12月竣工</w:t>
      </w:r>
      <w:r>
        <w:rPr>
          <w:rFonts w:ascii="Times New Roman" w:hAnsi="Times New Roman" w:eastAsiaTheme="minorEastAsia"/>
          <w:color w:val="000000"/>
          <w:kern w:val="0"/>
          <w:sz w:val="24"/>
          <w:szCs w:val="24"/>
          <w:lang w:bidi="ar"/>
        </w:rPr>
        <w:t>投产。</w:t>
      </w:r>
    </w:p>
    <w:p>
      <w:pPr>
        <w:pStyle w:val="4"/>
        <w:rPr>
          <w:rFonts w:eastAsiaTheme="minorEastAsia"/>
        </w:rPr>
      </w:pPr>
      <w:r>
        <w:rPr>
          <w:rFonts w:eastAsiaTheme="minorEastAsia"/>
        </w:rPr>
        <w:t>建设内容及技术经济指标</w:t>
      </w:r>
    </w:p>
    <w:p>
      <w:pPr>
        <w:pStyle w:val="129"/>
        <w:tabs>
          <w:tab w:val="left" w:pos="900"/>
        </w:tabs>
        <w:adjustRightInd w:val="0"/>
        <w:snapToGrid w:val="0"/>
        <w:spacing w:line="360" w:lineRule="auto"/>
        <w:ind w:firstLine="48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本项目由主体工程、公辅工程和环保工程组成，项目建设工程主要内容见表3.2-1。</w:t>
      </w:r>
    </w:p>
    <w:p>
      <w:pPr>
        <w:tabs>
          <w:tab w:val="left" w:pos="900"/>
        </w:tabs>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表3.2-1  本项目主要建设内容一览表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617"/>
        <w:gridCol w:w="937"/>
        <w:gridCol w:w="75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339"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工程类别</w:t>
            </w:r>
          </w:p>
        </w:tc>
        <w:tc>
          <w:tcPr>
            <w:tcW w:w="515"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名称</w:t>
            </w:r>
          </w:p>
        </w:tc>
        <w:tc>
          <w:tcPr>
            <w:tcW w:w="4146"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工程内容、规模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restar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主体工程</w:t>
            </w:r>
          </w:p>
        </w:tc>
        <w:tc>
          <w:tcPr>
            <w:tcW w:w="515" w:type="pct"/>
            <w:vAlign w:val="center"/>
          </w:tcPr>
          <w:p>
            <w:pPr>
              <w:autoSpaceDE w:val="0"/>
              <w:autoSpaceDN w:val="0"/>
              <w:adjustRightInd w:val="0"/>
              <w:snapToGrid w:val="0"/>
              <w:jc w:val="center"/>
              <w:rPr>
                <w:rFonts w:ascii="Times New Roman" w:hAnsi="Times New Roman" w:eastAsiaTheme="minorEastAsia"/>
                <w:kern w:val="0"/>
                <w:sz w:val="24"/>
                <w:szCs w:val="24"/>
              </w:rPr>
            </w:pPr>
            <w:r>
              <w:rPr>
                <w:rFonts w:ascii="Times New Roman" w:hAnsi="Times New Roman" w:eastAsiaTheme="minorEastAsia"/>
                <w:color w:val="000000"/>
                <w:kern w:val="0"/>
              </w:rPr>
              <w:t>码头</w:t>
            </w:r>
          </w:p>
        </w:tc>
        <w:tc>
          <w:tcPr>
            <w:tcW w:w="4146" w:type="pct"/>
            <w:vAlign w:val="center"/>
          </w:tcPr>
          <w:p>
            <w:pPr>
              <w:ind w:firstLine="420" w:firstLineChars="200"/>
              <w:rPr>
                <w:rFonts w:hint="default" w:ascii="Times New Roman" w:hAnsi="Times New Roman" w:eastAsiaTheme="minorEastAsia"/>
                <w:color w:val="FF0000"/>
                <w:kern w:val="0"/>
                <w:u w:val="single"/>
                <w:lang w:val="en-US" w:eastAsia="zh-CN"/>
              </w:rPr>
            </w:pPr>
            <w:r>
              <w:rPr>
                <w:rFonts w:ascii="Times New Roman" w:hAnsi="Times New Roman" w:eastAsiaTheme="minorEastAsia"/>
                <w:color w:val="000000"/>
                <w:kern w:val="0"/>
              </w:rPr>
              <w:t>拟拆除电厂2#泊位并于原址建设3000吨级（码头结构按靠泊10000吨级内河散货货船设计）煤炭进口泊位，占用岸线长度173m</w:t>
            </w:r>
            <w:r>
              <w:rPr>
                <w:rFonts w:hint="eastAsia" w:ascii="Times New Roman" w:hAnsi="Times New Roman" w:eastAsiaTheme="minorEastAsia"/>
                <w:color w:val="FF0000"/>
                <w:kern w:val="0"/>
                <w:u w:val="single"/>
                <w:lang w:eastAsia="zh-CN"/>
              </w:rPr>
              <w:t>（使用岸线位置无变化，现有</w:t>
            </w:r>
            <w:r>
              <w:rPr>
                <w:rFonts w:hint="eastAsia" w:ascii="Times New Roman" w:hAnsi="Times New Roman" w:eastAsiaTheme="minorEastAsia"/>
                <w:color w:val="FF0000"/>
                <w:kern w:val="0"/>
                <w:u w:val="single"/>
                <w:lang w:val="en-US" w:eastAsia="zh-CN"/>
              </w:rPr>
              <w:t>1#泊位占用岸线148m，本次拟提质改造的2#泊位占用岸线173m，共使用岸线321m，未超出港口总规规划的370m岸线长度</w:t>
            </w:r>
            <w:r>
              <w:rPr>
                <w:rFonts w:hint="eastAsia" w:ascii="Times New Roman" w:hAnsi="Times New Roman" w:eastAsiaTheme="minorEastAsia"/>
                <w:color w:val="FF0000"/>
                <w:kern w:val="0"/>
                <w:u w:val="single"/>
                <w:lang w:eastAsia="zh-CN"/>
              </w:rPr>
              <w:t>）</w:t>
            </w:r>
            <w:r>
              <w:rPr>
                <w:rFonts w:ascii="Times New Roman" w:hAnsi="Times New Roman" w:eastAsiaTheme="minorEastAsia"/>
                <w:color w:val="FF0000"/>
                <w:kern w:val="0"/>
                <w:u w:val="single"/>
              </w:rPr>
              <w:t>，不涉及港池疏浚。</w:t>
            </w:r>
            <w:r>
              <w:rPr>
                <w:rFonts w:hint="eastAsia" w:ascii="Times New Roman" w:hAnsi="Times New Roman" w:eastAsiaTheme="minorEastAsia"/>
                <w:color w:val="FF0000"/>
                <w:kern w:val="0"/>
                <w:u w:val="single"/>
                <w:lang w:eastAsia="zh-CN"/>
              </w:rPr>
              <w:t>其中水下工程内容主要为</w:t>
            </w:r>
            <w:r>
              <w:rPr>
                <w:rFonts w:hint="eastAsia" w:ascii="Times New Roman" w:hAnsi="Times New Roman" w:eastAsiaTheme="minorEastAsia"/>
                <w:color w:val="FF0000"/>
                <w:kern w:val="0"/>
                <w:u w:val="single"/>
                <w:lang w:val="en-US" w:eastAsia="zh-CN"/>
              </w:rPr>
              <w:t>PHC预制桩和灌注桩施工。</w:t>
            </w:r>
          </w:p>
          <w:p>
            <w:pPr>
              <w:ind w:firstLine="420" w:firstLineChars="200"/>
              <w:rPr>
                <w:rFonts w:ascii="Times New Roman" w:hAnsi="Times New Roman" w:eastAsiaTheme="minorEastAsia"/>
                <w:color w:val="000000"/>
                <w:kern w:val="0"/>
              </w:rPr>
            </w:pPr>
            <w:r>
              <w:rPr>
                <w:rFonts w:ascii="Times New Roman" w:hAnsi="Times New Roman" w:eastAsiaTheme="minorEastAsia"/>
                <w:color w:val="000000"/>
                <w:kern w:val="0"/>
              </w:rPr>
              <w:t>码头平面由一座80×20×3.2m趸船组成。趸船两侧设置定位桩。岸侧设置2个地牛，散货船首尾缆通过地牛系泊。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5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输煤廊道</w:t>
            </w:r>
          </w:p>
        </w:tc>
        <w:tc>
          <w:tcPr>
            <w:tcW w:w="4146" w:type="pct"/>
            <w:vAlign w:val="center"/>
          </w:tcPr>
          <w:p>
            <w:pPr>
              <w:pStyle w:val="345"/>
              <w:tabs>
                <w:tab w:val="right" w:leader="dot" w:pos="9070"/>
              </w:tabs>
              <w:snapToGrid w:val="0"/>
              <w:spacing w:line="240" w:lineRule="auto"/>
              <w:ind w:firstLine="420" w:firstLineChars="200"/>
              <w:jc w:val="both"/>
              <w:rPr>
                <w:rFonts w:ascii="Times New Roman" w:eastAsiaTheme="minorEastAsia"/>
                <w:color w:val="000000"/>
                <w:sz w:val="21"/>
                <w:szCs w:val="21"/>
              </w:rPr>
            </w:pPr>
            <w:r>
              <w:rPr>
                <w:rFonts w:ascii="Times New Roman" w:eastAsiaTheme="minorEastAsia"/>
                <w:color w:val="000000"/>
                <w:sz w:val="21"/>
                <w:szCs w:val="21"/>
              </w:rPr>
              <w:t>新建T1转运站墩台（12×11m+10×6m）与趸船之间通过已有59.55×4.2m钢引桥相连，并通过18.25m皮带机与已建C01转运站相连，新建T2转运站墩台尺度为14×10m，通过BC4皮带机廊道与大堤内侧T3转运站相连接，BC4皮带机廊道与已有皮带机廊道紧挨建设。输煤皮带线总长约1200</w:t>
            </w:r>
            <w:r>
              <w:rPr>
                <w:rFonts w:ascii="Times New Roman" w:eastAsiaTheme="minorEastAsia"/>
                <w:color w:val="auto"/>
                <w:sz w:val="21"/>
                <w:szCs w:val="21"/>
                <w:u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restart"/>
            <w:vAlign w:val="center"/>
          </w:tcPr>
          <w:p>
            <w:pPr>
              <w:autoSpaceDE w:val="0"/>
              <w:autoSpaceDN w:val="0"/>
              <w:adjustRightInd w:val="0"/>
              <w:snapToGrid w:val="0"/>
              <w:jc w:val="center"/>
              <w:rPr>
                <w:rFonts w:ascii="Times New Roman" w:hAnsi="Times New Roman" w:eastAsiaTheme="minorEastAsia"/>
                <w:kern w:val="0"/>
                <w:sz w:val="24"/>
                <w:szCs w:val="24"/>
              </w:rPr>
            </w:pPr>
            <w:r>
              <w:rPr>
                <w:rFonts w:ascii="Times New Roman" w:hAnsi="Times New Roman" w:eastAsiaTheme="minorEastAsia"/>
                <w:color w:val="000000"/>
                <w:kern w:val="0"/>
              </w:rPr>
              <w:t>公辅工程</w:t>
            </w:r>
          </w:p>
        </w:tc>
        <w:tc>
          <w:tcPr>
            <w:tcW w:w="5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供电照明系统</w:t>
            </w:r>
          </w:p>
        </w:tc>
        <w:tc>
          <w:tcPr>
            <w:tcW w:w="4146" w:type="pct"/>
            <w:vAlign w:val="center"/>
          </w:tcPr>
          <w:p>
            <w:pPr>
              <w:autoSpaceDE w:val="0"/>
              <w:autoSpaceDN w:val="0"/>
              <w:adjustRightInd w:val="0"/>
              <w:snapToGrid w:val="0"/>
              <w:ind w:firstLine="420" w:firstLineChars="200"/>
              <w:rPr>
                <w:rFonts w:hint="eastAsia" w:ascii="Times New Roman" w:hAnsi="Times New Roman" w:eastAsiaTheme="minorEastAsia"/>
                <w:color w:val="FF0000"/>
                <w:u w:val="single"/>
                <w:lang w:eastAsia="zh-CN"/>
              </w:rPr>
            </w:pPr>
            <w:r>
              <w:rPr>
                <w:rFonts w:ascii="Times New Roman" w:hAnsi="Times New Roman" w:eastAsiaTheme="minorEastAsia"/>
                <w:color w:val="000000"/>
              </w:rPr>
              <w:t>本项目拟从后方电厂引1回路6kV专用电缆线路至T4箱式变电站，不设总降压站。码头高压配电电压为6kV；低压配电电压为380/220V，供电频率为50Hz。</w:t>
            </w:r>
            <w:r>
              <w:rPr>
                <w:rFonts w:hint="eastAsia" w:ascii="Times New Roman" w:hAnsi="Times New Roman" w:eastAsiaTheme="minorEastAsia"/>
                <w:color w:val="FF0000"/>
                <w:u w:val="single"/>
                <w:lang w:eastAsia="zh-CN"/>
              </w:rPr>
              <w:t>前方码头泊位配备岸电使用设备。</w:t>
            </w:r>
          </w:p>
          <w:p>
            <w:pPr>
              <w:autoSpaceDE w:val="0"/>
              <w:autoSpaceDN w:val="0"/>
              <w:adjustRightInd w:val="0"/>
              <w:snapToGrid w:val="0"/>
              <w:ind w:firstLine="420" w:firstLineChars="200"/>
              <w:rPr>
                <w:rFonts w:ascii="Times New Roman" w:hAnsi="Times New Roman" w:eastAsiaTheme="minorEastAsia"/>
                <w:color w:val="000000"/>
                <w:kern w:val="0"/>
              </w:rPr>
            </w:pPr>
            <w:r>
              <w:rPr>
                <w:rFonts w:ascii="Times New Roman" w:hAnsi="Times New Roman" w:eastAsiaTheme="minorEastAsia"/>
                <w:color w:val="000000"/>
                <w:kern w:val="0"/>
              </w:rPr>
              <w:t>室内照明主要采用LED节能型灯具，码头面照度不低于15lx。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5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给排水系统</w:t>
            </w:r>
          </w:p>
        </w:tc>
        <w:tc>
          <w:tcPr>
            <w:tcW w:w="4146" w:type="pct"/>
            <w:vAlign w:val="center"/>
          </w:tcPr>
          <w:p>
            <w:pPr>
              <w:autoSpaceDE w:val="0"/>
              <w:autoSpaceDN w:val="0"/>
              <w:adjustRightInd w:val="0"/>
              <w:snapToGrid w:val="0"/>
              <w:ind w:firstLine="420" w:firstLineChars="200"/>
              <w:rPr>
                <w:rFonts w:ascii="Times New Roman" w:hAnsi="Times New Roman" w:eastAsiaTheme="minorEastAsia"/>
                <w:color w:val="000000"/>
              </w:rPr>
            </w:pPr>
            <w:r>
              <w:rPr>
                <w:rFonts w:ascii="Times New Roman" w:hAnsi="Times New Roman" w:eastAsiaTheme="minorEastAsia"/>
                <w:color w:val="000000"/>
              </w:rPr>
              <w:t>本项目生活、生产、消防水源均由后方电厂接管供给，接管点位于设计分界线处。生活及环保接管点管径DN100，设计水压≥0.35Mpa；生产接管点管径DN150，设计水压≥0.50Mpa；消火栓消防接管点管径DN200，设计水压≥0.50Mpa；自喷及水幕消防接管点管径DN250，设计水压≥0.60Mpa。</w:t>
            </w:r>
          </w:p>
          <w:p>
            <w:pPr>
              <w:autoSpaceDE w:val="0"/>
              <w:autoSpaceDN w:val="0"/>
              <w:adjustRightInd w:val="0"/>
              <w:snapToGrid w:val="0"/>
              <w:ind w:firstLine="420" w:firstLineChars="200"/>
              <w:rPr>
                <w:rFonts w:ascii="Times New Roman" w:hAnsi="Times New Roman" w:eastAsiaTheme="minorEastAsia"/>
                <w:color w:val="000000"/>
                <w:kern w:val="0"/>
              </w:rPr>
            </w:pPr>
            <w:r>
              <w:rPr>
                <w:rFonts w:ascii="Times New Roman" w:hAnsi="Times New Roman" w:eastAsiaTheme="minorEastAsia"/>
                <w:color w:val="000000"/>
              </w:rPr>
              <w:t>趸船污水由管道输送至后方码头大院内污水处理设施处理（污水处理设施在“华能电厂节水与废水综合治理项目”中列支，但与本次提质改造同步</w:t>
            </w:r>
            <w:r>
              <w:rPr>
                <w:rFonts w:ascii="Times New Roman" w:hAnsi="Times New Roman" w:eastAsiaTheme="minorEastAsia"/>
                <w:color w:val="000000" w:themeColor="text1"/>
                <w14:textFill>
                  <w14:solidFill>
                    <w14:schemeClr w14:val="tx1"/>
                  </w14:solidFill>
                </w14:textFill>
              </w:rPr>
              <w:t>实施</w:t>
            </w:r>
            <w:r>
              <w:rPr>
                <w:rFonts w:ascii="Times New Roman" w:hAnsi="Times New Roman" w:eastAsiaTheme="minorEastAsia"/>
                <w:color w:val="000000"/>
              </w:rPr>
              <w:t>）。趸船装卸区四周设收集坎，在趸船内设煤水收集池（包括沉淀池与泵池），收集坎内初期雨水和冲洗废水经收集流入收集池中，经增压管道泵至后方码头院内的散货污水处理站；码头趸船生活污水经生活污水收集柜收集后，经生活污水输送泵至后方码头院内的生活污水处理站。生产和生活废水处理达到《污水综合排放标准》（GB8978-1996）一级标准水质要求后通过污水管网进入华能厂区蓄水池，用于华能电厂总厂区的绿化用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515" w:type="pct"/>
            <w:vAlign w:val="center"/>
          </w:tcPr>
          <w:p>
            <w:pPr>
              <w:autoSpaceDE w:val="0"/>
              <w:autoSpaceDN w:val="0"/>
              <w:adjustRightInd w:val="0"/>
              <w:snapToGrid w:val="0"/>
              <w:jc w:val="center"/>
              <w:rPr>
                <w:rFonts w:ascii="Times New Roman" w:hAnsi="Times New Roman" w:eastAsiaTheme="minorEastAsia"/>
                <w:kern w:val="0"/>
                <w:sz w:val="24"/>
                <w:szCs w:val="24"/>
              </w:rPr>
            </w:pPr>
            <w:r>
              <w:rPr>
                <w:rFonts w:ascii="Times New Roman" w:hAnsi="Times New Roman" w:eastAsiaTheme="minorEastAsia"/>
                <w:color w:val="000000"/>
                <w:kern w:val="0"/>
              </w:rPr>
              <w:t>消防系统</w:t>
            </w:r>
          </w:p>
        </w:tc>
        <w:tc>
          <w:tcPr>
            <w:tcW w:w="4146" w:type="pct"/>
            <w:vAlign w:val="center"/>
          </w:tcPr>
          <w:p>
            <w:pPr>
              <w:ind w:firstLine="420" w:firstLineChars="200"/>
              <w:rPr>
                <w:rFonts w:ascii="Times New Roman" w:hAnsi="Times New Roman" w:eastAsiaTheme="minorEastAsia"/>
                <w:color w:val="000000"/>
                <w:kern w:val="0"/>
              </w:rPr>
            </w:pPr>
            <w:r>
              <w:rPr>
                <w:rFonts w:ascii="Times New Roman" w:hAnsi="Times New Roman"/>
              </w:rPr>
              <w:t>消防系统采用临时高压给水系统，在码头发生火灾时由后方厂区供给消防用水，用以扑救码头的初期或小型火灾。码头发生大的火灾则请求地方消防队协助扑救。</w:t>
            </w:r>
          </w:p>
          <w:p>
            <w:pPr>
              <w:ind w:firstLine="420" w:firstLineChars="200"/>
              <w:rPr>
                <w:rFonts w:ascii="Times New Roman" w:hAnsi="Times New Roman" w:eastAsiaTheme="minorEastAsia"/>
                <w:color w:val="000000"/>
                <w:kern w:val="0"/>
              </w:rPr>
            </w:pPr>
            <w:r>
              <w:rPr>
                <w:rFonts w:ascii="Times New Roman" w:hAnsi="Times New Roman"/>
              </w:rPr>
              <w:t>封闭运煤廊道及转运站之间设置水幕，按照中危</w:t>
            </w:r>
            <w:r>
              <w:rPr>
                <w:rFonts w:hint="eastAsia" w:ascii="宋体" w:hAnsi="宋体" w:cs="宋体"/>
              </w:rPr>
              <w:t>Ⅱ</w:t>
            </w:r>
            <w:r>
              <w:rPr>
                <w:rFonts w:ascii="Times New Roman" w:hAnsi="Times New Roman"/>
              </w:rPr>
              <w:t>级设置自动喷水灭火系统，喷水强度2L/s•m，开口长度15m，系统供水量30L/s。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5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通信系统</w:t>
            </w:r>
          </w:p>
        </w:tc>
        <w:tc>
          <w:tcPr>
            <w:tcW w:w="4146" w:type="pct"/>
            <w:vAlign w:val="center"/>
          </w:tcPr>
          <w:p>
            <w:pPr>
              <w:ind w:firstLine="420" w:firstLineChars="200"/>
              <w:rPr>
                <w:rFonts w:ascii="Times New Roman" w:hAnsi="Times New Roman" w:eastAsiaTheme="minorEastAsia"/>
                <w:color w:val="000000"/>
                <w:kern w:val="0"/>
              </w:rPr>
            </w:pPr>
            <w:r>
              <w:rPr>
                <w:rFonts w:ascii="Times New Roman" w:hAnsi="Times New Roman" w:eastAsiaTheme="minorEastAsia"/>
                <w:color w:val="000000"/>
                <w:kern w:val="0"/>
              </w:rPr>
              <w:t>涵盖有线电通信、无线电通信、电视监视系统、计算机网络系统和广播呼叫系统。配备有无线对讲设备。摄像机、交换机和广播等。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5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控制系统</w:t>
            </w:r>
          </w:p>
        </w:tc>
        <w:tc>
          <w:tcPr>
            <w:tcW w:w="4146" w:type="pct"/>
            <w:vAlign w:val="center"/>
          </w:tcPr>
          <w:p>
            <w:pPr>
              <w:ind w:firstLine="420" w:firstLineChars="200"/>
              <w:rPr>
                <w:rFonts w:ascii="Times New Roman" w:hAnsi="Times New Roman" w:eastAsiaTheme="minorEastAsia"/>
                <w:color w:val="000000"/>
                <w:kern w:val="0"/>
              </w:rPr>
            </w:pPr>
            <w:r>
              <w:rPr>
                <w:rFonts w:ascii="Times New Roman" w:hAnsi="Times New Roman" w:eastAsiaTheme="minorEastAsia"/>
                <w:color w:val="000000"/>
                <w:kern w:val="0"/>
              </w:rPr>
              <w:t>生产控制系统设计包括设计分界线以内固体装卸工艺流程中皮带机、浮式起重机、除铁器、喷淋等设备的控制系统设计，后方皮带机的联锁控制信号由后方负责引信号电缆或光缆至本项目变电所控制室，中控室设置在后方，由后方负责对码头区控制信号进行联锁，后方中控上位机对包括码头的所有区域控制系统进行组态均由后方负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5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rPr>
              <w:t>生产及辅助建筑物</w:t>
            </w:r>
          </w:p>
        </w:tc>
        <w:tc>
          <w:tcPr>
            <w:tcW w:w="4146" w:type="pct"/>
            <w:vAlign w:val="center"/>
          </w:tcPr>
          <w:p>
            <w:pPr>
              <w:pStyle w:val="325"/>
              <w:tabs>
                <w:tab w:val="right" w:leader="dot" w:pos="9070"/>
              </w:tabs>
              <w:adjustRightInd w:val="0"/>
              <w:snapToGrid w:val="0"/>
              <w:ind w:firstLine="420" w:firstLineChars="200"/>
              <w:jc w:val="both"/>
              <w:rPr>
                <w:rFonts w:eastAsiaTheme="minorEastAsia"/>
                <w:sz w:val="21"/>
                <w:szCs w:val="21"/>
              </w:rPr>
            </w:pPr>
            <w:r>
              <w:rPr>
                <w:rFonts w:eastAsiaTheme="minorEastAsia"/>
                <w:sz w:val="21"/>
                <w:szCs w:val="21"/>
              </w:rPr>
              <w:t>新建的生产及辅助生产建筑物有转运站、廊道及污水设备间等建筑单体。共计8项建筑单体，总建筑面积为7466.95</w:t>
            </w:r>
            <w:r>
              <w:rPr>
                <w:rFonts w:hint="eastAsia" w:eastAsiaTheme="minorEastAsia"/>
                <w:sz w:val="21"/>
                <w:szCs w:val="21"/>
              </w:rPr>
              <w:t>m</w:t>
            </w:r>
            <w:r>
              <w:rPr>
                <w:rFonts w:eastAsiaTheme="minorEastAsia"/>
                <w:sz w:val="21"/>
                <w:szCs w:val="21"/>
                <w:vertAlign w:val="superscript"/>
              </w:rPr>
              <w:t>2</w:t>
            </w:r>
            <w:r>
              <w:rPr>
                <w:rFonts w:eastAsiaTheme="minorEastAsia"/>
                <w:sz w:val="21"/>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restart"/>
            <w:vAlign w:val="center"/>
          </w:tcPr>
          <w:p>
            <w:pPr>
              <w:autoSpaceDE w:val="0"/>
              <w:autoSpaceDN w:val="0"/>
              <w:adjustRightInd w:val="0"/>
              <w:snapToGrid w:val="0"/>
              <w:jc w:val="center"/>
              <w:rPr>
                <w:rFonts w:ascii="Times New Roman" w:hAnsi="Times New Roman" w:eastAsiaTheme="minorEastAsia"/>
                <w:kern w:val="0"/>
                <w:sz w:val="24"/>
                <w:szCs w:val="24"/>
              </w:rPr>
            </w:pPr>
            <w:r>
              <w:rPr>
                <w:rFonts w:ascii="Times New Roman" w:hAnsi="Times New Roman" w:eastAsiaTheme="minorEastAsia"/>
                <w:color w:val="000000"/>
                <w:kern w:val="0"/>
              </w:rPr>
              <w:t>环保工程</w:t>
            </w:r>
          </w:p>
        </w:tc>
        <w:tc>
          <w:tcPr>
            <w:tcW w:w="515" w:type="pct"/>
            <w:vAlign w:val="center"/>
          </w:tcPr>
          <w:p>
            <w:pPr>
              <w:autoSpaceDE w:val="0"/>
              <w:autoSpaceDN w:val="0"/>
              <w:adjustRightInd w:val="0"/>
              <w:snapToGrid w:val="0"/>
              <w:jc w:val="center"/>
              <w:rPr>
                <w:rFonts w:ascii="Times New Roman" w:hAnsi="Times New Roman" w:eastAsiaTheme="minorEastAsia"/>
                <w:kern w:val="0"/>
                <w:sz w:val="24"/>
                <w:szCs w:val="24"/>
              </w:rPr>
            </w:pPr>
            <w:r>
              <w:rPr>
                <w:rFonts w:ascii="Times New Roman" w:hAnsi="Times New Roman" w:eastAsiaTheme="minorEastAsia"/>
                <w:color w:val="000000"/>
                <w:kern w:val="0"/>
              </w:rPr>
              <w:t>废水</w:t>
            </w:r>
          </w:p>
        </w:tc>
        <w:tc>
          <w:tcPr>
            <w:tcW w:w="4146" w:type="pct"/>
            <w:vAlign w:val="center"/>
          </w:tcPr>
          <w:p>
            <w:pPr>
              <w:autoSpaceDE w:val="0"/>
              <w:autoSpaceDN w:val="0"/>
              <w:adjustRightInd w:val="0"/>
              <w:snapToGrid w:val="0"/>
              <w:ind w:firstLine="420" w:firstLineChars="200"/>
              <w:rPr>
                <w:rFonts w:ascii="Times New Roman" w:hAnsi="Times New Roman" w:eastAsiaTheme="minorEastAsia"/>
                <w:color w:val="000000"/>
                <w:kern w:val="0"/>
              </w:rPr>
            </w:pPr>
            <w:r>
              <w:rPr>
                <w:rFonts w:ascii="Times New Roman" w:hAnsi="Times New Roman" w:eastAsiaTheme="minorEastAsia"/>
                <w:color w:val="000000"/>
                <w:kern w:val="0"/>
              </w:rPr>
              <w:t>初期雨水、冲洗废水和生活污水均通过管道送至码头后方大院内的污水处理设施处理达标后，送至华能电厂厂区用作绿化用水，不外排。船舶污水（包括船舶含油污水、生活污水）由海事部门回收船回收。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pPr>
              <w:autoSpaceDE w:val="0"/>
              <w:autoSpaceDN w:val="0"/>
              <w:adjustRightInd w:val="0"/>
              <w:snapToGrid w:val="0"/>
              <w:jc w:val="center"/>
              <w:rPr>
                <w:rFonts w:ascii="Times New Roman" w:hAnsi="Times New Roman" w:eastAsiaTheme="minorEastAsia"/>
                <w:color w:val="000000"/>
                <w:kern w:val="0"/>
              </w:rPr>
            </w:pPr>
          </w:p>
        </w:tc>
        <w:tc>
          <w:tcPr>
            <w:tcW w:w="5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废气</w:t>
            </w:r>
          </w:p>
        </w:tc>
        <w:tc>
          <w:tcPr>
            <w:tcW w:w="4146" w:type="pct"/>
            <w:vAlign w:val="center"/>
          </w:tcPr>
          <w:p>
            <w:pPr>
              <w:autoSpaceDE w:val="0"/>
              <w:autoSpaceDN w:val="0"/>
              <w:adjustRightInd w:val="0"/>
              <w:snapToGrid w:val="0"/>
              <w:ind w:firstLine="420" w:firstLineChars="200"/>
              <w:rPr>
                <w:rFonts w:ascii="Times New Roman" w:hAnsi="Times New Roman" w:eastAsiaTheme="minorEastAsia"/>
                <w:color w:val="000000"/>
                <w:kern w:val="0"/>
              </w:rPr>
            </w:pPr>
            <w:r>
              <w:rPr>
                <w:rFonts w:ascii="Times New Roman" w:hAnsi="Times New Roman" w:eastAsiaTheme="minorEastAsia"/>
                <w:color w:val="000000"/>
                <w:kern w:val="0"/>
              </w:rPr>
              <w:t>在趸船上设置2台雾炮机，在码头装卸平台及输煤皮带廊内设置一套微雾抑尘系统，要求在每个转运节点设置多个喷头。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515" w:type="pct"/>
            <w:vAlign w:val="center"/>
          </w:tcPr>
          <w:p>
            <w:pPr>
              <w:autoSpaceDE w:val="0"/>
              <w:autoSpaceDN w:val="0"/>
              <w:adjustRightInd w:val="0"/>
              <w:snapToGrid w:val="0"/>
              <w:jc w:val="center"/>
              <w:rPr>
                <w:rFonts w:ascii="Times New Roman" w:hAnsi="Times New Roman" w:eastAsiaTheme="minorEastAsia"/>
                <w:kern w:val="0"/>
                <w:sz w:val="24"/>
                <w:szCs w:val="24"/>
              </w:rPr>
            </w:pPr>
            <w:r>
              <w:rPr>
                <w:rFonts w:ascii="Times New Roman" w:hAnsi="Times New Roman" w:eastAsiaTheme="minorEastAsia"/>
                <w:color w:val="000000"/>
                <w:kern w:val="0"/>
              </w:rPr>
              <w:t>固废</w:t>
            </w:r>
          </w:p>
        </w:tc>
        <w:tc>
          <w:tcPr>
            <w:tcW w:w="4146" w:type="pct"/>
            <w:vAlign w:val="center"/>
          </w:tcPr>
          <w:p>
            <w:pPr>
              <w:autoSpaceDE w:val="0"/>
              <w:autoSpaceDN w:val="0"/>
              <w:adjustRightInd w:val="0"/>
              <w:snapToGrid w:val="0"/>
              <w:ind w:firstLine="420" w:firstLineChars="200"/>
              <w:jc w:val="left"/>
              <w:rPr>
                <w:rFonts w:ascii="Times New Roman" w:hAnsi="Times New Roman" w:eastAsiaTheme="minorEastAsia"/>
                <w:color w:val="000000"/>
                <w:kern w:val="0"/>
              </w:rPr>
            </w:pPr>
            <w:r>
              <w:rPr>
                <w:rFonts w:ascii="Times New Roman" w:hAnsi="Times New Roman" w:eastAsiaTheme="minorEastAsia"/>
                <w:color w:val="000000"/>
                <w:kern w:val="0"/>
              </w:rPr>
              <w:t>设置危险废物暂存间、生活垃圾箱。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515" w:type="pct"/>
            <w:vAlign w:val="center"/>
          </w:tcPr>
          <w:p>
            <w:pPr>
              <w:autoSpaceDE w:val="0"/>
              <w:autoSpaceDN w:val="0"/>
              <w:adjustRightInd w:val="0"/>
              <w:snapToGrid w:val="0"/>
              <w:jc w:val="center"/>
              <w:rPr>
                <w:rFonts w:ascii="Times New Roman" w:hAnsi="Times New Roman" w:eastAsiaTheme="minorEastAsia"/>
                <w:kern w:val="0"/>
                <w:sz w:val="24"/>
                <w:szCs w:val="24"/>
              </w:rPr>
            </w:pPr>
            <w:r>
              <w:rPr>
                <w:rFonts w:ascii="Times New Roman" w:hAnsi="Times New Roman" w:eastAsiaTheme="minorEastAsia"/>
                <w:color w:val="000000"/>
                <w:kern w:val="0"/>
              </w:rPr>
              <w:t>噪声</w:t>
            </w:r>
          </w:p>
        </w:tc>
        <w:tc>
          <w:tcPr>
            <w:tcW w:w="4146" w:type="pct"/>
            <w:vAlign w:val="center"/>
          </w:tcPr>
          <w:p>
            <w:pPr>
              <w:autoSpaceDE w:val="0"/>
              <w:autoSpaceDN w:val="0"/>
              <w:adjustRightInd w:val="0"/>
              <w:snapToGrid w:val="0"/>
              <w:ind w:firstLine="420" w:firstLineChars="200"/>
              <w:jc w:val="left"/>
              <w:rPr>
                <w:rFonts w:ascii="Times New Roman" w:hAnsi="Times New Roman" w:eastAsiaTheme="minorEastAsia"/>
                <w:color w:val="000000"/>
                <w:kern w:val="0"/>
              </w:rPr>
            </w:pPr>
            <w:r>
              <w:rPr>
                <w:rFonts w:ascii="Times New Roman" w:hAnsi="Times New Roman" w:eastAsiaTheme="minorEastAsia"/>
                <w:color w:val="000000"/>
                <w:kern w:val="0"/>
              </w:rPr>
              <w:t>选用低噪声设备，对高噪声设备采用基础减振、隔音、消声等降噪措，并对运煤皮带进行全封闭。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依托工程</w:t>
            </w:r>
          </w:p>
        </w:tc>
        <w:tc>
          <w:tcPr>
            <w:tcW w:w="515" w:type="pct"/>
            <w:vAlign w:val="center"/>
          </w:tcPr>
          <w:p>
            <w:pPr>
              <w:autoSpaceDE w:val="0"/>
              <w:autoSpaceDN w:val="0"/>
              <w:adjustRightInd w:val="0"/>
              <w:snapToGrid w:val="0"/>
              <w:jc w:val="center"/>
              <w:rPr>
                <w:rFonts w:ascii="Times New Roman" w:hAnsi="Times New Roman" w:eastAsiaTheme="minorEastAsia"/>
                <w:kern w:val="0"/>
                <w:sz w:val="24"/>
                <w:szCs w:val="24"/>
              </w:rPr>
            </w:pPr>
            <w:r>
              <w:rPr>
                <w:rFonts w:ascii="Times New Roman" w:hAnsi="Times New Roman" w:eastAsiaTheme="minorEastAsia"/>
                <w:color w:val="000000"/>
                <w:kern w:val="0"/>
              </w:rPr>
              <w:t>水、电、道路</w:t>
            </w:r>
          </w:p>
        </w:tc>
        <w:tc>
          <w:tcPr>
            <w:tcW w:w="4146" w:type="pct"/>
            <w:vAlign w:val="center"/>
          </w:tcPr>
          <w:p>
            <w:pPr>
              <w:autoSpaceDE w:val="0"/>
              <w:autoSpaceDN w:val="0"/>
              <w:adjustRightInd w:val="0"/>
              <w:snapToGrid w:val="0"/>
              <w:ind w:firstLine="420" w:firstLineChars="200"/>
              <w:jc w:val="left"/>
              <w:rPr>
                <w:rFonts w:ascii="Times New Roman" w:hAnsi="Times New Roman" w:eastAsiaTheme="minorEastAsia"/>
                <w:color w:val="000000"/>
                <w:kern w:val="0"/>
              </w:rPr>
            </w:pPr>
            <w:r>
              <w:rPr>
                <w:rFonts w:ascii="Times New Roman" w:hAnsi="Times New Roman" w:eastAsiaTheme="minorEastAsia"/>
                <w:color w:val="000000"/>
                <w:kern w:val="0"/>
              </w:rPr>
              <w:t>本项目利用港区现有道路，项目生活、生产、消防水源及用电均由后方电厂配给。</w:t>
            </w:r>
          </w:p>
        </w:tc>
      </w:tr>
    </w:tbl>
    <w:p>
      <w:pPr>
        <w:pStyle w:val="129"/>
        <w:tabs>
          <w:tab w:val="left" w:pos="900"/>
        </w:tabs>
        <w:adjustRightInd w:val="0"/>
        <w:snapToGrid w:val="0"/>
        <w:spacing w:line="360" w:lineRule="auto"/>
        <w:ind w:firstLine="480"/>
        <w:rPr>
          <w:rFonts w:eastAsiaTheme="minorEastAsia"/>
          <w:color w:val="000000" w:themeColor="text1"/>
          <w14:textFill>
            <w14:solidFill>
              <w14:schemeClr w14:val="tx1"/>
            </w14:solidFill>
          </w14:textFill>
        </w:rPr>
      </w:pPr>
    </w:p>
    <w:p>
      <w:pPr>
        <w:pStyle w:val="129"/>
        <w:tabs>
          <w:tab w:val="left" w:pos="900"/>
        </w:tabs>
        <w:adjustRightInd w:val="0"/>
        <w:snapToGrid w:val="0"/>
        <w:spacing w:line="360" w:lineRule="auto"/>
        <w:ind w:firstLine="48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本项目主要经济技术指标见下表。</w:t>
      </w:r>
    </w:p>
    <w:p>
      <w:pPr>
        <w:tabs>
          <w:tab w:val="left" w:pos="900"/>
        </w:tabs>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表3.2-2  本项目主要技术经济指标</w:t>
      </w:r>
    </w:p>
    <w:tbl>
      <w:tblPr>
        <w:tblStyle w:val="7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99"/>
        <w:gridCol w:w="3358"/>
        <w:gridCol w:w="1722"/>
        <w:gridCol w:w="3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494" w:type="pct"/>
            <w:tcBorders>
              <w:top w:val="single" w:color="auto" w:sz="12" w:space="0"/>
              <w:left w:val="single" w:color="auto" w:sz="12" w:space="0"/>
            </w:tcBorders>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kern w:val="0"/>
              </w:rPr>
              <w:t>编号</w:t>
            </w:r>
          </w:p>
        </w:tc>
        <w:tc>
          <w:tcPr>
            <w:tcW w:w="1844" w:type="pct"/>
            <w:tcBorders>
              <w:top w:val="single" w:color="auto" w:sz="12" w:space="0"/>
            </w:tcBorders>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kern w:val="0"/>
              </w:rPr>
              <w:t>项目</w:t>
            </w:r>
          </w:p>
        </w:tc>
        <w:tc>
          <w:tcPr>
            <w:tcW w:w="946" w:type="pct"/>
            <w:tcBorders>
              <w:top w:val="single" w:color="auto" w:sz="12" w:space="0"/>
            </w:tcBorders>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kern w:val="0"/>
              </w:rPr>
              <w:t>单位</w:t>
            </w:r>
          </w:p>
        </w:tc>
        <w:tc>
          <w:tcPr>
            <w:tcW w:w="1714" w:type="pct"/>
            <w:tcBorders>
              <w:top w:val="single" w:color="auto" w:sz="12" w:space="0"/>
              <w:right w:val="single" w:color="auto" w:sz="12" w:space="0"/>
            </w:tcBorders>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kern w:val="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4" w:type="pct"/>
            <w:tcBorders>
              <w:left w:val="single" w:color="auto" w:sz="12" w:space="0"/>
            </w:tcBorders>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1</w:t>
            </w:r>
          </w:p>
        </w:tc>
        <w:tc>
          <w:tcPr>
            <w:tcW w:w="1844"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泊位吨级</w:t>
            </w:r>
          </w:p>
        </w:tc>
        <w:tc>
          <w:tcPr>
            <w:tcW w:w="94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吨级</w:t>
            </w:r>
          </w:p>
        </w:tc>
        <w:tc>
          <w:tcPr>
            <w:tcW w:w="1714" w:type="pct"/>
            <w:tcBorders>
              <w:right w:val="single" w:color="auto" w:sz="12" w:space="0"/>
            </w:tcBorders>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3000（码头结构按靠泊10000吨级内河散货货船设计）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4" w:type="pct"/>
            <w:tcBorders>
              <w:left w:val="single" w:color="auto" w:sz="12" w:space="0"/>
            </w:tcBorders>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2</w:t>
            </w:r>
          </w:p>
        </w:tc>
        <w:tc>
          <w:tcPr>
            <w:tcW w:w="1844"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泊位数</w:t>
            </w:r>
          </w:p>
        </w:tc>
        <w:tc>
          <w:tcPr>
            <w:tcW w:w="94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个</w:t>
            </w:r>
          </w:p>
        </w:tc>
        <w:tc>
          <w:tcPr>
            <w:tcW w:w="1714" w:type="pct"/>
            <w:tcBorders>
              <w:right w:val="single" w:color="auto" w:sz="12" w:space="0"/>
            </w:tcBorders>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4" w:type="pct"/>
            <w:tcBorders>
              <w:left w:val="single" w:color="auto" w:sz="12" w:space="0"/>
            </w:tcBorders>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3</w:t>
            </w:r>
          </w:p>
        </w:tc>
        <w:tc>
          <w:tcPr>
            <w:tcW w:w="1844"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占用岸线长度</w:t>
            </w:r>
          </w:p>
        </w:tc>
        <w:tc>
          <w:tcPr>
            <w:tcW w:w="94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m</w:t>
            </w:r>
          </w:p>
        </w:tc>
        <w:tc>
          <w:tcPr>
            <w:tcW w:w="1714" w:type="pct"/>
            <w:tcBorders>
              <w:right w:val="single" w:color="auto" w:sz="12" w:space="0"/>
            </w:tcBorders>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4" w:type="pct"/>
            <w:tcBorders>
              <w:left w:val="single" w:color="auto" w:sz="12" w:space="0"/>
            </w:tcBorders>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4</w:t>
            </w:r>
          </w:p>
        </w:tc>
        <w:tc>
          <w:tcPr>
            <w:tcW w:w="1844"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泊位利用率</w:t>
            </w:r>
          </w:p>
        </w:tc>
        <w:tc>
          <w:tcPr>
            <w:tcW w:w="94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w:t>
            </w:r>
          </w:p>
        </w:tc>
        <w:tc>
          <w:tcPr>
            <w:tcW w:w="1714" w:type="pct"/>
            <w:tcBorders>
              <w:right w:val="single" w:color="auto" w:sz="12" w:space="0"/>
            </w:tcBorders>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4" w:type="pct"/>
            <w:tcBorders>
              <w:left w:val="single" w:color="auto" w:sz="12" w:space="0"/>
            </w:tcBorders>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5</w:t>
            </w:r>
          </w:p>
        </w:tc>
        <w:tc>
          <w:tcPr>
            <w:tcW w:w="1844"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rPr>
              <w:t>趸船长度</w:t>
            </w:r>
          </w:p>
        </w:tc>
        <w:tc>
          <w:tcPr>
            <w:tcW w:w="94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rPr>
              <w:t>m</w:t>
            </w:r>
          </w:p>
        </w:tc>
        <w:tc>
          <w:tcPr>
            <w:tcW w:w="1714" w:type="pct"/>
            <w:tcBorders>
              <w:right w:val="single" w:color="auto" w:sz="12" w:space="0"/>
            </w:tcBorders>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4" w:type="pct"/>
            <w:tcBorders>
              <w:left w:val="single" w:color="auto" w:sz="12" w:space="0"/>
            </w:tcBorders>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6</w:t>
            </w:r>
          </w:p>
        </w:tc>
        <w:tc>
          <w:tcPr>
            <w:tcW w:w="1844" w:type="pct"/>
            <w:vAlign w:val="center"/>
          </w:tcPr>
          <w:p>
            <w:pPr>
              <w:autoSpaceDE w:val="0"/>
              <w:autoSpaceDN w:val="0"/>
              <w:adjustRightInd w:val="0"/>
              <w:snapToGrid w:val="0"/>
              <w:jc w:val="center"/>
              <w:rPr>
                <w:rFonts w:ascii="Times New Roman" w:hAnsi="Times New Roman"/>
              </w:rPr>
            </w:pPr>
            <w:r>
              <w:rPr>
                <w:rFonts w:ascii="Times New Roman" w:hAnsi="Times New Roman"/>
              </w:rPr>
              <w:t>趸船宽度</w:t>
            </w:r>
          </w:p>
        </w:tc>
        <w:tc>
          <w:tcPr>
            <w:tcW w:w="94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rPr>
              <w:t>m</w:t>
            </w:r>
          </w:p>
        </w:tc>
        <w:tc>
          <w:tcPr>
            <w:tcW w:w="1714" w:type="pct"/>
            <w:tcBorders>
              <w:right w:val="single" w:color="auto" w:sz="12" w:space="0"/>
            </w:tcBorders>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4" w:type="pct"/>
            <w:tcBorders>
              <w:left w:val="single" w:color="auto" w:sz="12" w:space="0"/>
            </w:tcBorders>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7</w:t>
            </w:r>
          </w:p>
        </w:tc>
        <w:tc>
          <w:tcPr>
            <w:tcW w:w="1844"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泊位年运营天数</w:t>
            </w:r>
          </w:p>
        </w:tc>
        <w:tc>
          <w:tcPr>
            <w:tcW w:w="94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天</w:t>
            </w:r>
          </w:p>
        </w:tc>
        <w:tc>
          <w:tcPr>
            <w:tcW w:w="1714" w:type="pct"/>
            <w:tcBorders>
              <w:right w:val="single" w:color="auto" w:sz="12" w:space="0"/>
            </w:tcBorders>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4" w:type="pct"/>
            <w:tcBorders>
              <w:left w:val="single" w:color="auto" w:sz="12" w:space="0"/>
            </w:tcBorders>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8</w:t>
            </w:r>
          </w:p>
        </w:tc>
        <w:tc>
          <w:tcPr>
            <w:tcW w:w="1844"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作业班数</w:t>
            </w:r>
          </w:p>
        </w:tc>
        <w:tc>
          <w:tcPr>
            <w:tcW w:w="94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班</w:t>
            </w:r>
          </w:p>
        </w:tc>
        <w:tc>
          <w:tcPr>
            <w:tcW w:w="1714" w:type="pct"/>
            <w:tcBorders>
              <w:right w:val="single" w:color="auto" w:sz="12" w:space="0"/>
            </w:tcBorders>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4" w:type="pct"/>
            <w:tcBorders>
              <w:left w:val="single" w:color="auto" w:sz="12" w:space="0"/>
            </w:tcBorders>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9</w:t>
            </w:r>
          </w:p>
        </w:tc>
        <w:tc>
          <w:tcPr>
            <w:tcW w:w="1844"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rPr>
              <w:t>设计货运吞吐量</w:t>
            </w:r>
          </w:p>
        </w:tc>
        <w:tc>
          <w:tcPr>
            <w:tcW w:w="94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万吨/年</w:t>
            </w:r>
          </w:p>
        </w:tc>
        <w:tc>
          <w:tcPr>
            <w:tcW w:w="1714" w:type="pct"/>
            <w:tcBorders>
              <w:right w:val="single" w:color="auto" w:sz="12" w:space="0"/>
            </w:tcBorders>
            <w:vAlign w:val="center"/>
          </w:tcPr>
          <w:p>
            <w:pPr>
              <w:autoSpaceDE w:val="0"/>
              <w:autoSpaceDN w:val="0"/>
              <w:adjustRightInd w:val="0"/>
              <w:snapToGrid w:val="0"/>
              <w:jc w:val="center"/>
              <w:rPr>
                <w:rFonts w:ascii="Times New Roman" w:hAnsi="Times New Roman"/>
              </w:rPr>
            </w:pPr>
            <w:r>
              <w:rPr>
                <w:rFonts w:ascii="Times New Roman" w:hAnsi="Times New Roma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4" w:type="pct"/>
            <w:tcBorders>
              <w:left w:val="single" w:color="auto" w:sz="12" w:space="0"/>
            </w:tcBorders>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10</w:t>
            </w:r>
          </w:p>
        </w:tc>
        <w:tc>
          <w:tcPr>
            <w:tcW w:w="1844"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定员</w:t>
            </w:r>
          </w:p>
        </w:tc>
        <w:tc>
          <w:tcPr>
            <w:tcW w:w="946" w:type="pct"/>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人</w:t>
            </w:r>
          </w:p>
        </w:tc>
        <w:tc>
          <w:tcPr>
            <w:tcW w:w="1714" w:type="pct"/>
            <w:tcBorders>
              <w:right w:val="single" w:color="auto" w:sz="12" w:space="0"/>
            </w:tcBorders>
            <w:vAlign w:val="center"/>
          </w:tcPr>
          <w:p>
            <w:pPr>
              <w:autoSpaceDE w:val="0"/>
              <w:autoSpaceDN w:val="0"/>
              <w:adjustRightInd w:val="0"/>
              <w:snapToGrid w:val="0"/>
              <w:jc w:val="center"/>
              <w:rPr>
                <w:rFonts w:ascii="Times New Roman" w:hAnsi="Times New Roman"/>
              </w:rPr>
            </w:pPr>
            <w:r>
              <w:rPr>
                <w:rFonts w:ascii="Times New Roman" w:hAnsi="Times New Roma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4" w:type="pct"/>
            <w:tcBorders>
              <w:left w:val="single" w:color="auto" w:sz="12" w:space="0"/>
              <w:bottom w:val="single" w:color="auto" w:sz="12" w:space="0"/>
            </w:tcBorders>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11</w:t>
            </w:r>
          </w:p>
        </w:tc>
        <w:tc>
          <w:tcPr>
            <w:tcW w:w="1844" w:type="pct"/>
            <w:tcBorders>
              <w:bottom w:val="single" w:color="auto" w:sz="12" w:space="0"/>
            </w:tcBorders>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投资估算</w:t>
            </w:r>
          </w:p>
        </w:tc>
        <w:tc>
          <w:tcPr>
            <w:tcW w:w="946" w:type="pct"/>
            <w:tcBorders>
              <w:bottom w:val="single" w:color="auto" w:sz="12" w:space="0"/>
            </w:tcBorders>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kern w:val="0"/>
              </w:rPr>
              <w:t>万元</w:t>
            </w:r>
          </w:p>
        </w:tc>
        <w:tc>
          <w:tcPr>
            <w:tcW w:w="1714" w:type="pct"/>
            <w:tcBorders>
              <w:bottom w:val="single" w:color="auto" w:sz="12" w:space="0"/>
              <w:right w:val="single" w:color="auto" w:sz="12" w:space="0"/>
            </w:tcBorders>
            <w:vAlign w:val="center"/>
          </w:tcPr>
          <w:p>
            <w:pPr>
              <w:autoSpaceDE w:val="0"/>
              <w:autoSpaceDN w:val="0"/>
              <w:adjustRightInd w:val="0"/>
              <w:snapToGrid w:val="0"/>
              <w:jc w:val="center"/>
              <w:rPr>
                <w:rFonts w:ascii="Times New Roman" w:hAnsi="Times New Roman"/>
              </w:rPr>
            </w:pPr>
            <w:r>
              <w:rPr>
                <w:rFonts w:ascii="Times New Roman" w:hAnsi="Times New Roman"/>
              </w:rPr>
              <w:t>14059.61</w:t>
            </w:r>
          </w:p>
        </w:tc>
      </w:tr>
    </w:tbl>
    <w:p>
      <w:pPr>
        <w:pStyle w:val="325"/>
        <w:tabs>
          <w:tab w:val="right" w:leader="dot" w:pos="9070"/>
        </w:tabs>
        <w:adjustRightInd w:val="0"/>
        <w:snapToGrid w:val="0"/>
        <w:spacing w:line="360" w:lineRule="auto"/>
        <w:ind w:firstLine="480" w:firstLineChars="200"/>
        <w:rPr>
          <w:rFonts w:eastAsiaTheme="minorEastAsia"/>
          <w:sz w:val="24"/>
          <w:szCs w:val="24"/>
          <w:highlight w:val="yellow"/>
        </w:rPr>
      </w:pPr>
    </w:p>
    <w:p>
      <w:pPr>
        <w:pStyle w:val="4"/>
        <w:rPr>
          <w:rFonts w:eastAsiaTheme="minorEastAsia"/>
        </w:rPr>
      </w:pPr>
      <w:r>
        <w:rPr>
          <w:rFonts w:eastAsiaTheme="minorEastAsia"/>
        </w:rPr>
        <w:t>主要货种及吞吐量预测</w:t>
      </w:r>
    </w:p>
    <w:p>
      <w:pPr>
        <w:widowControl/>
        <w:adjustRightInd w:val="0"/>
        <w:snapToGrid w:val="0"/>
        <w:spacing w:line="360" w:lineRule="auto"/>
        <w:ind w:firstLine="480" w:firstLineChars="200"/>
        <w:jc w:val="left"/>
        <w:rPr>
          <w:rFonts w:ascii="Times New Roman" w:hAnsi="Times New Roman" w:eastAsiaTheme="minorEastAsia"/>
          <w:sz w:val="24"/>
          <w:szCs w:val="24"/>
          <w:lang w:val="en-GB"/>
        </w:rPr>
      </w:pPr>
      <w:r>
        <w:rPr>
          <w:rFonts w:ascii="Times New Roman" w:hAnsi="Times New Roman" w:eastAsiaTheme="minorEastAsia"/>
          <w:sz w:val="24"/>
          <w:szCs w:val="24"/>
          <w:lang w:val="en-GB"/>
        </w:rPr>
        <w:t>岳阳华能电厂经济煤种主要为长江上游来煤及海进江印尼烟煤。剔除现有1#泊位的核定通过能力230万吨，2#泊位改建后水运货物流量流向详见表3.2-3、表3.2-</w:t>
      </w:r>
      <w:r>
        <w:rPr>
          <w:rFonts w:ascii="Times New Roman" w:hAnsi="Times New Roman" w:eastAsiaTheme="minorEastAsia"/>
          <w:sz w:val="24"/>
          <w:szCs w:val="24"/>
        </w:rPr>
        <w:t>4</w:t>
      </w:r>
      <w:r>
        <w:rPr>
          <w:rFonts w:ascii="Times New Roman" w:hAnsi="Times New Roman" w:eastAsiaTheme="minorEastAsia"/>
          <w:sz w:val="24"/>
          <w:szCs w:val="24"/>
          <w:lang w:val="en-GB"/>
        </w:rPr>
        <w:t>。</w:t>
      </w:r>
    </w:p>
    <w:p>
      <w:pPr>
        <w:tabs>
          <w:tab w:val="left" w:pos="900"/>
        </w:tabs>
        <w:wordWrap w:val="0"/>
        <w:adjustRightInd w:val="0"/>
        <w:snapToGrid w:val="0"/>
        <w:spacing w:line="276" w:lineRule="auto"/>
        <w:jc w:val="right"/>
        <w:rPr>
          <w:rFonts w:ascii="Times New Roman" w:hAnsi="Times New Roman"/>
          <w:sz w:val="24"/>
        </w:rPr>
      </w:pPr>
      <w:r>
        <w:rPr>
          <w:rFonts w:ascii="Times New Roman" w:hAnsi="Times New Roman" w:eastAsiaTheme="minorEastAsia"/>
          <w:b/>
          <w:color w:val="000000"/>
          <w:sz w:val="24"/>
          <w:szCs w:val="24"/>
        </w:rPr>
        <w:t xml:space="preserve">表3.2-3  </w:t>
      </w:r>
      <w:r>
        <w:rPr>
          <w:rFonts w:ascii="Times New Roman" w:hAnsi="Times New Roman"/>
          <w:b/>
          <w:sz w:val="24"/>
        </w:rPr>
        <w:t xml:space="preserve">码头吞吐量预测表 </w:t>
      </w:r>
      <w:r>
        <w:rPr>
          <w:rFonts w:ascii="Times New Roman" w:hAnsi="Times New Roman"/>
          <w:sz w:val="24"/>
        </w:rPr>
        <w:t xml:space="preserve">          单位：万吨/年</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242"/>
        <w:gridCol w:w="2244"/>
        <w:gridCol w:w="2370"/>
        <w:gridCol w:w="22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32" w:type="pct"/>
            <w:vAlign w:val="center"/>
          </w:tcPr>
          <w:p>
            <w:pPr>
              <w:adjustRightInd w:val="0"/>
              <w:snapToGrid w:val="0"/>
              <w:jc w:val="center"/>
              <w:rPr>
                <w:rFonts w:ascii="Times New Roman" w:hAnsi="Times New Roman"/>
                <w:b/>
              </w:rPr>
            </w:pPr>
            <w:r>
              <w:rPr>
                <w:rFonts w:ascii="Times New Roman" w:hAnsi="Times New Roman"/>
                <w:b/>
              </w:rPr>
              <w:t>货种</w:t>
            </w:r>
          </w:p>
        </w:tc>
        <w:tc>
          <w:tcPr>
            <w:tcW w:w="1233" w:type="pct"/>
            <w:vAlign w:val="center"/>
          </w:tcPr>
          <w:p>
            <w:pPr>
              <w:adjustRightInd w:val="0"/>
              <w:snapToGrid w:val="0"/>
              <w:jc w:val="center"/>
              <w:rPr>
                <w:rFonts w:ascii="Times New Roman" w:hAnsi="Times New Roman"/>
                <w:b/>
              </w:rPr>
            </w:pPr>
            <w:r>
              <w:rPr>
                <w:rFonts w:ascii="Times New Roman" w:hAnsi="Times New Roman"/>
                <w:b/>
              </w:rPr>
              <w:t>吞吐量</w:t>
            </w:r>
          </w:p>
        </w:tc>
        <w:tc>
          <w:tcPr>
            <w:tcW w:w="1302" w:type="pct"/>
            <w:vAlign w:val="center"/>
          </w:tcPr>
          <w:p>
            <w:pPr>
              <w:adjustRightInd w:val="0"/>
              <w:snapToGrid w:val="0"/>
              <w:jc w:val="center"/>
              <w:rPr>
                <w:rFonts w:ascii="Times New Roman" w:hAnsi="Times New Roman"/>
                <w:b/>
              </w:rPr>
            </w:pPr>
            <w:r>
              <w:rPr>
                <w:rFonts w:ascii="Times New Roman" w:hAnsi="Times New Roman"/>
                <w:b/>
              </w:rPr>
              <w:t>其中：进港</w:t>
            </w:r>
          </w:p>
        </w:tc>
        <w:tc>
          <w:tcPr>
            <w:tcW w:w="1233" w:type="pct"/>
            <w:vAlign w:val="center"/>
          </w:tcPr>
          <w:p>
            <w:pPr>
              <w:adjustRightInd w:val="0"/>
              <w:snapToGrid w:val="0"/>
              <w:jc w:val="center"/>
              <w:rPr>
                <w:rFonts w:ascii="Times New Roman" w:hAnsi="Times New Roman"/>
                <w:b/>
              </w:rPr>
            </w:pPr>
            <w:r>
              <w:rPr>
                <w:rFonts w:ascii="Times New Roman" w:hAnsi="Times New Roman"/>
                <w:b/>
              </w:rPr>
              <w:t>出港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32" w:type="pct"/>
            <w:vAlign w:val="center"/>
          </w:tcPr>
          <w:p>
            <w:pPr>
              <w:adjustRightInd w:val="0"/>
              <w:snapToGrid w:val="0"/>
              <w:jc w:val="center"/>
              <w:rPr>
                <w:rFonts w:ascii="Times New Roman" w:hAnsi="Times New Roman"/>
              </w:rPr>
            </w:pPr>
            <w:r>
              <w:rPr>
                <w:rFonts w:ascii="Times New Roman" w:hAnsi="Times New Roman"/>
              </w:rPr>
              <w:t>煤炭</w:t>
            </w:r>
          </w:p>
        </w:tc>
        <w:tc>
          <w:tcPr>
            <w:tcW w:w="1233" w:type="pct"/>
            <w:vAlign w:val="center"/>
          </w:tcPr>
          <w:p>
            <w:pPr>
              <w:adjustRightInd w:val="0"/>
              <w:snapToGrid w:val="0"/>
              <w:jc w:val="center"/>
              <w:rPr>
                <w:rFonts w:ascii="Times New Roman" w:hAnsi="Times New Roman"/>
              </w:rPr>
            </w:pPr>
            <w:r>
              <w:rPr>
                <w:rFonts w:ascii="Times New Roman" w:hAnsi="Times New Roman"/>
              </w:rPr>
              <w:t>200</w:t>
            </w:r>
          </w:p>
        </w:tc>
        <w:tc>
          <w:tcPr>
            <w:tcW w:w="1302" w:type="pct"/>
            <w:vAlign w:val="center"/>
          </w:tcPr>
          <w:p>
            <w:pPr>
              <w:adjustRightInd w:val="0"/>
              <w:snapToGrid w:val="0"/>
              <w:jc w:val="center"/>
              <w:rPr>
                <w:rFonts w:ascii="Times New Roman" w:hAnsi="Times New Roman"/>
              </w:rPr>
            </w:pPr>
            <w:r>
              <w:rPr>
                <w:rFonts w:ascii="Times New Roman" w:hAnsi="Times New Roman"/>
              </w:rPr>
              <w:t>200</w:t>
            </w:r>
          </w:p>
        </w:tc>
        <w:tc>
          <w:tcPr>
            <w:tcW w:w="1233" w:type="pct"/>
            <w:vAlign w:val="center"/>
          </w:tcPr>
          <w:p>
            <w:pPr>
              <w:adjustRightInd w:val="0"/>
              <w:snapToGrid w:val="0"/>
              <w:jc w:val="center"/>
              <w:rPr>
                <w:rFonts w:ascii="Times New Roman" w:hAnsi="Times New Roman"/>
              </w:rPr>
            </w:pPr>
            <w:r>
              <w:rPr>
                <w:rFonts w:ascii="Times New Roman" w:hAnsi="Times New Roman"/>
              </w:rPr>
              <w:t>0</w:t>
            </w:r>
          </w:p>
        </w:tc>
      </w:tr>
    </w:tbl>
    <w:p>
      <w:pPr>
        <w:pStyle w:val="325"/>
        <w:tabs>
          <w:tab w:val="right" w:leader="dot" w:pos="9070"/>
        </w:tabs>
        <w:adjustRightInd w:val="0"/>
        <w:snapToGrid w:val="0"/>
        <w:spacing w:line="360" w:lineRule="auto"/>
        <w:rPr>
          <w:sz w:val="24"/>
        </w:rPr>
      </w:pPr>
    </w:p>
    <w:p>
      <w:pPr>
        <w:tabs>
          <w:tab w:val="left" w:pos="900"/>
        </w:tabs>
        <w:adjustRightInd w:val="0"/>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表3.2-4  本项目货物流向表</w:t>
      </w:r>
    </w:p>
    <w:tbl>
      <w:tblPr>
        <w:tblStyle w:val="7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248"/>
        <w:gridCol w:w="2148"/>
        <w:gridCol w:w="3107"/>
        <w:gridCol w:w="1414"/>
        <w:gridCol w:w="11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86" w:type="pct"/>
            <w:vAlign w:val="center"/>
          </w:tcPr>
          <w:p>
            <w:pPr>
              <w:adjustRightInd w:val="0"/>
              <w:snapToGrid w:val="0"/>
              <w:jc w:val="center"/>
              <w:rPr>
                <w:rFonts w:ascii="Times New Roman" w:hAnsi="Times New Roman"/>
                <w:b/>
              </w:rPr>
            </w:pPr>
            <w:r>
              <w:rPr>
                <w:rFonts w:ascii="Times New Roman" w:hAnsi="Times New Roman"/>
                <w:b/>
              </w:rPr>
              <w:t>货种</w:t>
            </w:r>
          </w:p>
        </w:tc>
        <w:tc>
          <w:tcPr>
            <w:tcW w:w="1180" w:type="pct"/>
            <w:vAlign w:val="center"/>
          </w:tcPr>
          <w:p>
            <w:pPr>
              <w:adjustRightInd w:val="0"/>
              <w:snapToGrid w:val="0"/>
              <w:jc w:val="center"/>
              <w:rPr>
                <w:rFonts w:ascii="Times New Roman" w:hAnsi="Times New Roman"/>
                <w:b/>
              </w:rPr>
            </w:pPr>
            <w:r>
              <w:rPr>
                <w:rFonts w:ascii="Times New Roman" w:hAnsi="Times New Roman"/>
                <w:b/>
              </w:rPr>
              <w:t>发运地</w:t>
            </w:r>
          </w:p>
        </w:tc>
        <w:tc>
          <w:tcPr>
            <w:tcW w:w="1707" w:type="pct"/>
            <w:vAlign w:val="center"/>
          </w:tcPr>
          <w:p>
            <w:pPr>
              <w:adjustRightInd w:val="0"/>
              <w:snapToGrid w:val="0"/>
              <w:jc w:val="center"/>
              <w:rPr>
                <w:rFonts w:ascii="Times New Roman" w:hAnsi="Times New Roman"/>
                <w:b/>
              </w:rPr>
            </w:pPr>
            <w:r>
              <w:rPr>
                <w:rFonts w:ascii="Times New Roman" w:hAnsi="Times New Roman"/>
                <w:b/>
              </w:rPr>
              <w:t>发运港</w:t>
            </w:r>
          </w:p>
        </w:tc>
        <w:tc>
          <w:tcPr>
            <w:tcW w:w="777" w:type="pct"/>
            <w:vAlign w:val="center"/>
          </w:tcPr>
          <w:p>
            <w:pPr>
              <w:adjustRightInd w:val="0"/>
              <w:snapToGrid w:val="0"/>
              <w:jc w:val="center"/>
              <w:rPr>
                <w:rFonts w:ascii="Times New Roman" w:hAnsi="Times New Roman"/>
                <w:b/>
              </w:rPr>
            </w:pPr>
            <w:r>
              <w:rPr>
                <w:rFonts w:ascii="Times New Roman" w:hAnsi="Times New Roman"/>
                <w:b/>
              </w:rPr>
              <w:t>到达地</w:t>
            </w:r>
          </w:p>
        </w:tc>
        <w:tc>
          <w:tcPr>
            <w:tcW w:w="650" w:type="pct"/>
            <w:vAlign w:val="center"/>
          </w:tcPr>
          <w:p>
            <w:pPr>
              <w:adjustRightInd w:val="0"/>
              <w:snapToGrid w:val="0"/>
              <w:jc w:val="center"/>
              <w:rPr>
                <w:rFonts w:ascii="Times New Roman" w:hAnsi="Times New Roman"/>
                <w:b/>
              </w:rPr>
            </w:pPr>
            <w:r>
              <w:rPr>
                <w:rFonts w:ascii="Times New Roman" w:hAnsi="Times New Roman"/>
                <w:b/>
              </w:rPr>
              <w:t>到达港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86" w:type="pct"/>
            <w:vAlign w:val="center"/>
          </w:tcPr>
          <w:p>
            <w:pPr>
              <w:adjustRightInd w:val="0"/>
              <w:snapToGrid w:val="0"/>
              <w:jc w:val="center"/>
              <w:rPr>
                <w:rFonts w:ascii="Times New Roman" w:hAnsi="Times New Roman"/>
              </w:rPr>
            </w:pPr>
            <w:r>
              <w:rPr>
                <w:rFonts w:ascii="Times New Roman" w:hAnsi="Times New Roman"/>
              </w:rPr>
              <w:t>煤炭</w:t>
            </w:r>
          </w:p>
        </w:tc>
        <w:tc>
          <w:tcPr>
            <w:tcW w:w="1180" w:type="pct"/>
            <w:vAlign w:val="center"/>
          </w:tcPr>
          <w:p>
            <w:pPr>
              <w:adjustRightInd w:val="0"/>
              <w:snapToGrid w:val="0"/>
              <w:jc w:val="center"/>
              <w:rPr>
                <w:rFonts w:ascii="Times New Roman" w:hAnsi="Times New Roman"/>
              </w:rPr>
            </w:pPr>
            <w:r>
              <w:rPr>
                <w:rFonts w:ascii="Times New Roman" w:hAnsi="Times New Roman"/>
              </w:rPr>
              <w:t>印尼、“三西”等地区</w:t>
            </w:r>
          </w:p>
        </w:tc>
        <w:tc>
          <w:tcPr>
            <w:tcW w:w="1707" w:type="pct"/>
            <w:vAlign w:val="center"/>
          </w:tcPr>
          <w:p>
            <w:pPr>
              <w:adjustRightInd w:val="0"/>
              <w:snapToGrid w:val="0"/>
              <w:jc w:val="center"/>
              <w:rPr>
                <w:rFonts w:ascii="Times New Roman" w:hAnsi="Times New Roman"/>
              </w:rPr>
            </w:pPr>
            <w:r>
              <w:rPr>
                <w:rFonts w:ascii="Times New Roman" w:hAnsi="Times New Roman"/>
              </w:rPr>
              <w:t>秦皇岛港、南京港等</w:t>
            </w:r>
          </w:p>
        </w:tc>
        <w:tc>
          <w:tcPr>
            <w:tcW w:w="777" w:type="pct"/>
            <w:vAlign w:val="center"/>
          </w:tcPr>
          <w:p>
            <w:pPr>
              <w:adjustRightInd w:val="0"/>
              <w:snapToGrid w:val="0"/>
              <w:jc w:val="center"/>
              <w:rPr>
                <w:rFonts w:ascii="Times New Roman" w:hAnsi="Times New Roman"/>
              </w:rPr>
            </w:pPr>
            <w:r>
              <w:rPr>
                <w:rFonts w:ascii="Times New Roman" w:hAnsi="Times New Roman"/>
              </w:rPr>
              <w:t>岳阳华能电厂</w:t>
            </w:r>
          </w:p>
        </w:tc>
        <w:tc>
          <w:tcPr>
            <w:tcW w:w="650" w:type="pct"/>
            <w:vAlign w:val="center"/>
          </w:tcPr>
          <w:p>
            <w:pPr>
              <w:adjustRightInd w:val="0"/>
              <w:snapToGrid w:val="0"/>
              <w:jc w:val="center"/>
              <w:rPr>
                <w:rFonts w:ascii="Times New Roman" w:hAnsi="Times New Roman"/>
              </w:rPr>
            </w:pPr>
            <w:r>
              <w:rPr>
                <w:rFonts w:ascii="Times New Roman" w:hAnsi="Times New Roman"/>
              </w:rPr>
              <w:t>拟建码头</w:t>
            </w:r>
          </w:p>
        </w:tc>
      </w:tr>
    </w:tbl>
    <w:p>
      <w:pPr>
        <w:pStyle w:val="325"/>
        <w:tabs>
          <w:tab w:val="right" w:leader="dot" w:pos="9070"/>
        </w:tabs>
        <w:adjustRightInd w:val="0"/>
        <w:snapToGrid w:val="0"/>
        <w:spacing w:line="360" w:lineRule="auto"/>
        <w:ind w:firstLine="480" w:firstLineChars="200"/>
        <w:rPr>
          <w:rFonts w:eastAsiaTheme="minorEastAsia"/>
          <w:color w:val="000000"/>
          <w:sz w:val="24"/>
          <w:szCs w:val="24"/>
          <w:lang w:bidi="ar"/>
        </w:rPr>
      </w:pPr>
    </w:p>
    <w:p>
      <w:pPr>
        <w:pStyle w:val="4"/>
        <w:rPr>
          <w:rFonts w:eastAsiaTheme="minorEastAsia"/>
        </w:rPr>
      </w:pPr>
      <w:r>
        <w:rPr>
          <w:rFonts w:eastAsiaTheme="minorEastAsia"/>
        </w:rPr>
        <w:t>设计代表船型</w:t>
      </w:r>
    </w:p>
    <w:p>
      <w:pPr>
        <w:pStyle w:val="345"/>
        <w:tabs>
          <w:tab w:val="right" w:leader="dot" w:pos="9070"/>
        </w:tabs>
        <w:snapToGrid w:val="0"/>
        <w:spacing w:line="360" w:lineRule="auto"/>
        <w:ind w:firstLine="480" w:firstLineChars="200"/>
        <w:jc w:val="both"/>
        <w:rPr>
          <w:rFonts w:ascii="Times New Roman" w:eastAsiaTheme="minorEastAsia"/>
        </w:rPr>
      </w:pPr>
      <w:r>
        <w:rPr>
          <w:rFonts w:ascii="Times New Roman" w:eastAsiaTheme="minorEastAsia"/>
        </w:rPr>
        <w:t>根据交通运输部最新发布的《长江干线通航标准》（JTS180-4-2015），结合岳阳港总体规划以及本项目船型预测结果，确定设计船型主尺度见表3.2-5。</w:t>
      </w:r>
    </w:p>
    <w:p>
      <w:pPr>
        <w:pStyle w:val="345"/>
        <w:tabs>
          <w:tab w:val="right" w:leader="dot" w:pos="9070"/>
        </w:tabs>
        <w:snapToGrid w:val="0"/>
        <w:spacing w:line="360" w:lineRule="auto"/>
        <w:ind w:firstLine="480" w:firstLineChars="200"/>
        <w:jc w:val="both"/>
        <w:rPr>
          <w:rFonts w:ascii="Times New Roman" w:eastAsiaTheme="minorEastAsia"/>
        </w:rPr>
      </w:pPr>
      <w:r>
        <w:rPr>
          <w:rFonts w:ascii="Times New Roman" w:eastAsiaTheme="minorEastAsia"/>
        </w:rPr>
        <w:t>根据本项目吞吐量预测的装卸货种及货物的流量、流向等资料，结合航段的航道等级，并考虑到后续的发展要求及船舶大型化发展的方向，本项目设计代表船型宜为5000DWT散货船。</w:t>
      </w:r>
    </w:p>
    <w:p>
      <w:pPr>
        <w:pStyle w:val="345"/>
        <w:tabs>
          <w:tab w:val="right" w:leader="dot" w:pos="9070"/>
        </w:tabs>
        <w:snapToGrid w:val="0"/>
        <w:spacing w:line="360" w:lineRule="auto"/>
        <w:ind w:firstLine="480" w:firstLineChars="200"/>
        <w:jc w:val="both"/>
        <w:rPr>
          <w:rFonts w:ascii="Times New Roman" w:eastAsiaTheme="minorEastAsia"/>
        </w:rPr>
      </w:pPr>
      <w:r>
        <w:rPr>
          <w:rFonts w:ascii="Times New Roman" w:eastAsiaTheme="minorEastAsia"/>
        </w:rPr>
        <w:t>但基于岳阳市港口航务管理局“关于《华能岳阳电厂码头提质改造实施方案》的批复”（岳港航〔2018〕28号）以及岳阳市地方海事局“关于《华能岳阳电厂码头2#泊位提质改造方案》的批复”（岳地海〔2019〕52号），拟建工程码头等级定为3000吨级（水工结构按靠泊10000吨级内河散货船设计）。</w:t>
      </w:r>
    </w:p>
    <w:p>
      <w:pPr>
        <w:pStyle w:val="345"/>
        <w:tabs>
          <w:tab w:val="right" w:leader="dot" w:pos="9070"/>
        </w:tabs>
        <w:snapToGrid w:val="0"/>
        <w:spacing w:line="360" w:lineRule="auto"/>
        <w:ind w:firstLine="480" w:firstLineChars="200"/>
        <w:jc w:val="both"/>
        <w:rPr>
          <w:rFonts w:ascii="Times New Roman" w:eastAsiaTheme="minorEastAsia"/>
        </w:rPr>
      </w:pPr>
      <w:r>
        <w:rPr>
          <w:rFonts w:ascii="Times New Roman" w:eastAsiaTheme="minorEastAsia"/>
        </w:rPr>
        <w:t>参照《内河运输船舶标准船型指标体系》、《长江干线通航标准JTS180-4-2015》《江海直达货船船型尺度系列（GB/T17872-2009）》等，确定本项目拟建码头设计船型主尺度见表3.2-5。</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 xml:space="preserve">表3.2-5  </w:t>
      </w:r>
      <w:r>
        <w:rPr>
          <w:rFonts w:ascii="Times New Roman" w:hAnsi="Times New Roman" w:eastAsiaTheme="minorEastAsia"/>
          <w:b/>
          <w:color w:val="000000"/>
          <w:sz w:val="24"/>
          <w:szCs w:val="24"/>
        </w:rPr>
        <w:t>本项目</w:t>
      </w:r>
      <w:r>
        <w:rPr>
          <w:rFonts w:ascii="Times New Roman" w:hAnsi="Times New Roman" w:eastAsiaTheme="minorEastAsia"/>
          <w:b/>
          <w:sz w:val="24"/>
          <w:szCs w:val="24"/>
        </w:rPr>
        <w:t>设计代表船型主尺度表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3578"/>
        <w:gridCol w:w="911"/>
        <w:gridCol w:w="911"/>
        <w:gridCol w:w="1537"/>
        <w:gridCol w:w="21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65" w:type="pct"/>
            <w:vAlign w:val="center"/>
          </w:tcPr>
          <w:p>
            <w:pPr>
              <w:adjustRightInd w:val="0"/>
              <w:snapToGrid w:val="0"/>
              <w:jc w:val="center"/>
              <w:rPr>
                <w:rFonts w:ascii="Times New Roman" w:hAnsi="Times New Roman"/>
                <w:b/>
              </w:rPr>
            </w:pPr>
            <w:r>
              <w:rPr>
                <w:rFonts w:ascii="Times New Roman" w:hAnsi="Times New Roman"/>
                <w:b/>
              </w:rPr>
              <w:t>船型</w:t>
            </w:r>
          </w:p>
        </w:tc>
        <w:tc>
          <w:tcPr>
            <w:tcW w:w="500" w:type="pct"/>
            <w:vAlign w:val="center"/>
          </w:tcPr>
          <w:p>
            <w:pPr>
              <w:adjustRightInd w:val="0"/>
              <w:snapToGrid w:val="0"/>
              <w:jc w:val="center"/>
              <w:rPr>
                <w:rFonts w:ascii="Times New Roman" w:hAnsi="Times New Roman"/>
                <w:b/>
              </w:rPr>
            </w:pPr>
            <w:r>
              <w:rPr>
                <w:rFonts w:ascii="Times New Roman" w:hAnsi="Times New Roman"/>
                <w:b/>
              </w:rPr>
              <w:t>总长</w:t>
            </w:r>
          </w:p>
        </w:tc>
        <w:tc>
          <w:tcPr>
            <w:tcW w:w="500" w:type="pct"/>
            <w:vAlign w:val="center"/>
          </w:tcPr>
          <w:p>
            <w:pPr>
              <w:adjustRightInd w:val="0"/>
              <w:snapToGrid w:val="0"/>
              <w:jc w:val="center"/>
              <w:rPr>
                <w:rFonts w:ascii="Times New Roman" w:hAnsi="Times New Roman"/>
                <w:b/>
              </w:rPr>
            </w:pPr>
            <w:r>
              <w:rPr>
                <w:rFonts w:ascii="Times New Roman" w:hAnsi="Times New Roman"/>
                <w:b/>
              </w:rPr>
              <w:t>型宽</w:t>
            </w:r>
          </w:p>
        </w:tc>
        <w:tc>
          <w:tcPr>
            <w:tcW w:w="844" w:type="pct"/>
            <w:vAlign w:val="center"/>
          </w:tcPr>
          <w:p>
            <w:pPr>
              <w:adjustRightInd w:val="0"/>
              <w:snapToGrid w:val="0"/>
              <w:jc w:val="center"/>
              <w:rPr>
                <w:rFonts w:ascii="Times New Roman" w:hAnsi="Times New Roman"/>
                <w:b/>
              </w:rPr>
            </w:pPr>
            <w:r>
              <w:rPr>
                <w:rFonts w:ascii="Times New Roman" w:hAnsi="Times New Roman"/>
                <w:b/>
              </w:rPr>
              <w:t>吃水</w:t>
            </w:r>
          </w:p>
        </w:tc>
        <w:tc>
          <w:tcPr>
            <w:tcW w:w="1188" w:type="pct"/>
            <w:vAlign w:val="center"/>
          </w:tcPr>
          <w:p>
            <w:pPr>
              <w:adjustRightInd w:val="0"/>
              <w:snapToGrid w:val="0"/>
              <w:jc w:val="center"/>
              <w:rPr>
                <w:rFonts w:ascii="Times New Roman" w:hAnsi="Times New Roman"/>
                <w:b/>
              </w:rPr>
            </w:pPr>
            <w:r>
              <w:rPr>
                <w:rFonts w:ascii="Times New Roman" w:hAnsi="Times New Roman"/>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65" w:type="pct"/>
            <w:vAlign w:val="center"/>
          </w:tcPr>
          <w:p>
            <w:pPr>
              <w:adjustRightInd w:val="0"/>
              <w:snapToGrid w:val="0"/>
              <w:jc w:val="center"/>
              <w:rPr>
                <w:rFonts w:ascii="Times New Roman" w:hAnsi="Times New Roman"/>
              </w:rPr>
            </w:pPr>
            <w:r>
              <w:rPr>
                <w:rFonts w:ascii="Times New Roman" w:hAnsi="Times New Roman"/>
              </w:rPr>
              <w:t>3000吨级内河散货货船</w:t>
            </w:r>
          </w:p>
        </w:tc>
        <w:tc>
          <w:tcPr>
            <w:tcW w:w="500" w:type="pct"/>
            <w:vAlign w:val="center"/>
          </w:tcPr>
          <w:p>
            <w:pPr>
              <w:adjustRightInd w:val="0"/>
              <w:snapToGrid w:val="0"/>
              <w:jc w:val="center"/>
              <w:rPr>
                <w:rFonts w:ascii="Times New Roman" w:hAnsi="Times New Roman"/>
              </w:rPr>
            </w:pPr>
            <w:r>
              <w:rPr>
                <w:rFonts w:ascii="Times New Roman" w:hAnsi="Times New Roman"/>
              </w:rPr>
              <w:t>110</w:t>
            </w:r>
          </w:p>
        </w:tc>
        <w:tc>
          <w:tcPr>
            <w:tcW w:w="500" w:type="pct"/>
            <w:vAlign w:val="center"/>
          </w:tcPr>
          <w:p>
            <w:pPr>
              <w:adjustRightInd w:val="0"/>
              <w:snapToGrid w:val="0"/>
              <w:jc w:val="center"/>
              <w:rPr>
                <w:rFonts w:ascii="Times New Roman" w:hAnsi="Times New Roman"/>
              </w:rPr>
            </w:pPr>
            <w:r>
              <w:rPr>
                <w:rFonts w:ascii="Times New Roman" w:hAnsi="Times New Roman"/>
              </w:rPr>
              <w:t>16.2</w:t>
            </w:r>
          </w:p>
        </w:tc>
        <w:tc>
          <w:tcPr>
            <w:tcW w:w="844" w:type="pct"/>
            <w:vAlign w:val="center"/>
          </w:tcPr>
          <w:p>
            <w:pPr>
              <w:adjustRightInd w:val="0"/>
              <w:snapToGrid w:val="0"/>
              <w:jc w:val="center"/>
              <w:rPr>
                <w:rFonts w:ascii="Times New Roman" w:hAnsi="Times New Roman"/>
              </w:rPr>
            </w:pPr>
            <w:r>
              <w:rPr>
                <w:rFonts w:ascii="Times New Roman" w:hAnsi="Times New Roman"/>
              </w:rPr>
              <w:t>3.0</w:t>
            </w:r>
          </w:p>
        </w:tc>
        <w:tc>
          <w:tcPr>
            <w:tcW w:w="1188" w:type="pct"/>
            <w:vAlign w:val="center"/>
          </w:tcPr>
          <w:p>
            <w:pPr>
              <w:adjustRightInd w:val="0"/>
              <w:snapToGrid w:val="0"/>
              <w:jc w:val="center"/>
              <w:rPr>
                <w:rFonts w:ascii="Times New Roman" w:hAnsi="Times New Roman"/>
              </w:rPr>
            </w:pPr>
            <w:r>
              <w:rPr>
                <w:rFonts w:ascii="Times New Roman" w:hAnsi="Times New Roman"/>
              </w:rPr>
              <w:t>设计代表船型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65" w:type="pct"/>
            <w:vAlign w:val="center"/>
          </w:tcPr>
          <w:p>
            <w:pPr>
              <w:adjustRightInd w:val="0"/>
              <w:snapToGrid w:val="0"/>
              <w:jc w:val="center"/>
              <w:rPr>
                <w:rFonts w:ascii="Times New Roman" w:hAnsi="Times New Roman"/>
              </w:rPr>
            </w:pPr>
            <w:r>
              <w:rPr>
                <w:rFonts w:ascii="Times New Roman" w:hAnsi="Times New Roman"/>
              </w:rPr>
              <w:t>5000吨级内河散货货船</w:t>
            </w:r>
          </w:p>
        </w:tc>
        <w:tc>
          <w:tcPr>
            <w:tcW w:w="500" w:type="pct"/>
            <w:vAlign w:val="center"/>
          </w:tcPr>
          <w:p>
            <w:pPr>
              <w:adjustRightInd w:val="0"/>
              <w:snapToGrid w:val="0"/>
              <w:jc w:val="center"/>
              <w:rPr>
                <w:rFonts w:ascii="Times New Roman" w:hAnsi="Times New Roman"/>
              </w:rPr>
            </w:pPr>
            <w:r>
              <w:rPr>
                <w:rFonts w:ascii="Times New Roman" w:hAnsi="Times New Roman"/>
              </w:rPr>
              <w:t>110</w:t>
            </w:r>
          </w:p>
        </w:tc>
        <w:tc>
          <w:tcPr>
            <w:tcW w:w="500" w:type="pct"/>
            <w:vAlign w:val="center"/>
          </w:tcPr>
          <w:p>
            <w:pPr>
              <w:adjustRightInd w:val="0"/>
              <w:snapToGrid w:val="0"/>
              <w:jc w:val="center"/>
              <w:rPr>
                <w:rFonts w:ascii="Times New Roman" w:hAnsi="Times New Roman"/>
              </w:rPr>
            </w:pPr>
            <w:r>
              <w:rPr>
                <w:rFonts w:ascii="Times New Roman" w:hAnsi="Times New Roman"/>
              </w:rPr>
              <w:t>19.2</w:t>
            </w:r>
          </w:p>
        </w:tc>
        <w:tc>
          <w:tcPr>
            <w:tcW w:w="844" w:type="pct"/>
            <w:vAlign w:val="center"/>
          </w:tcPr>
          <w:p>
            <w:pPr>
              <w:adjustRightInd w:val="0"/>
              <w:snapToGrid w:val="0"/>
              <w:jc w:val="center"/>
              <w:rPr>
                <w:rFonts w:ascii="Times New Roman" w:hAnsi="Times New Roman"/>
              </w:rPr>
            </w:pPr>
            <w:r>
              <w:rPr>
                <w:rFonts w:ascii="Times New Roman" w:hAnsi="Times New Roman"/>
              </w:rPr>
              <w:t>4.0</w:t>
            </w:r>
          </w:p>
        </w:tc>
        <w:tc>
          <w:tcPr>
            <w:tcW w:w="1188" w:type="pct"/>
            <w:vAlign w:val="center"/>
          </w:tcPr>
          <w:p>
            <w:pPr>
              <w:adjustRightInd w:val="0"/>
              <w:snapToGrid w:val="0"/>
              <w:jc w:val="center"/>
              <w:rPr>
                <w:rFonts w:ascii="Times New Roman" w:hAnsi="Times New Roman"/>
              </w:rPr>
            </w:pPr>
            <w:r>
              <w:rPr>
                <w:rFonts w:ascii="Times New Roman" w:hAnsi="Times New Roman"/>
              </w:rPr>
              <w:t>设计船型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65" w:type="pct"/>
            <w:vAlign w:val="center"/>
          </w:tcPr>
          <w:p>
            <w:pPr>
              <w:adjustRightInd w:val="0"/>
              <w:snapToGrid w:val="0"/>
              <w:jc w:val="center"/>
              <w:rPr>
                <w:rFonts w:ascii="Times New Roman" w:hAnsi="Times New Roman"/>
              </w:rPr>
            </w:pPr>
            <w:r>
              <w:rPr>
                <w:rFonts w:ascii="Times New Roman" w:hAnsi="Times New Roman"/>
              </w:rPr>
              <w:t>10000吨级江海直达货船</w:t>
            </w:r>
          </w:p>
        </w:tc>
        <w:tc>
          <w:tcPr>
            <w:tcW w:w="500" w:type="pct"/>
            <w:vAlign w:val="center"/>
          </w:tcPr>
          <w:p>
            <w:pPr>
              <w:adjustRightInd w:val="0"/>
              <w:snapToGrid w:val="0"/>
              <w:jc w:val="center"/>
              <w:rPr>
                <w:rFonts w:ascii="Times New Roman" w:hAnsi="Times New Roman"/>
              </w:rPr>
            </w:pPr>
            <w:r>
              <w:rPr>
                <w:rFonts w:ascii="Times New Roman" w:hAnsi="Times New Roman"/>
              </w:rPr>
              <w:t>114</w:t>
            </w:r>
          </w:p>
        </w:tc>
        <w:tc>
          <w:tcPr>
            <w:tcW w:w="500" w:type="pct"/>
            <w:vAlign w:val="center"/>
          </w:tcPr>
          <w:p>
            <w:pPr>
              <w:adjustRightInd w:val="0"/>
              <w:snapToGrid w:val="0"/>
              <w:jc w:val="center"/>
              <w:rPr>
                <w:rFonts w:ascii="Times New Roman" w:hAnsi="Times New Roman"/>
              </w:rPr>
            </w:pPr>
            <w:r>
              <w:rPr>
                <w:rFonts w:ascii="Times New Roman" w:hAnsi="Times New Roman"/>
              </w:rPr>
              <w:t>20</w:t>
            </w:r>
          </w:p>
        </w:tc>
        <w:tc>
          <w:tcPr>
            <w:tcW w:w="844" w:type="pct"/>
            <w:vAlign w:val="center"/>
          </w:tcPr>
          <w:p>
            <w:pPr>
              <w:adjustRightInd w:val="0"/>
              <w:snapToGrid w:val="0"/>
              <w:jc w:val="center"/>
              <w:rPr>
                <w:rFonts w:ascii="Times New Roman" w:hAnsi="Times New Roman"/>
              </w:rPr>
            </w:pPr>
            <w:r>
              <w:rPr>
                <w:rFonts w:ascii="Times New Roman" w:hAnsi="Times New Roman"/>
              </w:rPr>
              <w:t>6.0</w:t>
            </w:r>
          </w:p>
        </w:tc>
        <w:tc>
          <w:tcPr>
            <w:tcW w:w="1188" w:type="pct"/>
            <w:vAlign w:val="center"/>
          </w:tcPr>
          <w:p>
            <w:pPr>
              <w:adjustRightInd w:val="0"/>
              <w:snapToGrid w:val="0"/>
              <w:jc w:val="center"/>
              <w:rPr>
                <w:rFonts w:ascii="Times New Roman" w:hAnsi="Times New Roman"/>
              </w:rPr>
            </w:pPr>
            <w:r>
              <w:rPr>
                <w:rFonts w:ascii="Times New Roman" w:hAnsi="Times New Roman"/>
              </w:rPr>
              <w:t>设计船型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965" w:type="pct"/>
            <w:vAlign w:val="center"/>
          </w:tcPr>
          <w:p>
            <w:pPr>
              <w:adjustRightInd w:val="0"/>
              <w:snapToGrid w:val="0"/>
              <w:jc w:val="center"/>
              <w:rPr>
                <w:rFonts w:ascii="Times New Roman" w:hAnsi="Times New Roman"/>
              </w:rPr>
            </w:pPr>
            <w:r>
              <w:rPr>
                <w:rFonts w:ascii="Times New Roman" w:hAnsi="Times New Roman"/>
              </w:rPr>
              <w:t>10000吨级内河散货货船</w:t>
            </w:r>
          </w:p>
        </w:tc>
        <w:tc>
          <w:tcPr>
            <w:tcW w:w="500" w:type="pct"/>
            <w:vAlign w:val="center"/>
          </w:tcPr>
          <w:p>
            <w:pPr>
              <w:adjustRightInd w:val="0"/>
              <w:snapToGrid w:val="0"/>
              <w:jc w:val="center"/>
              <w:rPr>
                <w:rFonts w:ascii="Times New Roman" w:hAnsi="Times New Roman"/>
              </w:rPr>
            </w:pPr>
            <w:r>
              <w:rPr>
                <w:rFonts w:ascii="Times New Roman" w:hAnsi="Times New Roman"/>
              </w:rPr>
              <w:t>123</w:t>
            </w:r>
          </w:p>
        </w:tc>
        <w:tc>
          <w:tcPr>
            <w:tcW w:w="500" w:type="pct"/>
            <w:vAlign w:val="center"/>
          </w:tcPr>
          <w:p>
            <w:pPr>
              <w:adjustRightInd w:val="0"/>
              <w:snapToGrid w:val="0"/>
              <w:jc w:val="center"/>
              <w:rPr>
                <w:rFonts w:ascii="Times New Roman" w:hAnsi="Times New Roman"/>
              </w:rPr>
            </w:pPr>
            <w:r>
              <w:rPr>
                <w:rFonts w:ascii="Times New Roman" w:hAnsi="Times New Roman"/>
              </w:rPr>
              <w:t>21.6</w:t>
            </w:r>
          </w:p>
        </w:tc>
        <w:tc>
          <w:tcPr>
            <w:tcW w:w="844" w:type="pct"/>
            <w:vAlign w:val="center"/>
          </w:tcPr>
          <w:p>
            <w:pPr>
              <w:adjustRightInd w:val="0"/>
              <w:snapToGrid w:val="0"/>
              <w:jc w:val="center"/>
              <w:rPr>
                <w:rFonts w:ascii="Times New Roman" w:hAnsi="Times New Roman"/>
              </w:rPr>
            </w:pPr>
            <w:r>
              <w:rPr>
                <w:rFonts w:ascii="Times New Roman" w:hAnsi="Times New Roman"/>
              </w:rPr>
              <w:t>5.8</w:t>
            </w:r>
          </w:p>
        </w:tc>
        <w:tc>
          <w:tcPr>
            <w:tcW w:w="1188" w:type="pct"/>
            <w:vAlign w:val="center"/>
          </w:tcPr>
          <w:p>
            <w:pPr>
              <w:adjustRightInd w:val="0"/>
              <w:snapToGrid w:val="0"/>
              <w:jc w:val="center"/>
              <w:rPr>
                <w:rFonts w:ascii="Times New Roman" w:hAnsi="Times New Roman"/>
              </w:rPr>
            </w:pPr>
            <w:r>
              <w:rPr>
                <w:rFonts w:ascii="Times New Roman" w:hAnsi="Times New Roman"/>
              </w:rPr>
              <w:t>兼顾船型</w:t>
            </w:r>
          </w:p>
        </w:tc>
      </w:tr>
    </w:tbl>
    <w:p>
      <w:pPr>
        <w:pStyle w:val="325"/>
        <w:tabs>
          <w:tab w:val="right" w:leader="dot" w:pos="9070"/>
        </w:tabs>
        <w:adjustRightInd w:val="0"/>
        <w:snapToGrid w:val="0"/>
        <w:spacing w:line="360" w:lineRule="auto"/>
        <w:jc w:val="both"/>
        <w:rPr>
          <w:kern w:val="2"/>
          <w:sz w:val="21"/>
          <w:szCs w:val="21"/>
        </w:rPr>
      </w:pPr>
      <w:r>
        <w:rPr>
          <w:kern w:val="2"/>
          <w:sz w:val="21"/>
          <w:szCs w:val="21"/>
        </w:rPr>
        <w:t>注：3000吨级内河散货货船每年到港18艘，5000吨级内河散货货船每年到港180艘，10000吨级内河散货货船每年到港162艘。</w:t>
      </w:r>
    </w:p>
    <w:p>
      <w:pPr>
        <w:pStyle w:val="325"/>
        <w:tabs>
          <w:tab w:val="right" w:leader="dot" w:pos="9070"/>
        </w:tabs>
        <w:adjustRightInd w:val="0"/>
        <w:snapToGrid w:val="0"/>
        <w:spacing w:line="360" w:lineRule="auto"/>
        <w:ind w:firstLine="480" w:firstLineChars="200"/>
        <w:jc w:val="both"/>
        <w:rPr>
          <w:rFonts w:eastAsiaTheme="minorEastAsia"/>
          <w:color w:val="000000"/>
          <w:sz w:val="24"/>
          <w:szCs w:val="24"/>
          <w:lang w:bidi="ar"/>
        </w:rPr>
      </w:pPr>
    </w:p>
    <w:p>
      <w:pPr>
        <w:pStyle w:val="4"/>
        <w:rPr>
          <w:rFonts w:eastAsiaTheme="minorEastAsia"/>
        </w:rPr>
      </w:pPr>
      <w:r>
        <w:rPr>
          <w:rFonts w:eastAsiaTheme="minorEastAsia"/>
        </w:rPr>
        <w:t>总平面布置情况</w:t>
      </w:r>
    </w:p>
    <w:p>
      <w:pPr>
        <w:pStyle w:val="345"/>
        <w:tabs>
          <w:tab w:val="right" w:leader="dot" w:pos="9070"/>
        </w:tabs>
        <w:snapToGrid w:val="0"/>
        <w:spacing w:line="360" w:lineRule="auto"/>
        <w:ind w:firstLine="480" w:firstLineChars="200"/>
        <w:jc w:val="both"/>
        <w:rPr>
          <w:rFonts w:ascii="Times New Roman" w:eastAsiaTheme="minorEastAsia"/>
        </w:rPr>
      </w:pPr>
      <w:r>
        <w:rPr>
          <w:rFonts w:ascii="Times New Roman" w:eastAsiaTheme="minorEastAsia"/>
        </w:rPr>
        <w:t>本项目位于岳阳港华能电厂作业区，长江中游仙峰水道上段城陵矶擂鼓台下游约600m处的长江右岸，长江中游航道里程228km。本项目依托后方厂区输煤廊道系统，拟拆现有电厂2#泊位并于原址建设1个3000吨级（码头结构按靠泊10000吨级内河散货货船设计）煤炭进口泊位。</w:t>
      </w:r>
    </w:p>
    <w:p>
      <w:pPr>
        <w:pStyle w:val="345"/>
        <w:tabs>
          <w:tab w:val="right" w:leader="dot" w:pos="9070"/>
        </w:tabs>
        <w:snapToGrid w:val="0"/>
        <w:spacing w:line="360" w:lineRule="auto"/>
        <w:ind w:firstLine="480" w:firstLineChars="200"/>
        <w:jc w:val="both"/>
        <w:rPr>
          <w:rFonts w:ascii="Times New Roman" w:eastAsiaTheme="minorEastAsia"/>
        </w:rPr>
      </w:pPr>
      <w:r>
        <w:rPr>
          <w:rFonts w:hint="eastAsia" w:hAnsi="宋体" w:cs="宋体"/>
        </w:rPr>
        <w:t>⑴</w:t>
      </w:r>
      <w:r>
        <w:rPr>
          <w:rFonts w:ascii="Times New Roman" w:eastAsiaTheme="minorEastAsia"/>
        </w:rPr>
        <w:t xml:space="preserve"> 码头前沿线布置</w:t>
      </w:r>
    </w:p>
    <w:p>
      <w:pPr>
        <w:pStyle w:val="345"/>
        <w:tabs>
          <w:tab w:val="right" w:leader="dot" w:pos="9070"/>
        </w:tabs>
        <w:snapToGrid w:val="0"/>
        <w:spacing w:line="360" w:lineRule="auto"/>
        <w:ind w:firstLine="480" w:firstLineChars="200"/>
        <w:jc w:val="both"/>
        <w:rPr>
          <w:rFonts w:ascii="Times New Roman" w:eastAsiaTheme="minorEastAsia"/>
        </w:rPr>
      </w:pPr>
      <w:r>
        <w:rPr>
          <w:rFonts w:ascii="Times New Roman" w:eastAsiaTheme="minorEastAsia"/>
        </w:rPr>
        <w:t>综合考虑拟建码头区的水流、自然地形条件和前沿水深要求，本项目码头前沿线布置在10m~6m等高线附近。由于本项目河段洪水期水流流态不稳定，且现有1#泊位前沿线贴近主航道，为尽量避免本项目船舶停靠时对通航船舶的影响，减少洪水期水流对本项目船舶的影响，在保证总体规划要求的不占用下游生活趸船水域，且不影响上游已建1#泊位10000吨级内河散货船停靠的情况下。本项目码头前沿线比现有1#泊位前沿线后退3m。码头前沿线方位角为138°3′22″~318°3′22″。</w:t>
      </w:r>
    </w:p>
    <w:p>
      <w:pPr>
        <w:pStyle w:val="345"/>
        <w:tabs>
          <w:tab w:val="right" w:leader="dot" w:pos="9070"/>
        </w:tabs>
        <w:snapToGrid w:val="0"/>
        <w:spacing w:line="360" w:lineRule="auto"/>
        <w:ind w:firstLine="480" w:firstLineChars="200"/>
        <w:jc w:val="both"/>
        <w:rPr>
          <w:rFonts w:ascii="Times New Roman" w:eastAsiaTheme="minorEastAsia"/>
        </w:rPr>
      </w:pPr>
      <w:r>
        <w:rPr>
          <w:rFonts w:hint="eastAsia" w:hAnsi="宋体" w:cs="宋体"/>
        </w:rPr>
        <w:t>⑵</w:t>
      </w:r>
      <w:r>
        <w:rPr>
          <w:rFonts w:ascii="Times New Roman" w:eastAsiaTheme="minorEastAsia"/>
        </w:rPr>
        <w:t xml:space="preserve"> 码头平面布置</w:t>
      </w:r>
    </w:p>
    <w:p>
      <w:pPr>
        <w:pStyle w:val="345"/>
        <w:tabs>
          <w:tab w:val="right" w:leader="dot" w:pos="9070"/>
        </w:tabs>
        <w:snapToGrid w:val="0"/>
        <w:spacing w:line="360" w:lineRule="auto"/>
        <w:ind w:firstLine="480" w:firstLineChars="200"/>
        <w:jc w:val="both"/>
        <w:rPr>
          <w:rFonts w:ascii="Times New Roman" w:eastAsiaTheme="minorEastAsia"/>
        </w:rPr>
      </w:pPr>
      <w:r>
        <w:rPr>
          <w:rFonts w:ascii="Times New Roman" w:eastAsiaTheme="minorEastAsia"/>
        </w:rPr>
        <w:t>码头结构采取浮式趸船结构。布置1个3000吨级（码头结构按靠泊10000吨级内河散货货船设计）煤炭进口泊位。</w:t>
      </w:r>
    </w:p>
    <w:p>
      <w:pPr>
        <w:pStyle w:val="345"/>
        <w:tabs>
          <w:tab w:val="right" w:leader="dot" w:pos="9070"/>
        </w:tabs>
        <w:snapToGrid w:val="0"/>
        <w:spacing w:line="360" w:lineRule="auto"/>
        <w:ind w:firstLine="480" w:firstLineChars="200"/>
        <w:jc w:val="both"/>
        <w:rPr>
          <w:rFonts w:ascii="Times New Roman" w:eastAsiaTheme="minorEastAsia"/>
        </w:rPr>
      </w:pPr>
      <w:r>
        <w:rPr>
          <w:rFonts w:ascii="Times New Roman" w:eastAsiaTheme="minorEastAsia"/>
        </w:rPr>
        <w:t>码头平面由一座80×20×3.2m趸船组成。趸船两侧设置定位桩，岸侧设置2个地牛，散货船首尾缆通过地牛系泊。</w:t>
      </w:r>
    </w:p>
    <w:p>
      <w:pPr>
        <w:pStyle w:val="345"/>
        <w:tabs>
          <w:tab w:val="right" w:leader="dot" w:pos="9070"/>
        </w:tabs>
        <w:snapToGrid w:val="0"/>
        <w:spacing w:line="360" w:lineRule="auto"/>
        <w:ind w:firstLine="480" w:firstLineChars="200"/>
        <w:jc w:val="both"/>
        <w:rPr>
          <w:rFonts w:ascii="Times New Roman" w:eastAsiaTheme="minorEastAsia"/>
        </w:rPr>
      </w:pPr>
      <w:r>
        <w:rPr>
          <w:rFonts w:ascii="Times New Roman" w:eastAsiaTheme="minorEastAsia"/>
        </w:rPr>
        <w:t>新建T1转运站墩台（12×11m+10×6m）与趸船之间通过已有59.55×4.2m钢引桥相连，并通过18.25m皮带机与已建C01转运站相连，新建T2转运站墩台尺度为14×10m，通过BC4皮带机廊道与大堤内侧T3转运站相连接，BC4皮带机廊道与已有皮带机廊道紧挨建设。</w:t>
      </w:r>
    </w:p>
    <w:p>
      <w:pPr>
        <w:pStyle w:val="345"/>
        <w:tabs>
          <w:tab w:val="right" w:leader="dot" w:pos="9070"/>
        </w:tabs>
        <w:snapToGrid w:val="0"/>
        <w:spacing w:line="360" w:lineRule="auto"/>
        <w:ind w:firstLine="480" w:firstLineChars="200"/>
        <w:jc w:val="both"/>
        <w:rPr>
          <w:rFonts w:ascii="Times New Roman" w:eastAsiaTheme="minorEastAsia"/>
        </w:rPr>
      </w:pPr>
      <w:r>
        <w:rPr>
          <w:rFonts w:ascii="Times New Roman" w:eastAsiaTheme="minorEastAsia"/>
        </w:rPr>
        <w:t>陆域T3及T4转运站与已有转运站合并建设，T3转运站至T4转运站之间新建一条约625.55m长带式输送机廊道，与现有廊道净距满足相关消防要求。T3转运站附近建设采制样间、生产污水及生活污水处理站。</w:t>
      </w:r>
    </w:p>
    <w:p>
      <w:pPr>
        <w:pStyle w:val="345"/>
        <w:tabs>
          <w:tab w:val="right" w:leader="dot" w:pos="9070"/>
        </w:tabs>
        <w:snapToGrid w:val="0"/>
        <w:spacing w:line="360" w:lineRule="auto"/>
        <w:ind w:firstLine="480" w:firstLineChars="200"/>
        <w:jc w:val="both"/>
        <w:rPr>
          <w:rFonts w:ascii="Times New Roman" w:eastAsiaTheme="minorEastAsia"/>
        </w:rPr>
      </w:pPr>
      <w:r>
        <w:rPr>
          <w:rFonts w:ascii="Times New Roman" w:eastAsiaTheme="minorEastAsia"/>
        </w:rPr>
        <w:t>本次提质改造的范围不涉及后方陆域堆场，陆域依托后方厂区，无征地，无拆迁。</w:t>
      </w:r>
    </w:p>
    <w:p>
      <w:pPr>
        <w:adjustRightInd w:val="0"/>
        <w:snapToGrid w:val="0"/>
        <w:spacing w:line="360" w:lineRule="auto"/>
        <w:rPr>
          <w:rFonts w:ascii="Times New Roman" w:hAnsi="Times New Roman" w:eastAsiaTheme="minorEastAsia"/>
          <w:color w:val="000000"/>
          <w:kern w:val="0"/>
          <w:sz w:val="24"/>
          <w:szCs w:val="24"/>
          <w:lang w:bidi="ar"/>
        </w:rPr>
      </w:pPr>
      <w:r>
        <w:rPr>
          <w:rFonts w:ascii="Times New Roman" w:hAnsi="Times New Roman"/>
        </w:rPr>
        <w:drawing>
          <wp:inline distT="0" distB="0" distL="0" distR="0">
            <wp:extent cx="5759450" cy="36982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8"/>
                    <a:stretch>
                      <a:fillRect/>
                    </a:stretch>
                  </pic:blipFill>
                  <pic:spPr>
                    <a:xfrm>
                      <a:off x="0" y="0"/>
                      <a:ext cx="5759450" cy="3698240"/>
                    </a:xfrm>
                    <a:prstGeom prst="rect">
                      <a:avLst/>
                    </a:prstGeom>
                  </pic:spPr>
                </pic:pic>
              </a:graphicData>
            </a:graphic>
          </wp:inline>
        </w:drawing>
      </w:r>
    </w:p>
    <w:p>
      <w:pPr>
        <w:adjustRightInd w:val="0"/>
        <w:snapToGrid w:val="0"/>
        <w:spacing w:line="360" w:lineRule="auto"/>
        <w:jc w:val="center"/>
        <w:rPr>
          <w:rFonts w:ascii="Times New Roman" w:hAnsi="Times New Roman" w:eastAsiaTheme="minorEastAsia"/>
          <w:color w:val="000000"/>
          <w:kern w:val="0"/>
          <w:sz w:val="24"/>
          <w:szCs w:val="24"/>
          <w:lang w:bidi="ar"/>
        </w:rPr>
      </w:pPr>
      <w:r>
        <w:rPr>
          <w:rFonts w:ascii="Times New Roman" w:hAnsi="Times New Roman" w:eastAsiaTheme="minorEastAsia"/>
          <w:b/>
          <w:color w:val="000000"/>
          <w:kern w:val="0"/>
          <w:sz w:val="24"/>
          <w:szCs w:val="24"/>
          <w:lang w:bidi="ar"/>
        </w:rPr>
        <w:t>图3.2-1  本项目平面布置图</w:t>
      </w:r>
    </w:p>
    <w:p>
      <w:pPr>
        <w:pStyle w:val="5"/>
        <w:rPr>
          <w:rFonts w:eastAsiaTheme="minorEastAsia"/>
        </w:rPr>
      </w:pPr>
      <w:r>
        <w:rPr>
          <w:rFonts w:eastAsiaTheme="minorEastAsia"/>
        </w:rPr>
        <w:t>设计主尺度</w:t>
      </w:r>
    </w:p>
    <w:p>
      <w:pPr>
        <w:widowControl/>
        <w:adjustRightInd w:val="0"/>
        <w:snapToGrid w:val="0"/>
        <w:spacing w:line="360" w:lineRule="auto"/>
        <w:ind w:firstLine="482" w:firstLineChars="200"/>
        <w:rPr>
          <w:rFonts w:ascii="Times New Roman" w:hAnsi="Times New Roman" w:eastAsiaTheme="minorEastAsia"/>
          <w:b/>
          <w:kern w:val="0"/>
          <w:sz w:val="24"/>
          <w:szCs w:val="24"/>
        </w:rPr>
      </w:pPr>
      <w:r>
        <w:rPr>
          <w:rFonts w:ascii="Times New Roman" w:hAnsi="Times New Roman" w:eastAsiaTheme="minorEastAsia"/>
          <w:b/>
          <w:kern w:val="0"/>
          <w:sz w:val="24"/>
          <w:szCs w:val="24"/>
        </w:rPr>
        <w:t>1、泊位长度</w:t>
      </w:r>
    </w:p>
    <w:p>
      <w:pPr>
        <w:widowControl/>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码头泊位近期停靠3000吨级内河散货船，远期考虑停靠10000吨级内河散货船，泊位长度需满足1#泊位停靠10000吨级内河散货船时，本项目1艘3000吨级或一艘10000吨级内河散货船可安全靠离、系缆和装卸作业的需要。</w:t>
      </w:r>
    </w:p>
    <w:p>
      <w:pPr>
        <w:widowControl/>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根据规范按下式计算：</w:t>
      </w:r>
    </w:p>
    <w:p>
      <w:pPr>
        <w:widowControl/>
        <w:adjustRightInd w:val="0"/>
        <w:snapToGrid w:val="0"/>
        <w:spacing w:line="360" w:lineRule="auto"/>
        <w:jc w:val="center"/>
        <w:rPr>
          <w:rFonts w:ascii="Times New Roman" w:hAnsi="Times New Roman"/>
          <w:kern w:val="0"/>
          <w:sz w:val="24"/>
          <w:szCs w:val="24"/>
        </w:rPr>
      </w:pPr>
      <w:r>
        <w:rPr>
          <w:rFonts w:ascii="Times New Roman" w:hAnsi="Times New Roman"/>
          <w:color w:val="000000"/>
          <w:kern w:val="0"/>
          <w:sz w:val="24"/>
          <w:szCs w:val="24"/>
        </w:rPr>
        <w:t>L</w:t>
      </w:r>
      <w:r>
        <w:rPr>
          <w:rFonts w:ascii="Times New Roman" w:hAnsi="Times New Roman"/>
          <w:color w:val="000000"/>
          <w:kern w:val="0"/>
          <w:sz w:val="24"/>
          <w:szCs w:val="24"/>
          <w:vertAlign w:val="subscript"/>
        </w:rPr>
        <w:t>b</w:t>
      </w:r>
      <w:r>
        <w:rPr>
          <w:rFonts w:ascii="Times New Roman" w:hAnsi="Times New Roman"/>
          <w:color w:val="000000"/>
          <w:kern w:val="0"/>
          <w:sz w:val="24"/>
          <w:szCs w:val="24"/>
        </w:rPr>
        <w:t>= d</w:t>
      </w:r>
      <w:r>
        <w:rPr>
          <w:rFonts w:ascii="Times New Roman" w:hAnsi="Times New Roman"/>
          <w:color w:val="000000"/>
          <w:kern w:val="0"/>
          <w:sz w:val="24"/>
          <w:szCs w:val="24"/>
          <w:vertAlign w:val="subscript"/>
        </w:rPr>
        <w:t>1</w:t>
      </w:r>
      <w:r>
        <w:rPr>
          <w:rFonts w:ascii="Times New Roman" w:hAnsi="Times New Roman"/>
          <w:color w:val="000000"/>
          <w:kern w:val="0"/>
          <w:sz w:val="24"/>
          <w:szCs w:val="24"/>
        </w:rPr>
        <w:t>+L+d</w:t>
      </w:r>
      <w:r>
        <w:rPr>
          <w:rFonts w:ascii="Times New Roman" w:hAnsi="Times New Roman"/>
          <w:color w:val="000000"/>
          <w:kern w:val="0"/>
          <w:sz w:val="24"/>
          <w:szCs w:val="24"/>
          <w:vertAlign w:val="subscript"/>
        </w:rPr>
        <w:t>2</w:t>
      </w:r>
    </w:p>
    <w:p>
      <w:pPr>
        <w:widowControl/>
        <w:adjustRightInd w:val="0"/>
        <w:snapToGrid w:val="0"/>
        <w:spacing w:line="360" w:lineRule="auto"/>
        <w:ind w:firstLine="480" w:firstLineChars="200"/>
        <w:jc w:val="left"/>
        <w:rPr>
          <w:rFonts w:ascii="Times New Roman" w:hAnsi="Times New Roman"/>
          <w:kern w:val="0"/>
          <w:sz w:val="24"/>
          <w:szCs w:val="24"/>
        </w:rPr>
      </w:pPr>
      <w:r>
        <w:rPr>
          <w:rFonts w:ascii="Times New Roman" w:hAnsi="Times New Roman"/>
          <w:color w:val="000000"/>
          <w:kern w:val="0"/>
          <w:sz w:val="24"/>
          <w:szCs w:val="24"/>
        </w:rPr>
        <w:t>式中：L</w:t>
      </w:r>
      <w:r>
        <w:rPr>
          <w:rFonts w:ascii="Times New Roman" w:hAnsi="Times New Roman"/>
          <w:color w:val="000000"/>
          <w:kern w:val="0"/>
          <w:sz w:val="24"/>
          <w:szCs w:val="24"/>
          <w:vertAlign w:val="subscript"/>
        </w:rPr>
        <w:t>b</w:t>
      </w:r>
      <w:r>
        <w:rPr>
          <w:rFonts w:ascii="Times New Roman" w:hAnsi="Times New Roman"/>
          <w:color w:val="000000"/>
          <w:kern w:val="0"/>
          <w:sz w:val="24"/>
          <w:szCs w:val="24"/>
        </w:rPr>
        <w:t>——码头泊位长度（m）；</w:t>
      </w:r>
    </w:p>
    <w:p>
      <w:pPr>
        <w:widowControl/>
        <w:adjustRightInd w:val="0"/>
        <w:snapToGrid w:val="0"/>
        <w:spacing w:line="360" w:lineRule="auto"/>
        <w:ind w:firstLine="1200" w:firstLineChars="500"/>
        <w:jc w:val="left"/>
        <w:rPr>
          <w:rFonts w:ascii="Times New Roman" w:hAnsi="Times New Roman"/>
          <w:color w:val="000000"/>
          <w:kern w:val="0"/>
          <w:sz w:val="24"/>
          <w:szCs w:val="24"/>
        </w:rPr>
      </w:pPr>
      <w:r>
        <w:rPr>
          <w:rFonts w:ascii="Times New Roman" w:hAnsi="Times New Roman"/>
          <w:color w:val="000000"/>
          <w:kern w:val="0"/>
          <w:sz w:val="24"/>
          <w:szCs w:val="24"/>
        </w:rPr>
        <w:t>L——设计船型船长（m）；</w:t>
      </w:r>
    </w:p>
    <w:p>
      <w:pPr>
        <w:widowControl/>
        <w:adjustRightInd w:val="0"/>
        <w:snapToGrid w:val="0"/>
        <w:spacing w:line="360" w:lineRule="auto"/>
        <w:ind w:firstLine="1200" w:firstLineChars="500"/>
        <w:jc w:val="left"/>
        <w:rPr>
          <w:rFonts w:ascii="Times New Roman" w:hAnsi="Times New Roman"/>
          <w:kern w:val="0"/>
          <w:sz w:val="24"/>
          <w:szCs w:val="24"/>
        </w:rPr>
      </w:pPr>
      <w:r>
        <w:rPr>
          <w:rFonts w:ascii="Times New Roman" w:hAnsi="Times New Roman"/>
          <w:color w:val="000000"/>
          <w:kern w:val="0"/>
          <w:sz w:val="24"/>
          <w:szCs w:val="24"/>
        </w:rPr>
        <w:t>d</w:t>
      </w:r>
      <w:r>
        <w:rPr>
          <w:rFonts w:ascii="Times New Roman" w:hAnsi="Times New Roman"/>
          <w:color w:val="000000"/>
          <w:kern w:val="0"/>
          <w:sz w:val="24"/>
          <w:szCs w:val="24"/>
          <w:vertAlign w:val="subscript"/>
        </w:rPr>
        <w:t>1</w:t>
      </w:r>
      <w:r>
        <w:rPr>
          <w:rFonts w:ascii="Times New Roman" w:hAnsi="Times New Roman"/>
          <w:color w:val="000000"/>
          <w:kern w:val="0"/>
          <w:sz w:val="24"/>
          <w:szCs w:val="24"/>
        </w:rPr>
        <w:t>、d</w:t>
      </w:r>
      <w:r>
        <w:rPr>
          <w:rFonts w:ascii="Times New Roman" w:hAnsi="Times New Roman"/>
          <w:color w:val="000000"/>
          <w:kern w:val="0"/>
          <w:sz w:val="24"/>
          <w:szCs w:val="24"/>
          <w:vertAlign w:val="subscript"/>
        </w:rPr>
        <w:t>2</w:t>
      </w:r>
      <w:r>
        <w:rPr>
          <w:rFonts w:ascii="Times New Roman" w:hAnsi="Times New Roman"/>
          <w:color w:val="000000"/>
          <w:kern w:val="0"/>
          <w:sz w:val="24"/>
          <w:szCs w:val="24"/>
        </w:rPr>
        <w:t>——富裕长度（m）；</w:t>
      </w:r>
    </w:p>
    <w:p>
      <w:pPr>
        <w:widowControl/>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color w:val="000000"/>
          <w:kern w:val="0"/>
          <w:sz w:val="24"/>
          <w:szCs w:val="24"/>
        </w:rPr>
        <w:t>本项目上游侧与1#泊位相接，为尽量避免本项目船舶停靠时对通航船舶的影响，减少洪水期水流对本项目船舶的影响，在保证总体规划要</w:t>
      </w:r>
      <w:r>
        <w:rPr>
          <w:rFonts w:ascii="Times New Roman" w:hAnsi="Times New Roman"/>
          <w:color w:val="000000"/>
          <w:sz w:val="24"/>
          <w:szCs w:val="24"/>
        </w:rPr>
        <w:t>求的不占用下游生活趸船水域，且不影响上游已建1#泊位10000吨级内</w:t>
      </w:r>
      <w:r>
        <w:rPr>
          <w:rFonts w:ascii="Times New Roman" w:hAnsi="Times New Roman"/>
          <w:color w:val="000000"/>
          <w:kern w:val="0"/>
          <w:sz w:val="24"/>
          <w:szCs w:val="24"/>
        </w:rPr>
        <w:t>河散货船停靠的情况下。本项目码头前沿线比现有1#泊位前沿线后退</w:t>
      </w:r>
      <w:r>
        <w:rPr>
          <w:rFonts w:ascii="Times New Roman" w:hAnsi="Times New Roman"/>
          <w:color w:val="000000"/>
          <w:sz w:val="24"/>
          <w:szCs w:val="24"/>
        </w:rPr>
        <w:t>3m。</w:t>
      </w:r>
    </w:p>
    <w:p>
      <w:pPr>
        <w:widowControl/>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color w:val="000000"/>
          <w:kern w:val="0"/>
          <w:sz w:val="24"/>
          <w:szCs w:val="24"/>
        </w:rPr>
        <w:t>因此，考虑远期停靠10000吨级内河散货船，本项目泊位长度取为</w:t>
      </w:r>
      <w:r>
        <w:rPr>
          <w:rFonts w:ascii="Times New Roman" w:hAnsi="Times New Roman"/>
          <w:color w:val="000000"/>
          <w:sz w:val="24"/>
          <w:szCs w:val="24"/>
        </w:rPr>
        <w:t>173m。</w:t>
      </w:r>
    </w:p>
    <w:p>
      <w:pPr>
        <w:pStyle w:val="325"/>
        <w:tabs>
          <w:tab w:val="right" w:leader="dot" w:pos="9070"/>
        </w:tabs>
        <w:adjustRightInd w:val="0"/>
        <w:snapToGrid w:val="0"/>
        <w:spacing w:line="360" w:lineRule="auto"/>
        <w:ind w:firstLine="482" w:firstLineChars="200"/>
        <w:jc w:val="both"/>
        <w:rPr>
          <w:b/>
          <w:color w:val="000000"/>
          <w:sz w:val="24"/>
          <w:szCs w:val="24"/>
        </w:rPr>
      </w:pPr>
      <w:r>
        <w:rPr>
          <w:b/>
          <w:color w:val="000000"/>
          <w:sz w:val="24"/>
          <w:szCs w:val="24"/>
        </w:rPr>
        <w:t>2、码头前沿停泊水域宽度</w:t>
      </w:r>
    </w:p>
    <w:p>
      <w:pPr>
        <w:pStyle w:val="325"/>
        <w:tabs>
          <w:tab w:val="right" w:leader="dot" w:pos="9070"/>
        </w:tabs>
        <w:adjustRightInd w:val="0"/>
        <w:snapToGrid w:val="0"/>
        <w:spacing w:line="360" w:lineRule="auto"/>
        <w:ind w:firstLine="480" w:firstLineChars="200"/>
        <w:jc w:val="both"/>
        <w:rPr>
          <w:color w:val="000000"/>
          <w:sz w:val="24"/>
          <w:szCs w:val="24"/>
        </w:rPr>
      </w:pPr>
      <w:r>
        <w:rPr>
          <w:color w:val="000000"/>
          <w:sz w:val="24"/>
          <w:szCs w:val="24"/>
        </w:rPr>
        <w:t>本项目码头前沿停泊水域宽度按2倍3000吨级内河散货货船船宽考虑，经计算，码头前沿停泊水域宽度为32.4m。</w:t>
      </w:r>
    </w:p>
    <w:p>
      <w:pPr>
        <w:pStyle w:val="325"/>
        <w:tabs>
          <w:tab w:val="right" w:leader="dot" w:pos="9070"/>
        </w:tabs>
        <w:adjustRightInd w:val="0"/>
        <w:snapToGrid w:val="0"/>
        <w:spacing w:line="360" w:lineRule="auto"/>
        <w:ind w:firstLine="482" w:firstLineChars="200"/>
        <w:jc w:val="both"/>
        <w:rPr>
          <w:b/>
          <w:color w:val="000000"/>
          <w:sz w:val="24"/>
          <w:szCs w:val="24"/>
        </w:rPr>
      </w:pPr>
      <w:r>
        <w:rPr>
          <w:b/>
          <w:color w:val="000000"/>
          <w:sz w:val="24"/>
          <w:szCs w:val="24"/>
        </w:rPr>
        <w:t>3、回旋水域</w:t>
      </w:r>
    </w:p>
    <w:p>
      <w:pPr>
        <w:pStyle w:val="325"/>
        <w:tabs>
          <w:tab w:val="right" w:leader="dot" w:pos="9070"/>
        </w:tabs>
        <w:adjustRightInd w:val="0"/>
        <w:snapToGrid w:val="0"/>
        <w:spacing w:line="360" w:lineRule="auto"/>
        <w:ind w:firstLine="480" w:firstLineChars="200"/>
        <w:jc w:val="both"/>
        <w:rPr>
          <w:color w:val="000000"/>
          <w:sz w:val="24"/>
          <w:szCs w:val="24"/>
        </w:rPr>
      </w:pPr>
      <w:r>
        <w:rPr>
          <w:color w:val="000000"/>
          <w:sz w:val="24"/>
          <w:szCs w:val="24"/>
        </w:rPr>
        <w:t>本河段以径流为主且水流流速较大，回旋水域沿水流方向的长度取2.5倍的3000吨级内河散货货船船长，为275m，垂直水流方向的宽度取1.5倍的3000吨级内河散货货船船长，为165m。码头前方水域条件良好，满足船舶靠泊及调头的需要。</w:t>
      </w:r>
    </w:p>
    <w:p>
      <w:pPr>
        <w:pStyle w:val="325"/>
        <w:tabs>
          <w:tab w:val="right" w:leader="dot" w:pos="9070"/>
        </w:tabs>
        <w:adjustRightInd w:val="0"/>
        <w:snapToGrid w:val="0"/>
        <w:spacing w:line="360" w:lineRule="auto"/>
        <w:ind w:firstLine="482" w:firstLineChars="200"/>
        <w:jc w:val="both"/>
        <w:rPr>
          <w:b/>
          <w:color w:val="000000"/>
          <w:sz w:val="24"/>
          <w:szCs w:val="24"/>
        </w:rPr>
      </w:pPr>
      <w:r>
        <w:rPr>
          <w:b/>
          <w:color w:val="000000"/>
          <w:sz w:val="24"/>
          <w:szCs w:val="24"/>
        </w:rPr>
        <w:t>4、趸船尺寸</w:t>
      </w:r>
    </w:p>
    <w:p>
      <w:pPr>
        <w:pStyle w:val="325"/>
        <w:tabs>
          <w:tab w:val="right" w:leader="dot" w:pos="9070"/>
        </w:tabs>
        <w:adjustRightInd w:val="0"/>
        <w:snapToGrid w:val="0"/>
        <w:spacing w:line="360" w:lineRule="auto"/>
        <w:ind w:firstLine="480" w:firstLineChars="200"/>
        <w:jc w:val="both"/>
        <w:rPr>
          <w:color w:val="000000"/>
          <w:sz w:val="24"/>
          <w:szCs w:val="24"/>
        </w:rPr>
      </w:pPr>
      <w:r>
        <w:rPr>
          <w:color w:val="000000"/>
          <w:sz w:val="24"/>
          <w:szCs w:val="24"/>
        </w:rPr>
        <w:t>按《码头结构设计规范》（JTJ167-2018），趸船长度L</w:t>
      </w:r>
      <w:r>
        <w:rPr>
          <w:color w:val="000000"/>
          <w:sz w:val="24"/>
          <w:szCs w:val="24"/>
          <w:vertAlign w:val="subscript"/>
        </w:rPr>
        <w:t>d</w:t>
      </w:r>
      <w:r>
        <w:rPr>
          <w:color w:val="000000"/>
          <w:sz w:val="24"/>
          <w:szCs w:val="24"/>
        </w:rPr>
        <w:t>=（0.65~0.8）L，设计船型为3000吨级散货船，船长为110m，即L</w:t>
      </w:r>
      <w:r>
        <w:rPr>
          <w:color w:val="000000"/>
          <w:sz w:val="24"/>
          <w:szCs w:val="24"/>
          <w:vertAlign w:val="subscript"/>
        </w:rPr>
        <w:t>d1</w:t>
      </w:r>
      <w:r>
        <w:rPr>
          <w:color w:val="000000"/>
          <w:sz w:val="24"/>
          <w:szCs w:val="24"/>
        </w:rPr>
        <w:t>=71.5~88m，远期考虑10000吨级内河散货船，船长123m，即L</w:t>
      </w:r>
      <w:r>
        <w:rPr>
          <w:color w:val="000000"/>
          <w:sz w:val="24"/>
          <w:szCs w:val="24"/>
          <w:vertAlign w:val="subscript"/>
        </w:rPr>
        <w:t>d2</w:t>
      </w:r>
      <w:r>
        <w:rPr>
          <w:color w:val="000000"/>
          <w:sz w:val="24"/>
          <w:szCs w:val="24"/>
        </w:rPr>
        <w:t>=79.9~98.4m，取趸船长度L</w:t>
      </w:r>
      <w:r>
        <w:rPr>
          <w:color w:val="000000"/>
          <w:sz w:val="24"/>
          <w:szCs w:val="24"/>
          <w:vertAlign w:val="subscript"/>
        </w:rPr>
        <w:t>d</w:t>
      </w:r>
      <w:r>
        <w:rPr>
          <w:color w:val="000000"/>
          <w:sz w:val="24"/>
          <w:szCs w:val="24"/>
        </w:rPr>
        <w:t>为80m。</w:t>
      </w:r>
    </w:p>
    <w:p>
      <w:pPr>
        <w:pStyle w:val="325"/>
        <w:tabs>
          <w:tab w:val="right" w:leader="dot" w:pos="9070"/>
        </w:tabs>
        <w:adjustRightInd w:val="0"/>
        <w:snapToGrid w:val="0"/>
        <w:spacing w:line="360" w:lineRule="auto"/>
        <w:ind w:firstLine="480" w:firstLineChars="200"/>
        <w:jc w:val="both"/>
        <w:rPr>
          <w:color w:val="000000"/>
          <w:sz w:val="24"/>
          <w:szCs w:val="24"/>
        </w:rPr>
      </w:pPr>
      <w:r>
        <w:rPr>
          <w:color w:val="000000"/>
          <w:sz w:val="24"/>
          <w:szCs w:val="24"/>
        </w:rPr>
        <w:t>趸船宽度根据趸船设计和工艺设备作业范围要求，取B</w:t>
      </w:r>
      <w:r>
        <w:rPr>
          <w:color w:val="000000"/>
          <w:sz w:val="24"/>
          <w:szCs w:val="24"/>
          <w:vertAlign w:val="subscript"/>
        </w:rPr>
        <w:t>d</w:t>
      </w:r>
      <w:r>
        <w:rPr>
          <w:color w:val="000000"/>
          <w:sz w:val="24"/>
          <w:szCs w:val="24"/>
        </w:rPr>
        <w:t>为20m。</w:t>
      </w:r>
    </w:p>
    <w:p>
      <w:pPr>
        <w:pStyle w:val="325"/>
        <w:tabs>
          <w:tab w:val="right" w:leader="dot" w:pos="9070"/>
        </w:tabs>
        <w:adjustRightInd w:val="0"/>
        <w:snapToGrid w:val="0"/>
        <w:spacing w:line="360" w:lineRule="auto"/>
        <w:ind w:firstLine="480" w:firstLineChars="200"/>
        <w:jc w:val="both"/>
        <w:rPr>
          <w:color w:val="000000"/>
          <w:sz w:val="24"/>
          <w:szCs w:val="24"/>
        </w:rPr>
      </w:pPr>
      <w:r>
        <w:rPr>
          <w:color w:val="000000"/>
          <w:sz w:val="24"/>
          <w:szCs w:val="24"/>
        </w:rPr>
        <w:t>趸船型深需同时满足规范要求L</w:t>
      </w:r>
      <w:r>
        <w:rPr>
          <w:color w:val="000000"/>
          <w:sz w:val="24"/>
          <w:szCs w:val="24"/>
          <w:vertAlign w:val="subscript"/>
        </w:rPr>
        <w:t>d</w:t>
      </w:r>
      <w:r>
        <w:rPr>
          <w:color w:val="000000"/>
          <w:sz w:val="24"/>
          <w:szCs w:val="24"/>
        </w:rPr>
        <w:t>/D</w:t>
      </w:r>
      <w:r>
        <w:rPr>
          <w:color w:val="000000"/>
          <w:sz w:val="24"/>
          <w:szCs w:val="24"/>
          <w:vertAlign w:val="subscript"/>
        </w:rPr>
        <w:t>d</w:t>
      </w:r>
      <w:r>
        <w:rPr>
          <w:color w:val="000000"/>
          <w:sz w:val="24"/>
          <w:szCs w:val="24"/>
        </w:rPr>
        <w:t>≤45、B</w:t>
      </w:r>
      <w:r>
        <w:rPr>
          <w:color w:val="000000"/>
          <w:sz w:val="24"/>
          <w:szCs w:val="24"/>
          <w:vertAlign w:val="subscript"/>
        </w:rPr>
        <w:t>d</w:t>
      </w:r>
      <w:r>
        <w:rPr>
          <w:color w:val="000000"/>
          <w:sz w:val="24"/>
          <w:szCs w:val="24"/>
        </w:rPr>
        <w:t>/D</w:t>
      </w:r>
      <w:r>
        <w:rPr>
          <w:color w:val="000000"/>
          <w:sz w:val="24"/>
          <w:szCs w:val="24"/>
          <w:vertAlign w:val="subscript"/>
        </w:rPr>
        <w:t>d</w:t>
      </w:r>
      <w:r>
        <w:rPr>
          <w:color w:val="000000"/>
          <w:sz w:val="24"/>
          <w:szCs w:val="24"/>
        </w:rPr>
        <w:t>≤7，暂取趸船型深D</w:t>
      </w:r>
      <w:r>
        <w:rPr>
          <w:color w:val="000000"/>
          <w:sz w:val="24"/>
          <w:szCs w:val="24"/>
          <w:vertAlign w:val="subscript"/>
        </w:rPr>
        <w:t>d</w:t>
      </w:r>
      <w:r>
        <w:rPr>
          <w:color w:val="000000"/>
          <w:sz w:val="24"/>
          <w:szCs w:val="24"/>
        </w:rPr>
        <w:t>为3.2m。</w:t>
      </w:r>
    </w:p>
    <w:p>
      <w:pPr>
        <w:pStyle w:val="325"/>
        <w:tabs>
          <w:tab w:val="right" w:leader="dot" w:pos="9070"/>
        </w:tabs>
        <w:adjustRightInd w:val="0"/>
        <w:snapToGrid w:val="0"/>
        <w:spacing w:line="360" w:lineRule="auto"/>
        <w:ind w:firstLine="480" w:firstLineChars="200"/>
        <w:jc w:val="both"/>
        <w:rPr>
          <w:color w:val="000000"/>
          <w:sz w:val="24"/>
          <w:szCs w:val="24"/>
        </w:rPr>
      </w:pPr>
      <w:r>
        <w:rPr>
          <w:color w:val="000000"/>
          <w:sz w:val="24"/>
          <w:szCs w:val="24"/>
        </w:rPr>
        <w:t>因此，趸船尺度取为80×20×3.2m。</w:t>
      </w:r>
    </w:p>
    <w:p>
      <w:pPr>
        <w:pStyle w:val="5"/>
        <w:rPr>
          <w:rFonts w:eastAsiaTheme="minorEastAsia"/>
        </w:rPr>
      </w:pPr>
      <w:r>
        <w:rPr>
          <w:rFonts w:eastAsiaTheme="minorEastAsia"/>
        </w:rPr>
        <w:t>高程设计</w:t>
      </w:r>
    </w:p>
    <w:p>
      <w:pPr>
        <w:widowControl/>
        <w:adjustRightInd w:val="0"/>
        <w:snapToGrid w:val="0"/>
        <w:spacing w:line="360" w:lineRule="auto"/>
        <w:ind w:firstLine="482" w:firstLineChars="200"/>
        <w:rPr>
          <w:rFonts w:ascii="Times New Roman" w:hAnsi="Times New Roman"/>
          <w:kern w:val="0"/>
          <w:sz w:val="24"/>
          <w:szCs w:val="24"/>
        </w:rPr>
      </w:pPr>
      <w:r>
        <w:rPr>
          <w:rFonts w:ascii="Times New Roman" w:hAnsi="Times New Roman"/>
          <w:b/>
          <w:bCs/>
          <w:color w:val="000000"/>
          <w:kern w:val="0"/>
          <w:sz w:val="24"/>
          <w:szCs w:val="24"/>
        </w:rPr>
        <w:t>1、设计水位（1985国家高程系）</w:t>
      </w:r>
    </w:p>
    <w:p>
      <w:pPr>
        <w:widowControl/>
        <w:adjustRightInd w:val="0"/>
        <w:snapToGrid w:val="0"/>
        <w:spacing w:line="360" w:lineRule="auto"/>
        <w:ind w:firstLine="480" w:firstLineChars="200"/>
        <w:rPr>
          <w:rFonts w:ascii="Times New Roman" w:hAnsi="Times New Roman"/>
          <w:kern w:val="0"/>
          <w:sz w:val="24"/>
          <w:szCs w:val="24"/>
        </w:rPr>
      </w:pPr>
      <w:r>
        <w:rPr>
          <w:rFonts w:ascii="Times New Roman" w:hAnsi="Times New Roman"/>
          <w:color w:val="000000"/>
          <w:kern w:val="0"/>
          <w:sz w:val="24"/>
          <w:szCs w:val="24"/>
        </w:rPr>
        <w:t>设计高水位：33.14m（重现期50年）</w:t>
      </w:r>
    </w:p>
    <w:p>
      <w:pPr>
        <w:widowControl/>
        <w:adjustRightInd w:val="0"/>
        <w:snapToGrid w:val="0"/>
        <w:spacing w:line="360" w:lineRule="auto"/>
        <w:ind w:firstLine="480" w:firstLineChars="200"/>
        <w:rPr>
          <w:rFonts w:ascii="Times New Roman" w:hAnsi="Times New Roman"/>
          <w:kern w:val="0"/>
          <w:sz w:val="24"/>
          <w:szCs w:val="24"/>
        </w:rPr>
      </w:pPr>
      <w:r>
        <w:rPr>
          <w:rFonts w:ascii="Times New Roman" w:hAnsi="Times New Roman"/>
          <w:color w:val="000000"/>
          <w:kern w:val="0"/>
          <w:sz w:val="24"/>
          <w:szCs w:val="24"/>
        </w:rPr>
        <w:t>设计低水位：17.39m（保证率98%）</w:t>
      </w:r>
    </w:p>
    <w:p>
      <w:pPr>
        <w:widowControl/>
        <w:adjustRightInd w:val="0"/>
        <w:snapToGrid w:val="0"/>
        <w:spacing w:line="360" w:lineRule="auto"/>
        <w:ind w:firstLine="482" w:firstLineChars="200"/>
        <w:rPr>
          <w:rFonts w:ascii="Times New Roman" w:hAnsi="Times New Roman"/>
          <w:kern w:val="0"/>
          <w:sz w:val="24"/>
          <w:szCs w:val="24"/>
        </w:rPr>
      </w:pPr>
      <w:r>
        <w:rPr>
          <w:rFonts w:ascii="Times New Roman" w:hAnsi="Times New Roman"/>
          <w:b/>
          <w:bCs/>
          <w:color w:val="000000"/>
          <w:kern w:val="0"/>
          <w:sz w:val="24"/>
          <w:szCs w:val="24"/>
        </w:rPr>
        <w:t>2、水域高程</w:t>
      </w:r>
    </w:p>
    <w:p>
      <w:pPr>
        <w:widowControl/>
        <w:adjustRightInd w:val="0"/>
        <w:snapToGrid w:val="0"/>
        <w:spacing w:line="360" w:lineRule="auto"/>
        <w:ind w:firstLine="480" w:firstLineChars="200"/>
        <w:rPr>
          <w:rFonts w:ascii="Times New Roman" w:hAnsi="Times New Roman"/>
          <w:kern w:val="0"/>
          <w:sz w:val="24"/>
          <w:szCs w:val="24"/>
        </w:rPr>
      </w:pPr>
      <w:r>
        <w:rPr>
          <w:rFonts w:hint="eastAsia" w:ascii="宋体" w:hAnsi="宋体" w:cs="宋体"/>
          <w:color w:val="000000"/>
          <w:kern w:val="0"/>
          <w:sz w:val="24"/>
          <w:szCs w:val="24"/>
        </w:rPr>
        <w:t>⑴</w:t>
      </w:r>
      <w:r>
        <w:rPr>
          <w:rFonts w:ascii="Times New Roman" w:hAnsi="Times New Roman"/>
          <w:color w:val="000000"/>
          <w:kern w:val="0"/>
          <w:sz w:val="24"/>
          <w:szCs w:val="24"/>
        </w:rPr>
        <w:t xml:space="preserve"> 码头前沿设计高程</w:t>
      </w:r>
    </w:p>
    <w:p>
      <w:pPr>
        <w:widowControl/>
        <w:adjustRightInd w:val="0"/>
        <w:snapToGrid w:val="0"/>
        <w:spacing w:line="360" w:lineRule="auto"/>
        <w:ind w:firstLine="480" w:firstLineChars="200"/>
        <w:rPr>
          <w:rFonts w:ascii="Times New Roman" w:hAnsi="Times New Roman"/>
          <w:kern w:val="0"/>
          <w:sz w:val="24"/>
          <w:szCs w:val="24"/>
        </w:rPr>
      </w:pPr>
      <w:r>
        <w:rPr>
          <w:rFonts w:ascii="Times New Roman" w:hAnsi="Times New Roman"/>
          <w:color w:val="000000"/>
          <w:kern w:val="0"/>
          <w:sz w:val="24"/>
          <w:szCs w:val="24"/>
        </w:rPr>
        <w:t>根据《河港工程总体设计规范》（JTJ 212-2006），码头前沿设计高程按下式计算：</w:t>
      </w:r>
    </w:p>
    <w:p>
      <w:pPr>
        <w:widowControl/>
        <w:adjustRightInd w:val="0"/>
        <w:snapToGrid w:val="0"/>
        <w:spacing w:line="360" w:lineRule="auto"/>
        <w:ind w:firstLine="480" w:firstLineChars="200"/>
        <w:rPr>
          <w:rFonts w:ascii="Times New Roman" w:hAnsi="Times New Roman"/>
          <w:kern w:val="0"/>
          <w:sz w:val="24"/>
          <w:szCs w:val="24"/>
        </w:rPr>
      </w:pPr>
      <w:r>
        <w:rPr>
          <w:rFonts w:ascii="Times New Roman" w:hAnsi="Times New Roman"/>
          <w:color w:val="000000"/>
          <w:kern w:val="0"/>
          <w:sz w:val="24"/>
          <w:szCs w:val="24"/>
        </w:rPr>
        <w:t>码头前沿设计高程=设计高水位+超高</w:t>
      </w:r>
    </w:p>
    <w:p>
      <w:pPr>
        <w:pStyle w:val="325"/>
        <w:tabs>
          <w:tab w:val="right" w:leader="dot" w:pos="9070"/>
        </w:tabs>
        <w:adjustRightInd w:val="0"/>
        <w:snapToGrid w:val="0"/>
        <w:spacing w:line="360" w:lineRule="auto"/>
        <w:ind w:firstLine="480" w:firstLineChars="200"/>
        <w:jc w:val="both"/>
        <w:rPr>
          <w:color w:val="000000"/>
          <w:sz w:val="24"/>
          <w:szCs w:val="24"/>
        </w:rPr>
      </w:pPr>
      <w:r>
        <w:rPr>
          <w:color w:val="000000"/>
          <w:sz w:val="24"/>
          <w:szCs w:val="24"/>
        </w:rPr>
        <w:t>码头前沿设计高程＝33.14+（0.1~0.5）＝33.24~33.64m</w:t>
      </w:r>
    </w:p>
    <w:p>
      <w:pPr>
        <w:widowControl/>
        <w:adjustRightInd w:val="0"/>
        <w:snapToGrid w:val="0"/>
        <w:spacing w:line="360" w:lineRule="auto"/>
        <w:ind w:firstLine="480" w:firstLineChars="200"/>
        <w:rPr>
          <w:rFonts w:ascii="Times New Roman" w:hAnsi="Times New Roman"/>
          <w:kern w:val="0"/>
          <w:sz w:val="24"/>
          <w:szCs w:val="24"/>
        </w:rPr>
      </w:pPr>
      <w:r>
        <w:rPr>
          <w:rFonts w:ascii="Times New Roman" w:hAnsi="Times New Roman"/>
          <w:color w:val="000000"/>
          <w:kern w:val="0"/>
          <w:sz w:val="24"/>
          <w:szCs w:val="24"/>
        </w:rPr>
        <w:t>码头设计顶高程取为33.50m。</w:t>
      </w:r>
    </w:p>
    <w:p>
      <w:pPr>
        <w:widowControl/>
        <w:adjustRightInd w:val="0"/>
        <w:snapToGrid w:val="0"/>
        <w:spacing w:line="360" w:lineRule="auto"/>
        <w:ind w:firstLine="480" w:firstLineChars="200"/>
        <w:rPr>
          <w:rFonts w:ascii="Times New Roman" w:hAnsi="Times New Roman"/>
          <w:kern w:val="0"/>
          <w:sz w:val="24"/>
          <w:szCs w:val="24"/>
        </w:rPr>
      </w:pPr>
      <w:r>
        <w:rPr>
          <w:rFonts w:hint="eastAsia" w:ascii="宋体" w:hAnsi="宋体" w:cs="宋体"/>
          <w:color w:val="000000"/>
          <w:kern w:val="0"/>
          <w:sz w:val="24"/>
          <w:szCs w:val="24"/>
        </w:rPr>
        <w:t>⑵</w:t>
      </w:r>
      <w:r>
        <w:rPr>
          <w:rFonts w:ascii="Times New Roman" w:hAnsi="Times New Roman"/>
          <w:color w:val="000000"/>
          <w:kern w:val="0"/>
          <w:sz w:val="24"/>
          <w:szCs w:val="24"/>
        </w:rPr>
        <w:t xml:space="preserve"> 码头前沿设计河底高程</w:t>
      </w:r>
    </w:p>
    <w:p>
      <w:pPr>
        <w:widowControl/>
        <w:adjustRightInd w:val="0"/>
        <w:snapToGrid w:val="0"/>
        <w:spacing w:line="360" w:lineRule="auto"/>
        <w:ind w:firstLine="480" w:firstLineChars="200"/>
        <w:rPr>
          <w:rFonts w:ascii="Times New Roman" w:hAnsi="Times New Roman"/>
          <w:kern w:val="0"/>
          <w:sz w:val="24"/>
          <w:szCs w:val="24"/>
        </w:rPr>
      </w:pPr>
      <w:r>
        <w:rPr>
          <w:rFonts w:ascii="Times New Roman" w:hAnsi="Times New Roman"/>
          <w:color w:val="000000"/>
          <w:kern w:val="0"/>
          <w:sz w:val="24"/>
          <w:szCs w:val="24"/>
        </w:rPr>
        <w:t>码头前沿设计河底高程=设计低水位－码头前沿设计水深</w:t>
      </w:r>
    </w:p>
    <w:p>
      <w:pPr>
        <w:widowControl/>
        <w:adjustRightInd w:val="0"/>
        <w:snapToGrid w:val="0"/>
        <w:spacing w:line="360" w:lineRule="auto"/>
        <w:ind w:firstLine="480" w:firstLineChars="200"/>
        <w:rPr>
          <w:rFonts w:ascii="Times New Roman" w:hAnsi="Times New Roman"/>
          <w:kern w:val="0"/>
          <w:sz w:val="24"/>
          <w:szCs w:val="24"/>
        </w:rPr>
      </w:pPr>
      <w:r>
        <w:rPr>
          <w:rFonts w:ascii="Times New Roman" w:hAnsi="Times New Roman"/>
          <w:color w:val="000000"/>
          <w:kern w:val="0"/>
          <w:sz w:val="24"/>
          <w:szCs w:val="24"/>
        </w:rPr>
        <w:t>码头前沿设计河底高程=17.39-3.85=13.54m。</w:t>
      </w:r>
    </w:p>
    <w:p>
      <w:pPr>
        <w:widowControl/>
        <w:adjustRightInd w:val="0"/>
        <w:snapToGrid w:val="0"/>
        <w:spacing w:line="360" w:lineRule="auto"/>
        <w:ind w:firstLine="480" w:firstLineChars="200"/>
        <w:rPr>
          <w:rFonts w:ascii="Times New Roman" w:hAnsi="Times New Roman"/>
          <w:kern w:val="0"/>
          <w:sz w:val="24"/>
          <w:szCs w:val="24"/>
        </w:rPr>
      </w:pPr>
      <w:r>
        <w:rPr>
          <w:rFonts w:hint="eastAsia" w:ascii="宋体" w:hAnsi="宋体" w:cs="宋体"/>
          <w:color w:val="000000"/>
          <w:kern w:val="0"/>
          <w:sz w:val="24"/>
          <w:szCs w:val="24"/>
        </w:rPr>
        <w:t>⑶</w:t>
      </w:r>
      <w:r>
        <w:rPr>
          <w:rFonts w:ascii="Times New Roman" w:hAnsi="Times New Roman"/>
          <w:color w:val="000000"/>
          <w:kern w:val="0"/>
          <w:sz w:val="24"/>
          <w:szCs w:val="24"/>
        </w:rPr>
        <w:t xml:space="preserve"> 回旋水域设计底高程</w:t>
      </w:r>
    </w:p>
    <w:p>
      <w:pPr>
        <w:widowControl/>
        <w:adjustRightInd w:val="0"/>
        <w:snapToGrid w:val="0"/>
        <w:spacing w:line="360" w:lineRule="auto"/>
        <w:ind w:firstLine="480" w:firstLineChars="200"/>
        <w:rPr>
          <w:rFonts w:ascii="Times New Roman" w:hAnsi="Times New Roman"/>
          <w:kern w:val="0"/>
          <w:sz w:val="24"/>
          <w:szCs w:val="24"/>
        </w:rPr>
      </w:pPr>
      <w:r>
        <w:rPr>
          <w:rFonts w:ascii="Times New Roman" w:hAnsi="Times New Roman"/>
          <w:color w:val="000000"/>
          <w:kern w:val="0"/>
          <w:sz w:val="24"/>
          <w:szCs w:val="24"/>
        </w:rPr>
        <w:t>依据《长江干线通航标准》及《河港工程总体设计规范》（JTJ212-2006）中有关规定，回旋水域水深可按下式计算：</w:t>
      </w:r>
    </w:p>
    <w:p>
      <w:pPr>
        <w:widowControl/>
        <w:adjustRightInd w:val="0"/>
        <w:snapToGrid w:val="0"/>
        <w:spacing w:line="360" w:lineRule="auto"/>
        <w:jc w:val="center"/>
        <w:rPr>
          <w:rFonts w:ascii="Times New Roman" w:hAnsi="Times New Roman"/>
          <w:kern w:val="0"/>
          <w:sz w:val="24"/>
          <w:szCs w:val="24"/>
        </w:rPr>
      </w:pPr>
      <w:r>
        <w:rPr>
          <w:rFonts w:ascii="Times New Roman" w:hAnsi="Times New Roman"/>
          <w:color w:val="000000"/>
          <w:kern w:val="0"/>
          <w:sz w:val="24"/>
          <w:szCs w:val="24"/>
        </w:rPr>
        <w:t>H=T+</w:t>
      </w:r>
      <w:r>
        <w:rPr>
          <w:rFonts w:hint="eastAsia" w:ascii="宋体" w:hAnsi="宋体" w:cs="宋体"/>
          <w:color w:val="000000"/>
          <w:kern w:val="0"/>
          <w:sz w:val="24"/>
          <w:szCs w:val="24"/>
        </w:rPr>
        <w:t>△</w:t>
      </w:r>
      <w:r>
        <w:rPr>
          <w:rFonts w:ascii="Times New Roman" w:hAnsi="Times New Roman"/>
          <w:color w:val="000000"/>
          <w:kern w:val="0"/>
          <w:sz w:val="24"/>
          <w:szCs w:val="24"/>
        </w:rPr>
        <w:t>H</w:t>
      </w:r>
    </w:p>
    <w:p>
      <w:pPr>
        <w:widowControl/>
        <w:adjustRightInd w:val="0"/>
        <w:snapToGrid w:val="0"/>
        <w:spacing w:line="360" w:lineRule="auto"/>
        <w:ind w:firstLine="480" w:firstLineChars="200"/>
        <w:rPr>
          <w:rFonts w:ascii="Times New Roman" w:hAnsi="Times New Roman"/>
          <w:kern w:val="0"/>
          <w:sz w:val="24"/>
          <w:szCs w:val="24"/>
        </w:rPr>
      </w:pPr>
      <w:r>
        <w:rPr>
          <w:rFonts w:ascii="Times New Roman" w:hAnsi="Times New Roman"/>
          <w:color w:val="000000"/>
          <w:kern w:val="0"/>
          <w:sz w:val="24"/>
          <w:szCs w:val="24"/>
        </w:rPr>
        <w:t>其中：H——航道水深（m）；</w:t>
      </w:r>
    </w:p>
    <w:p>
      <w:pPr>
        <w:widowControl/>
        <w:adjustRightInd w:val="0"/>
        <w:snapToGrid w:val="0"/>
        <w:spacing w:line="360" w:lineRule="auto"/>
        <w:ind w:firstLine="1200" w:firstLineChars="500"/>
        <w:rPr>
          <w:rFonts w:ascii="Times New Roman" w:hAnsi="Times New Roman"/>
          <w:color w:val="000000"/>
          <w:kern w:val="0"/>
          <w:sz w:val="24"/>
          <w:szCs w:val="24"/>
        </w:rPr>
      </w:pPr>
      <w:r>
        <w:rPr>
          <w:rFonts w:ascii="Times New Roman" w:hAnsi="Times New Roman"/>
          <w:color w:val="000000"/>
          <w:kern w:val="0"/>
          <w:sz w:val="24"/>
          <w:szCs w:val="24"/>
        </w:rPr>
        <w:t>T——船舶吃水（m）m；</w:t>
      </w:r>
    </w:p>
    <w:p>
      <w:pPr>
        <w:widowControl/>
        <w:adjustRightInd w:val="0"/>
        <w:snapToGrid w:val="0"/>
        <w:spacing w:line="360" w:lineRule="auto"/>
        <w:ind w:firstLine="1200" w:firstLineChars="500"/>
        <w:jc w:val="left"/>
        <w:rPr>
          <w:rFonts w:ascii="Times New Roman" w:hAnsi="Times New Roman"/>
          <w:kern w:val="0"/>
          <w:sz w:val="24"/>
          <w:szCs w:val="24"/>
        </w:rPr>
      </w:pPr>
      <w:r>
        <w:rPr>
          <w:rFonts w:hint="eastAsia" w:ascii="宋体" w:hAnsi="宋体" w:cs="宋体"/>
          <w:color w:val="000000"/>
          <w:kern w:val="0"/>
          <w:sz w:val="24"/>
          <w:szCs w:val="24"/>
        </w:rPr>
        <w:t>△</w:t>
      </w:r>
      <w:r>
        <w:rPr>
          <w:rFonts w:ascii="Times New Roman" w:hAnsi="Times New Roman"/>
          <w:color w:val="000000"/>
          <w:kern w:val="0"/>
          <w:sz w:val="24"/>
          <w:szCs w:val="24"/>
        </w:rPr>
        <w:t>H——船舶航行综合富裕水深（m）。</w:t>
      </w:r>
    </w:p>
    <w:p>
      <w:pPr>
        <w:widowControl/>
        <w:adjustRightInd w:val="0"/>
        <w:snapToGrid w:val="0"/>
        <w:spacing w:line="360" w:lineRule="auto"/>
        <w:ind w:firstLine="480" w:firstLineChars="200"/>
        <w:rPr>
          <w:rFonts w:ascii="Times New Roman" w:hAnsi="Times New Roman"/>
          <w:kern w:val="0"/>
          <w:sz w:val="24"/>
          <w:szCs w:val="24"/>
        </w:rPr>
      </w:pPr>
      <w:r>
        <w:rPr>
          <w:rFonts w:ascii="Times New Roman" w:hAnsi="Times New Roman"/>
          <w:color w:val="000000"/>
          <w:kern w:val="0"/>
          <w:sz w:val="24"/>
          <w:szCs w:val="24"/>
        </w:rPr>
        <w:t>根据公式，回旋水域设计底高程=设计低水位-回旋水域设计水深=17.39-3.5=13.89m。</w:t>
      </w:r>
    </w:p>
    <w:p>
      <w:pPr>
        <w:pStyle w:val="325"/>
        <w:tabs>
          <w:tab w:val="right" w:leader="dot" w:pos="9070"/>
        </w:tabs>
        <w:adjustRightInd w:val="0"/>
        <w:snapToGrid w:val="0"/>
        <w:spacing w:line="360" w:lineRule="auto"/>
        <w:ind w:firstLine="480" w:firstLineChars="200"/>
        <w:jc w:val="both"/>
        <w:rPr>
          <w:color w:val="000000"/>
          <w:sz w:val="24"/>
          <w:szCs w:val="24"/>
        </w:rPr>
      </w:pPr>
      <w:r>
        <w:rPr>
          <w:color w:val="000000"/>
          <w:sz w:val="24"/>
          <w:szCs w:val="24"/>
        </w:rPr>
        <w:t>回旋水域设计底高程为13.89m。</w:t>
      </w:r>
    </w:p>
    <w:p>
      <w:pPr>
        <w:widowControl/>
        <w:adjustRightInd w:val="0"/>
        <w:snapToGrid w:val="0"/>
        <w:spacing w:line="360" w:lineRule="auto"/>
        <w:ind w:firstLine="480" w:firstLineChars="200"/>
        <w:rPr>
          <w:rFonts w:ascii="Times New Roman" w:hAnsi="Times New Roman"/>
          <w:color w:val="000000"/>
          <w:kern w:val="0"/>
          <w:sz w:val="24"/>
          <w:szCs w:val="24"/>
        </w:rPr>
      </w:pPr>
      <w:r>
        <w:rPr>
          <w:rFonts w:hint="eastAsia" w:ascii="宋体" w:hAnsi="宋体" w:cs="宋体"/>
          <w:color w:val="000000"/>
          <w:kern w:val="0"/>
          <w:sz w:val="24"/>
          <w:szCs w:val="24"/>
        </w:rPr>
        <w:t>⑷</w:t>
      </w:r>
      <w:r>
        <w:rPr>
          <w:rFonts w:ascii="Times New Roman" w:hAnsi="Times New Roman"/>
          <w:color w:val="000000"/>
          <w:kern w:val="0"/>
          <w:sz w:val="24"/>
          <w:szCs w:val="24"/>
        </w:rPr>
        <w:t xml:space="preserve"> 墩台高程</w:t>
      </w:r>
    </w:p>
    <w:p>
      <w:pPr>
        <w:widowControl/>
        <w:adjustRightInd w:val="0"/>
        <w:snapToGrid w:val="0"/>
        <w:spacing w:line="360" w:lineRule="auto"/>
        <w:ind w:firstLine="480" w:firstLineChars="200"/>
        <w:rPr>
          <w:rFonts w:ascii="Times New Roman" w:hAnsi="Times New Roman"/>
          <w:color w:val="FF0000"/>
          <w:kern w:val="0"/>
          <w:sz w:val="24"/>
          <w:szCs w:val="24"/>
          <w:u w:val="single"/>
        </w:rPr>
      </w:pPr>
      <w:r>
        <w:rPr>
          <w:rFonts w:ascii="Times New Roman" w:hAnsi="Times New Roman"/>
          <w:color w:val="auto"/>
          <w:kern w:val="0"/>
          <w:sz w:val="24"/>
          <w:szCs w:val="24"/>
          <w:u w:val="none"/>
        </w:rPr>
        <w:t>转运站墩台及引桥顶标高均为33.50m</w:t>
      </w:r>
      <w:r>
        <w:rPr>
          <w:rFonts w:hint="eastAsia" w:ascii="Times New Roman" w:hAnsi="Times New Roman"/>
          <w:color w:val="auto"/>
          <w:kern w:val="0"/>
          <w:sz w:val="24"/>
          <w:szCs w:val="24"/>
          <w:u w:val="none"/>
          <w:lang w:eastAsia="zh-CN"/>
        </w:rPr>
        <w:t>；</w:t>
      </w:r>
      <w:r>
        <w:rPr>
          <w:rFonts w:hint="eastAsia" w:ascii="Times New Roman" w:hAnsi="Times New Roman"/>
          <w:color w:val="FF0000"/>
          <w:kern w:val="0"/>
          <w:sz w:val="24"/>
          <w:szCs w:val="24"/>
          <w:u w:val="single"/>
          <w:lang w:eastAsia="zh-CN"/>
        </w:rPr>
        <w:t>作业平台标高随水位变化，标高在</w:t>
      </w:r>
      <w:r>
        <w:rPr>
          <w:rFonts w:hint="eastAsia" w:ascii="Times New Roman" w:hAnsi="Times New Roman"/>
          <w:color w:val="FF0000"/>
          <w:kern w:val="0"/>
          <w:sz w:val="24"/>
          <w:szCs w:val="24"/>
          <w:u w:val="single"/>
          <w:lang w:val="en-US" w:eastAsia="zh-CN"/>
        </w:rPr>
        <w:t>18.39~34.14m之间</w:t>
      </w:r>
      <w:r>
        <w:rPr>
          <w:rFonts w:ascii="Times New Roman" w:hAnsi="Times New Roman"/>
          <w:color w:val="FF0000"/>
          <w:kern w:val="0"/>
          <w:sz w:val="24"/>
          <w:szCs w:val="24"/>
          <w:u w:val="single"/>
        </w:rPr>
        <w:t>。</w:t>
      </w:r>
    </w:p>
    <w:p>
      <w:pPr>
        <w:widowControl/>
        <w:adjustRightInd w:val="0"/>
        <w:snapToGrid w:val="0"/>
        <w:spacing w:line="360" w:lineRule="auto"/>
        <w:ind w:firstLine="482" w:firstLineChars="200"/>
        <w:rPr>
          <w:rFonts w:hint="eastAsia" w:ascii="Times New Roman" w:hAnsi="Times New Roman"/>
          <w:b/>
          <w:bCs/>
          <w:color w:val="FF0000"/>
          <w:kern w:val="0"/>
          <w:sz w:val="24"/>
          <w:szCs w:val="24"/>
          <w:u w:val="single"/>
          <w:lang w:eastAsia="zh-CN"/>
        </w:rPr>
      </w:pPr>
      <w:r>
        <w:rPr>
          <w:rFonts w:hint="eastAsia" w:ascii="Times New Roman" w:hAnsi="Times New Roman"/>
          <w:b/>
          <w:bCs/>
          <w:color w:val="FF0000"/>
          <w:kern w:val="0"/>
          <w:sz w:val="24"/>
          <w:szCs w:val="24"/>
          <w:u w:val="single"/>
          <w:lang w:val="en-US" w:eastAsia="zh-CN"/>
        </w:rPr>
        <w:t>3、</w:t>
      </w:r>
      <w:r>
        <w:rPr>
          <w:rFonts w:hint="eastAsia" w:ascii="Times New Roman" w:hAnsi="Times New Roman"/>
          <w:b/>
          <w:bCs/>
          <w:color w:val="FF0000"/>
          <w:kern w:val="0"/>
          <w:sz w:val="24"/>
          <w:szCs w:val="24"/>
          <w:u w:val="single"/>
          <w:lang w:eastAsia="zh-CN"/>
        </w:rPr>
        <w:t>陆域高程</w:t>
      </w:r>
    </w:p>
    <w:p>
      <w:pPr>
        <w:widowControl/>
        <w:adjustRightInd w:val="0"/>
        <w:snapToGrid w:val="0"/>
        <w:spacing w:line="360" w:lineRule="auto"/>
        <w:ind w:firstLine="480" w:firstLineChars="200"/>
        <w:rPr>
          <w:rFonts w:hint="default" w:ascii="Times New Roman" w:hAnsi="Times New Roman"/>
          <w:color w:val="FF0000"/>
          <w:kern w:val="0"/>
          <w:sz w:val="24"/>
          <w:szCs w:val="24"/>
          <w:u w:val="single"/>
          <w:lang w:val="en-US"/>
        </w:rPr>
      </w:pPr>
      <w:r>
        <w:rPr>
          <w:rFonts w:hint="eastAsia" w:ascii="Times New Roman" w:hAnsi="Times New Roman"/>
          <w:color w:val="FF0000"/>
          <w:kern w:val="0"/>
          <w:sz w:val="24"/>
          <w:szCs w:val="24"/>
          <w:u w:val="single"/>
          <w:lang w:eastAsia="zh-CN"/>
        </w:rPr>
        <w:t>防洪大堤标高</w:t>
      </w:r>
      <w:r>
        <w:rPr>
          <w:rFonts w:hint="eastAsia" w:ascii="Times New Roman" w:hAnsi="Times New Roman"/>
          <w:color w:val="FF0000"/>
          <w:kern w:val="0"/>
          <w:sz w:val="24"/>
          <w:szCs w:val="24"/>
          <w:u w:val="single"/>
          <w:lang w:val="en-US" w:eastAsia="zh-CN"/>
        </w:rPr>
        <w:t>34.5m，</w:t>
      </w:r>
      <w:r>
        <w:rPr>
          <w:rFonts w:hint="eastAsia" w:ascii="Times New Roman" w:hAnsi="Times New Roman"/>
          <w:color w:val="FF0000"/>
          <w:kern w:val="0"/>
          <w:sz w:val="24"/>
          <w:szCs w:val="24"/>
          <w:u w:val="single"/>
          <w:lang w:eastAsia="zh-CN"/>
        </w:rPr>
        <w:t>输煤廊道标高</w:t>
      </w:r>
      <w:r>
        <w:rPr>
          <w:rFonts w:hint="eastAsia" w:ascii="Times New Roman" w:hAnsi="Times New Roman"/>
          <w:color w:val="FF0000"/>
          <w:kern w:val="0"/>
          <w:sz w:val="24"/>
          <w:szCs w:val="24"/>
          <w:u w:val="single"/>
          <w:lang w:val="en-US" w:eastAsia="zh-CN"/>
        </w:rPr>
        <w:t>33.7~37.7m之间。</w:t>
      </w:r>
    </w:p>
    <w:p>
      <w:pPr>
        <w:pStyle w:val="5"/>
        <w:rPr>
          <w:rFonts w:eastAsiaTheme="minorEastAsia"/>
        </w:rPr>
      </w:pPr>
      <w:r>
        <w:rPr>
          <w:rFonts w:eastAsiaTheme="minorEastAsia"/>
        </w:rPr>
        <w:t>航道</w:t>
      </w:r>
    </w:p>
    <w:p>
      <w:pPr>
        <w:widowControl/>
        <w:adjustRightInd w:val="0"/>
        <w:snapToGrid w:val="0"/>
        <w:spacing w:line="360" w:lineRule="auto"/>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本项目位于城陵矶~武汉长江大桥航段，最小航道维护尺度为4.0m（水深）×150m（航宽）×1000m（弯曲半径），保证率98% 。</w:t>
      </w:r>
    </w:p>
    <w:p>
      <w:pPr>
        <w:widowControl/>
        <w:adjustRightInd w:val="0"/>
        <w:snapToGrid w:val="0"/>
        <w:spacing w:line="360" w:lineRule="auto"/>
        <w:ind w:firstLine="480" w:firstLineChars="200"/>
        <w:rPr>
          <w:rFonts w:ascii="Times New Roman" w:hAnsi="Times New Roman"/>
          <w:color w:val="000000"/>
          <w:kern w:val="0"/>
          <w:sz w:val="24"/>
          <w:szCs w:val="24"/>
        </w:rPr>
      </w:pPr>
      <w:r>
        <w:rPr>
          <w:rFonts w:hint="eastAsia" w:ascii="宋体" w:hAnsi="宋体" w:cs="宋体"/>
          <w:color w:val="000000"/>
          <w:kern w:val="0"/>
          <w:sz w:val="24"/>
          <w:szCs w:val="24"/>
        </w:rPr>
        <w:t>⑴</w:t>
      </w:r>
      <w:r>
        <w:rPr>
          <w:rFonts w:ascii="Times New Roman" w:hAnsi="Times New Roman"/>
          <w:color w:val="000000"/>
          <w:kern w:val="0"/>
          <w:sz w:val="24"/>
          <w:szCs w:val="24"/>
        </w:rPr>
        <w:t xml:space="preserve"> 航道宽度</w:t>
      </w:r>
    </w:p>
    <w:p>
      <w:pPr>
        <w:widowControl/>
        <w:adjustRightInd w:val="0"/>
        <w:snapToGrid w:val="0"/>
        <w:spacing w:line="360" w:lineRule="auto"/>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本项目长、宽尺度最大的船型为10000吨级内河散货货船，采用其尺度根据公式计算得出所需航道宽度为101m。</w:t>
      </w:r>
    </w:p>
    <w:p>
      <w:pPr>
        <w:widowControl/>
        <w:adjustRightInd w:val="0"/>
        <w:snapToGrid w:val="0"/>
        <w:spacing w:line="360" w:lineRule="auto"/>
        <w:ind w:firstLine="480" w:firstLineChars="200"/>
        <w:rPr>
          <w:rFonts w:ascii="Times New Roman" w:hAnsi="Times New Roman"/>
          <w:color w:val="000000"/>
          <w:sz w:val="24"/>
          <w:szCs w:val="24"/>
        </w:rPr>
      </w:pPr>
      <w:r>
        <w:rPr>
          <w:rFonts w:ascii="Times New Roman" w:hAnsi="Times New Roman"/>
          <w:color w:val="000000"/>
          <w:kern w:val="0"/>
          <w:sz w:val="24"/>
          <w:szCs w:val="24"/>
        </w:rPr>
        <w:t>现阶段城陵矶以下航段航道最小维护宽度为150m，可满足本项目</w:t>
      </w:r>
      <w:r>
        <w:rPr>
          <w:rFonts w:ascii="Times New Roman" w:hAnsi="Times New Roman"/>
          <w:color w:val="000000"/>
          <w:sz w:val="24"/>
          <w:szCs w:val="24"/>
        </w:rPr>
        <w:t>10000吨级江海直达货船双向航行宽度的要求。</w:t>
      </w:r>
    </w:p>
    <w:p>
      <w:pPr>
        <w:widowControl/>
        <w:adjustRightInd w:val="0"/>
        <w:snapToGrid w:val="0"/>
        <w:spacing w:line="360" w:lineRule="auto"/>
        <w:ind w:firstLine="480" w:firstLineChars="200"/>
        <w:rPr>
          <w:rFonts w:ascii="Times New Roman" w:hAnsi="Times New Roman"/>
          <w:color w:val="000000"/>
          <w:sz w:val="24"/>
          <w:szCs w:val="24"/>
        </w:rPr>
      </w:pPr>
      <w:r>
        <w:rPr>
          <w:rFonts w:hint="eastAsia" w:ascii="宋体" w:hAnsi="宋体" w:cs="宋体"/>
          <w:color w:val="000000"/>
          <w:sz w:val="24"/>
          <w:szCs w:val="24"/>
        </w:rPr>
        <w:t>⑵</w:t>
      </w:r>
      <w:r>
        <w:rPr>
          <w:rFonts w:ascii="Times New Roman" w:hAnsi="Times New Roman"/>
          <w:color w:val="000000"/>
          <w:sz w:val="24"/>
          <w:szCs w:val="24"/>
        </w:rPr>
        <w:t xml:space="preserve"> 航道水深</w:t>
      </w:r>
    </w:p>
    <w:p>
      <w:pPr>
        <w:widowControl/>
        <w:adjustRightInd w:val="0"/>
        <w:snapToGrid w:val="0"/>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本项目</w:t>
      </w:r>
      <w:r>
        <w:rPr>
          <w:rFonts w:ascii="Times New Roman" w:hAnsi="Times New Roman"/>
          <w:color w:val="000000"/>
          <w:kern w:val="0"/>
          <w:sz w:val="24"/>
          <w:szCs w:val="24"/>
        </w:rPr>
        <w:t>位于城陵矶~武汉长江大桥航段。工程所处的仙峰水道多年来河势格局相对稳定，码头工程位于主航道右侧，目前工程所在河段一</w:t>
      </w:r>
      <w:r>
        <w:rPr>
          <w:rFonts w:ascii="Times New Roman" w:hAnsi="Times New Roman"/>
          <w:color w:val="000000"/>
          <w:sz w:val="24"/>
          <w:szCs w:val="24"/>
        </w:rPr>
        <w:t>年中航道维护水深为4.0m~5.0m。</w:t>
      </w:r>
    </w:p>
    <w:p>
      <w:pPr>
        <w:widowControl/>
        <w:adjustRightInd w:val="0"/>
        <w:snapToGrid w:val="0"/>
        <w:spacing w:line="360" w:lineRule="auto"/>
        <w:ind w:firstLine="480" w:firstLineChars="200"/>
        <w:rPr>
          <w:rFonts w:ascii="Times New Roman" w:hAnsi="Times New Roman"/>
          <w:color w:val="000000"/>
          <w:sz w:val="24"/>
          <w:szCs w:val="24"/>
        </w:rPr>
      </w:pPr>
      <w:r>
        <w:rPr>
          <w:rFonts w:ascii="Times New Roman" w:hAnsi="Times New Roman"/>
          <w:color w:val="000000"/>
          <w:kern w:val="0"/>
          <w:sz w:val="24"/>
          <w:szCs w:val="24"/>
        </w:rPr>
        <w:t>本项目5000吨级内河散货船在武汉长江大桥以下航段可常年满载通航，在武汉长江大桥以上航段需部分月份减载通航。10000吨级江海直达货船、10000吨级内河散货货船在芜湖高安圩以下航段可全</w:t>
      </w:r>
      <w:r>
        <w:rPr>
          <w:rFonts w:ascii="Times New Roman" w:hAnsi="Times New Roman"/>
          <w:color w:val="000000"/>
          <w:sz w:val="24"/>
          <w:szCs w:val="24"/>
        </w:rPr>
        <w:t>年满载航行，在芜湖高安圩以上航段需部分月份减载通航。</w:t>
      </w:r>
    </w:p>
    <w:p>
      <w:pPr>
        <w:widowControl/>
        <w:adjustRightInd w:val="0"/>
        <w:snapToGrid w:val="0"/>
        <w:spacing w:line="360" w:lineRule="auto"/>
        <w:ind w:firstLine="480" w:firstLineChars="200"/>
        <w:rPr>
          <w:rFonts w:ascii="Times New Roman" w:hAnsi="Times New Roman"/>
          <w:color w:val="000000"/>
          <w:kern w:val="0"/>
          <w:sz w:val="24"/>
          <w:szCs w:val="24"/>
        </w:rPr>
      </w:pPr>
      <w:r>
        <w:rPr>
          <w:rFonts w:hint="eastAsia" w:ascii="宋体" w:hAnsi="宋体" w:cs="宋体"/>
          <w:color w:val="000000"/>
          <w:kern w:val="0"/>
          <w:sz w:val="24"/>
          <w:szCs w:val="24"/>
        </w:rPr>
        <w:t>⑶</w:t>
      </w:r>
      <w:r>
        <w:rPr>
          <w:rFonts w:ascii="Times New Roman" w:hAnsi="Times New Roman"/>
          <w:color w:val="000000"/>
          <w:kern w:val="0"/>
          <w:sz w:val="24"/>
          <w:szCs w:val="24"/>
        </w:rPr>
        <w:t xml:space="preserve"> 通航净空</w:t>
      </w:r>
    </w:p>
    <w:p>
      <w:pPr>
        <w:widowControl/>
        <w:adjustRightInd w:val="0"/>
        <w:snapToGrid w:val="0"/>
        <w:spacing w:line="360" w:lineRule="auto"/>
        <w:ind w:firstLine="480" w:firstLineChars="200"/>
        <w:rPr>
          <w:rFonts w:ascii="Times New Roman" w:hAnsi="Times New Roman"/>
          <w:color w:val="000000"/>
          <w:sz w:val="24"/>
          <w:szCs w:val="24"/>
        </w:rPr>
      </w:pPr>
      <w:r>
        <w:rPr>
          <w:rFonts w:ascii="Times New Roman" w:hAnsi="Times New Roman"/>
          <w:color w:val="000000"/>
          <w:kern w:val="0"/>
          <w:sz w:val="24"/>
          <w:szCs w:val="24"/>
        </w:rPr>
        <w:t>目前本项目至长江口长江主航道上已建及在建桥梁净空高度最低为18m，本项目设计船型在通过桥区航道时需注意确保船舶水线以上高度能</w:t>
      </w:r>
      <w:r>
        <w:rPr>
          <w:rFonts w:ascii="Times New Roman" w:hAnsi="Times New Roman"/>
          <w:color w:val="000000"/>
          <w:sz w:val="24"/>
          <w:szCs w:val="24"/>
        </w:rPr>
        <w:t>安全通过各桥区航道。</w:t>
      </w:r>
    </w:p>
    <w:p>
      <w:pPr>
        <w:pStyle w:val="5"/>
        <w:rPr>
          <w:rFonts w:eastAsiaTheme="minorEastAsia"/>
        </w:rPr>
      </w:pPr>
      <w:r>
        <w:rPr>
          <w:rFonts w:eastAsiaTheme="minorEastAsia"/>
        </w:rPr>
        <w:t>锚地</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根据《岳阳港总体规划》，岳阳港现有城港1号锚地、城港2号锚地、城港3号锚地、杨林山锚地、新港锚地保留，规划新辟锚地6处，锚地总面积实际采用为474.3万平方米（其中常年锚地400.8万平方米）。其中2号、3号、6号、7号、8号、9号锚地为大轮锚地，2号、3号锚地位于工程上游洞庭湖湖口七里山附近，6号锚地位于工程上游长江主航道观音洲水道下端，7号、8号、9号锚地位于工程所处的仙峰水道擂鼓台至白尾段左岸，本项目船舶可前往以上6处锚地进行锚泊。</w:t>
      </w:r>
    </w:p>
    <w:p>
      <w:pPr>
        <w:pStyle w:val="5"/>
        <w:rPr>
          <w:rFonts w:eastAsiaTheme="minorEastAsia"/>
        </w:rPr>
      </w:pPr>
      <w:r>
        <w:rPr>
          <w:rFonts w:eastAsiaTheme="minorEastAsia"/>
        </w:rPr>
        <w:t>助导航及安全监督设施</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目前覆盖岳阳段长江干线水域AIS，覆盖重点港区、桥区的VTS，重点水域CCTV，重点船舶GPS和常规海巡艇互为补充的现代化水上安全监管体系初步建成；船舶防污能力建设取得重大突破，岳阳船舶溢油应急设备库具备一次性清除50吨溢油的应急处置能力；建立了长江干线（岳阳区段）治安防控体系建设联席会议制度。</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长江主航道上助航设施较为完善，能满足船舶安全通行的要求。本项目港池水域无需疏浚，因此水域无需增设航标，仅在码头下游端部设置1座警示灯桩。</w:t>
      </w:r>
    </w:p>
    <w:p>
      <w:pPr>
        <w:pStyle w:val="4"/>
        <w:rPr>
          <w:rFonts w:eastAsiaTheme="minorEastAsia"/>
        </w:rPr>
      </w:pPr>
      <w:r>
        <w:rPr>
          <w:rFonts w:eastAsiaTheme="minorEastAsia"/>
        </w:rPr>
        <w:t>装卸工艺</w:t>
      </w:r>
    </w:p>
    <w:p>
      <w:pPr>
        <w:pStyle w:val="5"/>
        <w:rPr>
          <w:rFonts w:eastAsiaTheme="minorEastAsia"/>
        </w:rPr>
      </w:pPr>
      <w:bookmarkStart w:id="33" w:name="_Toc16689"/>
      <w:r>
        <w:rPr>
          <w:rFonts w:eastAsiaTheme="minorEastAsia"/>
        </w:rPr>
        <w:t>主要设计参数</w:t>
      </w:r>
      <w:bookmarkEnd w:id="33"/>
    </w:p>
    <w:p>
      <w:pPr>
        <w:pStyle w:val="325"/>
        <w:tabs>
          <w:tab w:val="right" w:leader="dot" w:pos="9070"/>
        </w:tabs>
        <w:adjustRightInd w:val="0"/>
        <w:snapToGrid w:val="0"/>
        <w:spacing w:line="360" w:lineRule="auto"/>
        <w:ind w:firstLine="480" w:firstLineChars="200"/>
        <w:jc w:val="both"/>
        <w:rPr>
          <w:sz w:val="24"/>
          <w:szCs w:val="24"/>
        </w:rPr>
      </w:pPr>
      <w:r>
        <w:rPr>
          <w:rFonts w:hint="eastAsia" w:ascii="宋体" w:hAnsi="宋体" w:cs="宋体"/>
          <w:sz w:val="24"/>
          <w:szCs w:val="24"/>
        </w:rPr>
        <w:t>⑴</w:t>
      </w:r>
      <w:r>
        <w:rPr>
          <w:sz w:val="24"/>
          <w:szCs w:val="24"/>
        </w:rPr>
        <w:t xml:space="preserve"> 货种及运量：</w:t>
      </w:r>
    </w:p>
    <w:p>
      <w:pPr>
        <w:pStyle w:val="325"/>
        <w:tabs>
          <w:tab w:val="right" w:leader="dot" w:pos="9070"/>
        </w:tabs>
        <w:adjustRightInd w:val="0"/>
        <w:snapToGrid w:val="0"/>
        <w:spacing w:line="360" w:lineRule="auto"/>
        <w:ind w:firstLine="480" w:firstLineChars="200"/>
        <w:jc w:val="both"/>
        <w:rPr>
          <w:sz w:val="24"/>
          <w:szCs w:val="24"/>
        </w:rPr>
      </w:pPr>
      <w:r>
        <w:rPr>
          <w:sz w:val="24"/>
          <w:szCs w:val="24"/>
        </w:rPr>
        <w:t>本项目主要装卸货种为煤炭，特性如下：</w:t>
      </w:r>
    </w:p>
    <w:p>
      <w:pPr>
        <w:pStyle w:val="325"/>
        <w:tabs>
          <w:tab w:val="right" w:leader="dot" w:pos="9070"/>
        </w:tabs>
        <w:adjustRightInd w:val="0"/>
        <w:snapToGrid w:val="0"/>
        <w:spacing w:line="360" w:lineRule="auto"/>
        <w:ind w:firstLine="480" w:firstLineChars="200"/>
        <w:jc w:val="both"/>
        <w:rPr>
          <w:sz w:val="24"/>
          <w:szCs w:val="24"/>
        </w:rPr>
      </w:pPr>
      <w:r>
        <w:rPr>
          <w:sz w:val="24"/>
          <w:szCs w:val="24"/>
        </w:rPr>
        <w:t>煤炭容重：0.8~1.0t/m</w:t>
      </w:r>
      <w:r>
        <w:rPr>
          <w:sz w:val="24"/>
          <w:szCs w:val="24"/>
          <w:vertAlign w:val="superscript"/>
        </w:rPr>
        <w:t>3</w:t>
      </w:r>
    </w:p>
    <w:p>
      <w:pPr>
        <w:pStyle w:val="325"/>
        <w:tabs>
          <w:tab w:val="right" w:leader="dot" w:pos="9070"/>
        </w:tabs>
        <w:adjustRightInd w:val="0"/>
        <w:snapToGrid w:val="0"/>
        <w:spacing w:line="360" w:lineRule="auto"/>
        <w:ind w:firstLine="480" w:firstLineChars="200"/>
        <w:jc w:val="both"/>
        <w:rPr>
          <w:sz w:val="24"/>
          <w:szCs w:val="24"/>
        </w:rPr>
      </w:pPr>
      <w:r>
        <w:rPr>
          <w:sz w:val="24"/>
          <w:szCs w:val="24"/>
        </w:rPr>
        <w:t>含水量：≤14％</w:t>
      </w:r>
    </w:p>
    <w:p>
      <w:pPr>
        <w:pStyle w:val="325"/>
        <w:tabs>
          <w:tab w:val="right" w:leader="dot" w:pos="9070"/>
        </w:tabs>
        <w:adjustRightInd w:val="0"/>
        <w:snapToGrid w:val="0"/>
        <w:spacing w:line="360" w:lineRule="auto"/>
        <w:ind w:firstLine="480" w:firstLineChars="200"/>
        <w:jc w:val="both"/>
        <w:rPr>
          <w:sz w:val="24"/>
          <w:szCs w:val="24"/>
        </w:rPr>
      </w:pPr>
      <w:r>
        <w:rPr>
          <w:sz w:val="24"/>
          <w:szCs w:val="24"/>
        </w:rPr>
        <w:t>粒度：0~300mm</w:t>
      </w:r>
    </w:p>
    <w:p>
      <w:pPr>
        <w:pStyle w:val="325"/>
        <w:tabs>
          <w:tab w:val="right" w:leader="dot" w:pos="9070"/>
        </w:tabs>
        <w:adjustRightInd w:val="0"/>
        <w:snapToGrid w:val="0"/>
        <w:spacing w:line="360" w:lineRule="auto"/>
        <w:ind w:firstLine="480" w:firstLineChars="200"/>
        <w:jc w:val="both"/>
        <w:rPr>
          <w:sz w:val="24"/>
          <w:szCs w:val="24"/>
        </w:rPr>
      </w:pPr>
      <w:r>
        <w:rPr>
          <w:sz w:val="24"/>
          <w:szCs w:val="24"/>
        </w:rPr>
        <w:t>静安息角：35°~42°、动安息角20°~30°</w:t>
      </w:r>
    </w:p>
    <w:p>
      <w:pPr>
        <w:pStyle w:val="325"/>
        <w:tabs>
          <w:tab w:val="right" w:leader="dot" w:pos="9070"/>
        </w:tabs>
        <w:adjustRightInd w:val="0"/>
        <w:snapToGrid w:val="0"/>
        <w:spacing w:line="360" w:lineRule="auto"/>
        <w:ind w:firstLine="480" w:firstLineChars="200"/>
        <w:jc w:val="both"/>
        <w:rPr>
          <w:sz w:val="24"/>
          <w:szCs w:val="24"/>
        </w:rPr>
      </w:pPr>
      <w:r>
        <w:rPr>
          <w:sz w:val="24"/>
          <w:szCs w:val="24"/>
        </w:rPr>
        <w:t>运量：200万吨。</w:t>
      </w:r>
    </w:p>
    <w:p>
      <w:pPr>
        <w:pStyle w:val="325"/>
        <w:tabs>
          <w:tab w:val="right" w:leader="dot" w:pos="9070"/>
        </w:tabs>
        <w:adjustRightInd w:val="0"/>
        <w:snapToGrid w:val="0"/>
        <w:spacing w:line="360" w:lineRule="auto"/>
        <w:ind w:firstLine="480" w:firstLineChars="200"/>
        <w:jc w:val="both"/>
        <w:rPr>
          <w:sz w:val="24"/>
          <w:szCs w:val="24"/>
        </w:rPr>
      </w:pPr>
      <w:r>
        <w:rPr>
          <w:rFonts w:hint="eastAsia" w:ascii="宋体" w:hAnsi="宋体" w:cs="宋体"/>
          <w:sz w:val="24"/>
          <w:szCs w:val="24"/>
        </w:rPr>
        <w:t>⑵</w:t>
      </w:r>
      <w:r>
        <w:rPr>
          <w:sz w:val="24"/>
          <w:szCs w:val="24"/>
        </w:rPr>
        <w:t xml:space="preserve"> 码头年作业天数：330天；</w:t>
      </w:r>
    </w:p>
    <w:p>
      <w:pPr>
        <w:pStyle w:val="325"/>
        <w:tabs>
          <w:tab w:val="right" w:leader="dot" w:pos="9070"/>
        </w:tabs>
        <w:adjustRightInd w:val="0"/>
        <w:snapToGrid w:val="0"/>
        <w:spacing w:line="360" w:lineRule="auto"/>
        <w:ind w:firstLine="480" w:firstLineChars="200"/>
        <w:jc w:val="both"/>
        <w:rPr>
          <w:sz w:val="24"/>
          <w:szCs w:val="24"/>
        </w:rPr>
      </w:pPr>
      <w:r>
        <w:rPr>
          <w:rFonts w:hint="eastAsia" w:ascii="宋体" w:hAnsi="宋体" w:cs="宋体"/>
          <w:sz w:val="24"/>
          <w:szCs w:val="24"/>
        </w:rPr>
        <w:t>⑶</w:t>
      </w:r>
      <w:r>
        <w:rPr>
          <w:sz w:val="24"/>
          <w:szCs w:val="24"/>
        </w:rPr>
        <w:t xml:space="preserve"> 作业班制：三班制；</w:t>
      </w:r>
    </w:p>
    <w:p>
      <w:pPr>
        <w:pStyle w:val="325"/>
        <w:tabs>
          <w:tab w:val="right" w:leader="dot" w:pos="9070"/>
        </w:tabs>
        <w:adjustRightInd w:val="0"/>
        <w:snapToGrid w:val="0"/>
        <w:spacing w:line="360" w:lineRule="auto"/>
        <w:ind w:firstLine="480" w:firstLineChars="200"/>
        <w:jc w:val="both"/>
        <w:rPr>
          <w:sz w:val="24"/>
          <w:szCs w:val="24"/>
        </w:rPr>
      </w:pPr>
      <w:r>
        <w:rPr>
          <w:rFonts w:hint="eastAsia" w:ascii="宋体" w:hAnsi="宋体" w:cs="宋体"/>
          <w:sz w:val="24"/>
          <w:szCs w:val="24"/>
        </w:rPr>
        <w:t>⑷</w:t>
      </w:r>
      <w:r>
        <w:rPr>
          <w:sz w:val="24"/>
          <w:szCs w:val="24"/>
        </w:rPr>
        <w:t xml:space="preserve"> 昼夜非生产时间之和：4.5小时；</w:t>
      </w:r>
    </w:p>
    <w:p>
      <w:pPr>
        <w:pStyle w:val="325"/>
        <w:tabs>
          <w:tab w:val="right" w:leader="dot" w:pos="9070"/>
        </w:tabs>
        <w:adjustRightInd w:val="0"/>
        <w:snapToGrid w:val="0"/>
        <w:spacing w:line="360" w:lineRule="auto"/>
        <w:ind w:firstLine="480" w:firstLineChars="200"/>
        <w:jc w:val="both"/>
        <w:rPr>
          <w:sz w:val="24"/>
          <w:szCs w:val="24"/>
        </w:rPr>
      </w:pPr>
      <w:r>
        <w:rPr>
          <w:rFonts w:hint="eastAsia" w:ascii="宋体" w:hAnsi="宋体" w:cs="宋体"/>
          <w:sz w:val="24"/>
          <w:szCs w:val="24"/>
        </w:rPr>
        <w:t>⑸</w:t>
      </w:r>
      <w:r>
        <w:rPr>
          <w:sz w:val="24"/>
          <w:szCs w:val="24"/>
        </w:rPr>
        <w:t xml:space="preserve"> 泊位利用率：0.65；</w:t>
      </w:r>
    </w:p>
    <w:p>
      <w:pPr>
        <w:pStyle w:val="5"/>
        <w:rPr>
          <w:rFonts w:eastAsiaTheme="minorEastAsia"/>
        </w:rPr>
      </w:pPr>
      <w:r>
        <w:rPr>
          <w:rFonts w:eastAsiaTheme="minorEastAsia"/>
        </w:rPr>
        <w:t>装卸工艺方案</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根据对货种、货物流向、吞吐量及设计船型等基础资料的分析，经计算，本项目需建设3000吨级泊位1个，由于本项目为华能岳阳电厂配套码头升级工程，本次工艺设计范围为码头装卸船工艺及码头至陆域接口转运站的水平运输工艺。</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装卸工艺流程如下：散货船→浮式起重器→双联漏斗→BC1皮带机→BC2皮带机→T1转运站→BC3皮带机→T2转运站→BC4皮带机→T3转运站→BC5皮带机→T4转运站（设计分界点）→已建16#带式输送机→堆场。</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⑴</w:t>
      </w:r>
      <w:r>
        <w:rPr>
          <w:rFonts w:eastAsiaTheme="minorEastAsia"/>
          <w:sz w:val="24"/>
          <w:szCs w:val="24"/>
        </w:rPr>
        <w:t xml:space="preserve"> 码头装卸船工艺</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码头结构型式为浮式码头结构。码头前沿布置一艘80m×20m×3.2m钢制趸船，趸船上采用2台浮式抓斗起重机（额定起重量16t，最大臂幅35m），两台起重机中间布置1座双联漏斗，漏斗下方设置振动给料机，给料机下方布置有单线带式输送机BC1（带宽为1.2m，带速2.5m/s，额定输送能力1000t/h），带式输送机经钢廊道与T1转运站连接，通过带式输送机和转运站系统运输至后方堆场。</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⑵</w:t>
      </w:r>
      <w:r>
        <w:rPr>
          <w:rFonts w:eastAsiaTheme="minorEastAsia"/>
          <w:sz w:val="24"/>
          <w:szCs w:val="24"/>
        </w:rPr>
        <w:t xml:space="preserve"> 水平运输</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散货的水路进口的水平运输方式采用带式输送机。带式输送机的能力与后方陆域堆场内的系统能力相匹配，带式输送机参数如下：Q=1000t/h，B=1.2m，V=2.5m/s。</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⑶</w:t>
      </w:r>
      <w:r>
        <w:rPr>
          <w:rFonts w:eastAsiaTheme="minorEastAsia"/>
          <w:sz w:val="24"/>
          <w:szCs w:val="24"/>
        </w:rPr>
        <w:t xml:space="preserve"> 辅助设备</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散货清舱作业采用滑移装载机。</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为了出铁方便，在T3转运站内BC4带式输送机头部布置1台电磁带式除铁器。</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由于目前堆场内#16带式输送机上安装有皮带秤，根据电厂要求，本次改造的带式输送机系统不新增皮带秤。</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煤炭进口采制样采用采制样机，拟布置在T3转运站附近BC5带式输送机中部。</w:t>
      </w:r>
    </w:p>
    <w:p>
      <w:pPr>
        <w:pStyle w:val="5"/>
        <w:rPr>
          <w:rFonts w:eastAsiaTheme="minorEastAsia"/>
        </w:rPr>
      </w:pPr>
      <w:r>
        <w:rPr>
          <w:rFonts w:eastAsiaTheme="minorEastAsia"/>
        </w:rPr>
        <w:t>装卸设备</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本码头卸船设备采用双浮式起重机。水平运输采用固定带式输送机，为与电厂现有系统能力匹配，设计带式输送机带宽为1.2m，带速2.5m/s，额定输送能力1000t/h。本项目主要装卸机械设备配置详见表3.2-6。</w:t>
      </w:r>
    </w:p>
    <w:p>
      <w:pPr>
        <w:widowControl/>
        <w:spacing w:line="276" w:lineRule="auto"/>
        <w:jc w:val="center"/>
        <w:rPr>
          <w:rFonts w:ascii="Times New Roman" w:hAnsi="Times New Roman"/>
          <w:b/>
          <w:bCs/>
          <w:color w:val="000000"/>
          <w:sz w:val="24"/>
          <w:szCs w:val="24"/>
        </w:rPr>
      </w:pPr>
      <w:r>
        <w:rPr>
          <w:rFonts w:ascii="Times New Roman" w:hAnsi="Times New Roman"/>
          <w:b/>
          <w:color w:val="000000"/>
          <w:kern w:val="0"/>
          <w:sz w:val="24"/>
          <w:szCs w:val="24"/>
        </w:rPr>
        <w:t xml:space="preserve">表3.2-6  </w:t>
      </w:r>
      <w:r>
        <w:rPr>
          <w:rFonts w:ascii="Times New Roman" w:hAnsi="Times New Roman"/>
          <w:b/>
          <w:bCs/>
          <w:color w:val="000000"/>
          <w:sz w:val="24"/>
          <w:szCs w:val="24"/>
        </w:rPr>
        <w:t>主要装卸机械设备配置</w:t>
      </w:r>
    </w:p>
    <w:tbl>
      <w:tblPr>
        <w:tblStyle w:val="7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27"/>
        <w:gridCol w:w="1907"/>
        <w:gridCol w:w="1518"/>
        <w:gridCol w:w="1518"/>
        <w:gridCol w:w="1516"/>
        <w:gridCol w:w="15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19" w:type="pct"/>
            <w:vAlign w:val="center"/>
          </w:tcPr>
          <w:p>
            <w:pPr>
              <w:widowControl/>
              <w:adjustRightInd w:val="0"/>
              <w:snapToGrid w:val="0"/>
              <w:jc w:val="center"/>
              <w:rPr>
                <w:rFonts w:ascii="Times New Roman" w:hAnsi="Times New Roman" w:eastAsiaTheme="minorEastAsia"/>
                <w:b/>
              </w:rPr>
            </w:pPr>
            <w:r>
              <w:rPr>
                <w:rFonts w:ascii="Times New Roman" w:hAnsi="Times New Roman" w:eastAsiaTheme="minorEastAsia"/>
                <w:b/>
              </w:rPr>
              <w:t>序号</w:t>
            </w:r>
          </w:p>
        </w:tc>
        <w:tc>
          <w:tcPr>
            <w:tcW w:w="1048" w:type="pct"/>
            <w:vAlign w:val="center"/>
          </w:tcPr>
          <w:p>
            <w:pPr>
              <w:widowControl/>
              <w:adjustRightInd w:val="0"/>
              <w:snapToGrid w:val="0"/>
              <w:jc w:val="center"/>
              <w:rPr>
                <w:rFonts w:ascii="Times New Roman" w:hAnsi="Times New Roman" w:eastAsiaTheme="minorEastAsia"/>
                <w:b/>
              </w:rPr>
            </w:pPr>
            <w:r>
              <w:rPr>
                <w:rFonts w:ascii="Times New Roman" w:hAnsi="Times New Roman" w:eastAsiaTheme="minorEastAsia"/>
                <w:b/>
              </w:rPr>
              <w:t>名称</w:t>
            </w:r>
          </w:p>
        </w:tc>
        <w:tc>
          <w:tcPr>
            <w:tcW w:w="834" w:type="pct"/>
            <w:vAlign w:val="center"/>
          </w:tcPr>
          <w:p>
            <w:pPr>
              <w:widowControl/>
              <w:adjustRightInd w:val="0"/>
              <w:snapToGrid w:val="0"/>
              <w:jc w:val="center"/>
              <w:rPr>
                <w:rFonts w:ascii="Times New Roman" w:hAnsi="Times New Roman" w:eastAsiaTheme="minorEastAsia"/>
                <w:b/>
              </w:rPr>
            </w:pPr>
            <w:r>
              <w:rPr>
                <w:rFonts w:ascii="Times New Roman" w:hAnsi="Times New Roman" w:eastAsiaTheme="minorEastAsia"/>
                <w:b/>
              </w:rPr>
              <w:t>型号及规格</w:t>
            </w:r>
          </w:p>
        </w:tc>
        <w:tc>
          <w:tcPr>
            <w:tcW w:w="834" w:type="pct"/>
            <w:vAlign w:val="center"/>
          </w:tcPr>
          <w:p>
            <w:pPr>
              <w:widowControl/>
              <w:adjustRightInd w:val="0"/>
              <w:snapToGrid w:val="0"/>
              <w:jc w:val="center"/>
              <w:rPr>
                <w:rFonts w:ascii="Times New Roman" w:hAnsi="Times New Roman" w:eastAsiaTheme="minorEastAsia"/>
                <w:b/>
              </w:rPr>
            </w:pPr>
            <w:r>
              <w:rPr>
                <w:rFonts w:ascii="Times New Roman" w:hAnsi="Times New Roman" w:eastAsiaTheme="minorEastAsia"/>
                <w:b/>
              </w:rPr>
              <w:t>单位</w:t>
            </w:r>
          </w:p>
        </w:tc>
        <w:tc>
          <w:tcPr>
            <w:tcW w:w="833" w:type="pct"/>
            <w:vAlign w:val="center"/>
          </w:tcPr>
          <w:p>
            <w:pPr>
              <w:widowControl/>
              <w:adjustRightInd w:val="0"/>
              <w:snapToGrid w:val="0"/>
              <w:jc w:val="center"/>
              <w:rPr>
                <w:rFonts w:ascii="Times New Roman" w:hAnsi="Times New Roman" w:eastAsiaTheme="minorEastAsia"/>
                <w:b/>
              </w:rPr>
            </w:pPr>
            <w:r>
              <w:rPr>
                <w:rFonts w:ascii="Times New Roman" w:hAnsi="Times New Roman" w:eastAsiaTheme="minorEastAsia"/>
                <w:b/>
              </w:rPr>
              <w:t>数量</w:t>
            </w:r>
          </w:p>
        </w:tc>
        <w:tc>
          <w:tcPr>
            <w:tcW w:w="833" w:type="pct"/>
            <w:vAlign w:val="center"/>
          </w:tcPr>
          <w:p>
            <w:pPr>
              <w:widowControl/>
              <w:adjustRightInd w:val="0"/>
              <w:snapToGrid w:val="0"/>
              <w:jc w:val="center"/>
              <w:rPr>
                <w:rFonts w:ascii="Times New Roman" w:hAnsi="Times New Roman" w:eastAsiaTheme="minorEastAsia"/>
                <w:b/>
              </w:rPr>
            </w:pPr>
            <w:r>
              <w:rPr>
                <w:rFonts w:ascii="Times New Roman" w:hAnsi="Times New Roman" w:eastAsiaTheme="minorEastAsia"/>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9"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rPr>
              <w:t>1</w:t>
            </w:r>
          </w:p>
        </w:tc>
        <w:tc>
          <w:tcPr>
            <w:tcW w:w="1048"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color w:val="000000"/>
              </w:rPr>
              <w:t>浮式起重机</w:t>
            </w:r>
          </w:p>
        </w:tc>
        <w:tc>
          <w:tcPr>
            <w:tcW w:w="834"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color w:val="000000"/>
              </w:rPr>
              <w:t>16t-35m</w:t>
            </w:r>
          </w:p>
        </w:tc>
        <w:tc>
          <w:tcPr>
            <w:tcW w:w="834"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color w:val="000000"/>
              </w:rPr>
              <w:t>台</w:t>
            </w:r>
          </w:p>
        </w:tc>
        <w:tc>
          <w:tcPr>
            <w:tcW w:w="833"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rPr>
              <w:t>2</w:t>
            </w:r>
          </w:p>
        </w:tc>
        <w:tc>
          <w:tcPr>
            <w:tcW w:w="833" w:type="pct"/>
            <w:vAlign w:val="center"/>
          </w:tcPr>
          <w:p>
            <w:pPr>
              <w:widowControl/>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9"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rPr>
              <w:t>2</w:t>
            </w:r>
          </w:p>
        </w:tc>
        <w:tc>
          <w:tcPr>
            <w:tcW w:w="1048"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color w:val="000000"/>
              </w:rPr>
              <w:t>清仓机</w:t>
            </w:r>
          </w:p>
        </w:tc>
        <w:tc>
          <w:tcPr>
            <w:tcW w:w="834" w:type="pct"/>
            <w:vAlign w:val="center"/>
          </w:tcPr>
          <w:p>
            <w:pPr>
              <w:widowControl/>
              <w:adjustRightInd w:val="0"/>
              <w:snapToGrid w:val="0"/>
              <w:jc w:val="center"/>
              <w:rPr>
                <w:rFonts w:ascii="Times New Roman" w:hAnsi="Times New Roman" w:eastAsiaTheme="minorEastAsia"/>
              </w:rPr>
            </w:pPr>
          </w:p>
        </w:tc>
        <w:tc>
          <w:tcPr>
            <w:tcW w:w="834"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color w:val="000000"/>
              </w:rPr>
              <w:t>台</w:t>
            </w:r>
          </w:p>
        </w:tc>
        <w:tc>
          <w:tcPr>
            <w:tcW w:w="833"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rPr>
              <w:t>2</w:t>
            </w:r>
          </w:p>
        </w:tc>
        <w:tc>
          <w:tcPr>
            <w:tcW w:w="833" w:type="pct"/>
            <w:vAlign w:val="center"/>
          </w:tcPr>
          <w:p>
            <w:pPr>
              <w:widowControl/>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9"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rPr>
              <w:t>3</w:t>
            </w:r>
          </w:p>
        </w:tc>
        <w:tc>
          <w:tcPr>
            <w:tcW w:w="1048"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color w:val="000000"/>
              </w:rPr>
              <w:t>带式输送机</w:t>
            </w:r>
          </w:p>
        </w:tc>
        <w:tc>
          <w:tcPr>
            <w:tcW w:w="834"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color w:val="000000"/>
              </w:rPr>
              <w:t>B=1.2m</w:t>
            </w:r>
          </w:p>
        </w:tc>
        <w:tc>
          <w:tcPr>
            <w:tcW w:w="834"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color w:val="000000"/>
              </w:rPr>
              <w:t>条</w:t>
            </w:r>
          </w:p>
        </w:tc>
        <w:tc>
          <w:tcPr>
            <w:tcW w:w="833"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rPr>
              <w:t>5</w:t>
            </w:r>
          </w:p>
        </w:tc>
        <w:tc>
          <w:tcPr>
            <w:tcW w:w="833" w:type="pct"/>
            <w:vAlign w:val="center"/>
          </w:tcPr>
          <w:p>
            <w:pPr>
              <w:widowControl/>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9"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rPr>
              <w:t>4</w:t>
            </w:r>
          </w:p>
        </w:tc>
        <w:tc>
          <w:tcPr>
            <w:tcW w:w="1048"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color w:val="000000"/>
              </w:rPr>
              <w:t>电动单梁悬挂吊</w:t>
            </w:r>
          </w:p>
        </w:tc>
        <w:tc>
          <w:tcPr>
            <w:tcW w:w="834"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color w:val="000000"/>
              </w:rPr>
              <w:t>Q=5t</w:t>
            </w:r>
          </w:p>
        </w:tc>
        <w:tc>
          <w:tcPr>
            <w:tcW w:w="834"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color w:val="000000"/>
              </w:rPr>
              <w:t>台</w:t>
            </w:r>
          </w:p>
        </w:tc>
        <w:tc>
          <w:tcPr>
            <w:tcW w:w="833"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rPr>
              <w:t>4</w:t>
            </w:r>
          </w:p>
        </w:tc>
        <w:tc>
          <w:tcPr>
            <w:tcW w:w="833" w:type="pct"/>
            <w:vAlign w:val="center"/>
          </w:tcPr>
          <w:p>
            <w:pPr>
              <w:widowControl/>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9"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rPr>
              <w:t>5</w:t>
            </w:r>
          </w:p>
        </w:tc>
        <w:tc>
          <w:tcPr>
            <w:tcW w:w="1048"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color w:val="000000"/>
              </w:rPr>
              <w:t>除铁器</w:t>
            </w:r>
          </w:p>
        </w:tc>
        <w:tc>
          <w:tcPr>
            <w:tcW w:w="834"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color w:val="000000"/>
              </w:rPr>
              <w:t>B=1.2m</w:t>
            </w:r>
          </w:p>
        </w:tc>
        <w:tc>
          <w:tcPr>
            <w:tcW w:w="834"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color w:val="000000"/>
              </w:rPr>
              <w:t>台</w:t>
            </w:r>
          </w:p>
        </w:tc>
        <w:tc>
          <w:tcPr>
            <w:tcW w:w="833"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rPr>
              <w:t>1</w:t>
            </w:r>
          </w:p>
        </w:tc>
        <w:tc>
          <w:tcPr>
            <w:tcW w:w="833" w:type="pct"/>
            <w:vAlign w:val="center"/>
          </w:tcPr>
          <w:p>
            <w:pPr>
              <w:widowControl/>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9"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rPr>
              <w:t>6</w:t>
            </w:r>
          </w:p>
        </w:tc>
        <w:tc>
          <w:tcPr>
            <w:tcW w:w="1048"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color w:val="000000"/>
              </w:rPr>
              <w:t>采制样装置</w:t>
            </w:r>
          </w:p>
        </w:tc>
        <w:tc>
          <w:tcPr>
            <w:tcW w:w="834"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color w:val="000000"/>
              </w:rPr>
              <w:t>B=1.2m</w:t>
            </w:r>
          </w:p>
        </w:tc>
        <w:tc>
          <w:tcPr>
            <w:tcW w:w="834"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color w:val="000000"/>
              </w:rPr>
              <w:t>台</w:t>
            </w:r>
          </w:p>
        </w:tc>
        <w:tc>
          <w:tcPr>
            <w:tcW w:w="833"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rPr>
              <w:t>1</w:t>
            </w:r>
          </w:p>
        </w:tc>
        <w:tc>
          <w:tcPr>
            <w:tcW w:w="833" w:type="pct"/>
            <w:vAlign w:val="center"/>
          </w:tcPr>
          <w:p>
            <w:pPr>
              <w:widowControl/>
              <w:adjustRightInd w:val="0"/>
              <w:snapToGrid w:val="0"/>
              <w:jc w:val="center"/>
              <w:rPr>
                <w:rFonts w:ascii="Times New Roman" w:hAnsi="Times New Roman" w:eastAsiaTheme="minorEastAsia"/>
              </w:rPr>
            </w:pPr>
          </w:p>
        </w:tc>
      </w:tr>
    </w:tbl>
    <w:p>
      <w:pPr>
        <w:widowControl/>
        <w:jc w:val="left"/>
        <w:rPr>
          <w:rFonts w:ascii="Times New Roman" w:hAnsi="Times New Roman" w:eastAsiaTheme="minorEastAsia"/>
          <w:sz w:val="24"/>
          <w:szCs w:val="24"/>
        </w:rPr>
      </w:pPr>
    </w:p>
    <w:p>
      <w:pPr>
        <w:pStyle w:val="4"/>
        <w:rPr>
          <w:rFonts w:eastAsiaTheme="minorEastAsia"/>
        </w:rPr>
      </w:pPr>
      <w:r>
        <w:rPr>
          <w:rFonts w:eastAsiaTheme="minorEastAsia"/>
        </w:rPr>
        <w:t>水工建筑物</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拟建工程需新建3000吨级煤炭泊位1个，码头结构按10000吨级内河散货货船设计。港工建筑物等级为</w:t>
      </w:r>
      <w:r>
        <w:rPr>
          <w:rFonts w:hint="eastAsia" w:ascii="宋体" w:hAnsi="宋体" w:cs="宋体"/>
          <w:sz w:val="24"/>
          <w:szCs w:val="24"/>
        </w:rPr>
        <w:t>Ⅱ</w:t>
      </w:r>
      <w:r>
        <w:rPr>
          <w:rFonts w:eastAsiaTheme="minorEastAsia"/>
          <w:sz w:val="24"/>
          <w:szCs w:val="24"/>
        </w:rPr>
        <w:t>级。</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新建码头为浮式结构，由1艘钢质趸船、1座活动钢引桥、2座钢筋砼转运站墩台、1座固定引桥等组成。</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钢质趸船结构平面尺度为80×22m。</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活动钢引桥尺度为60×4.5m，采用空腹拱桁式主梁结构。</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在钢趸船上游设置2根φ1800预制型芯柱钢管桩，下游设置3根φ1800预制型芯柱钢管桩进行消能定位。</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转运站墩台为高桩墩式结构，上部结构均为现浇钢筋砼实体墩；1#转运站墩台平面尺度12×11m+10×6m，2#转运站墩台平面尺度14×10m，其基础均采用φ800mm钻孔灌注桩。</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固定引桥为高桩梁式结构，引桥长度为326.21m，宽度为6m，接岸采用跨堤桁架。引桥标准排架间距为32m，基础采用φ800mm钻孔灌注桩。</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为满足船舶系缆和趸船的锚泊要求，码头在岸上设有2座550kN块石砼系船块体。</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水工建筑物包括钢质趸船、消能设施、活动钢引桥、转运站墩台和固定引桥等。本方案采用钢管桩作为效能设施。各结构平面尺寸及设计高程如表3.2-7所示。</w:t>
      </w:r>
    </w:p>
    <w:p>
      <w:pPr>
        <w:pStyle w:val="325"/>
        <w:tabs>
          <w:tab w:val="right" w:leader="dot" w:pos="9070"/>
        </w:tabs>
        <w:adjustRightInd w:val="0"/>
        <w:snapToGrid w:val="0"/>
        <w:spacing w:line="276" w:lineRule="auto"/>
        <w:jc w:val="center"/>
        <w:rPr>
          <w:rFonts w:eastAsiaTheme="minorEastAsia"/>
          <w:b/>
          <w:sz w:val="24"/>
          <w:szCs w:val="24"/>
        </w:rPr>
      </w:pPr>
      <w:r>
        <w:rPr>
          <w:rFonts w:eastAsiaTheme="minorEastAsia"/>
          <w:b/>
          <w:sz w:val="24"/>
          <w:szCs w:val="24"/>
        </w:rPr>
        <w:t>表3.2-7  水工建筑物平面尺度及设计顶面高程表</w:t>
      </w:r>
    </w:p>
    <w:tbl>
      <w:tblPr>
        <w:tblStyle w:val="7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85"/>
        <w:gridCol w:w="2140"/>
        <w:gridCol w:w="2335"/>
        <w:gridCol w:w="2231"/>
        <w:gridCol w:w="14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1" w:type="pct"/>
            <w:vAlign w:val="center"/>
          </w:tcPr>
          <w:p>
            <w:pPr>
              <w:pStyle w:val="325"/>
              <w:tabs>
                <w:tab w:val="right" w:leader="dot" w:pos="9070"/>
              </w:tabs>
              <w:adjustRightInd w:val="0"/>
              <w:snapToGrid w:val="0"/>
              <w:jc w:val="center"/>
              <w:rPr>
                <w:rFonts w:eastAsiaTheme="minorEastAsia"/>
                <w:b/>
                <w:sz w:val="21"/>
                <w:szCs w:val="21"/>
              </w:rPr>
            </w:pPr>
            <w:r>
              <w:rPr>
                <w:rFonts w:eastAsiaTheme="minorEastAsia"/>
                <w:b/>
                <w:sz w:val="21"/>
                <w:szCs w:val="21"/>
              </w:rPr>
              <w:t>序号</w:t>
            </w:r>
          </w:p>
        </w:tc>
        <w:tc>
          <w:tcPr>
            <w:tcW w:w="1176" w:type="pct"/>
            <w:vAlign w:val="center"/>
          </w:tcPr>
          <w:p>
            <w:pPr>
              <w:pStyle w:val="325"/>
              <w:tabs>
                <w:tab w:val="right" w:leader="dot" w:pos="9070"/>
              </w:tabs>
              <w:adjustRightInd w:val="0"/>
              <w:snapToGrid w:val="0"/>
              <w:jc w:val="center"/>
              <w:rPr>
                <w:rFonts w:eastAsiaTheme="minorEastAsia"/>
                <w:b/>
                <w:sz w:val="21"/>
                <w:szCs w:val="21"/>
              </w:rPr>
            </w:pPr>
            <w:r>
              <w:rPr>
                <w:b/>
                <w:color w:val="000000"/>
                <w:sz w:val="21"/>
                <w:szCs w:val="21"/>
              </w:rPr>
              <w:t>项目名称</w:t>
            </w:r>
          </w:p>
        </w:tc>
        <w:tc>
          <w:tcPr>
            <w:tcW w:w="1283" w:type="pct"/>
            <w:vAlign w:val="center"/>
          </w:tcPr>
          <w:p>
            <w:pPr>
              <w:pStyle w:val="325"/>
              <w:tabs>
                <w:tab w:val="left" w:pos="557"/>
              </w:tabs>
              <w:adjustRightInd w:val="0"/>
              <w:snapToGrid w:val="0"/>
              <w:jc w:val="center"/>
              <w:rPr>
                <w:rFonts w:eastAsiaTheme="minorEastAsia"/>
                <w:b/>
                <w:sz w:val="21"/>
                <w:szCs w:val="21"/>
              </w:rPr>
            </w:pPr>
            <w:r>
              <w:rPr>
                <w:b/>
                <w:color w:val="000000"/>
                <w:sz w:val="21"/>
                <w:szCs w:val="21"/>
              </w:rPr>
              <w:t>平面尺度（长×宽 m）</w:t>
            </w:r>
          </w:p>
        </w:tc>
        <w:tc>
          <w:tcPr>
            <w:tcW w:w="1226" w:type="pct"/>
            <w:vAlign w:val="center"/>
          </w:tcPr>
          <w:p>
            <w:pPr>
              <w:pStyle w:val="325"/>
              <w:tabs>
                <w:tab w:val="right" w:leader="dot" w:pos="9070"/>
              </w:tabs>
              <w:adjustRightInd w:val="0"/>
              <w:snapToGrid w:val="0"/>
              <w:jc w:val="center"/>
              <w:rPr>
                <w:rFonts w:eastAsiaTheme="minorEastAsia"/>
                <w:b/>
                <w:sz w:val="21"/>
                <w:szCs w:val="21"/>
              </w:rPr>
            </w:pPr>
            <w:r>
              <w:rPr>
                <w:b/>
                <w:color w:val="000000"/>
                <w:sz w:val="21"/>
                <w:szCs w:val="21"/>
              </w:rPr>
              <w:t>设计顶面高程（m）</w:t>
            </w:r>
          </w:p>
        </w:tc>
        <w:tc>
          <w:tcPr>
            <w:tcW w:w="774" w:type="pct"/>
            <w:vAlign w:val="center"/>
          </w:tcPr>
          <w:p>
            <w:pPr>
              <w:pStyle w:val="325"/>
              <w:tabs>
                <w:tab w:val="left" w:pos="462"/>
              </w:tabs>
              <w:adjustRightInd w:val="0"/>
              <w:snapToGrid w:val="0"/>
              <w:jc w:val="center"/>
              <w:rPr>
                <w:rFonts w:eastAsiaTheme="minorEastAsia"/>
                <w:b/>
                <w:sz w:val="21"/>
                <w:szCs w:val="21"/>
              </w:rPr>
            </w:pPr>
            <w:r>
              <w:rPr>
                <w:rFonts w:eastAsiaTheme="minorEastAsia"/>
                <w:b/>
                <w:sz w:val="21"/>
                <w:szCs w:val="21"/>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1" w:type="pct"/>
            <w:vAlign w:val="center"/>
          </w:tcPr>
          <w:p>
            <w:pPr>
              <w:pStyle w:val="325"/>
              <w:tabs>
                <w:tab w:val="right" w:leader="dot" w:pos="9070"/>
              </w:tabs>
              <w:adjustRightInd w:val="0"/>
              <w:snapToGrid w:val="0"/>
              <w:jc w:val="center"/>
              <w:rPr>
                <w:rFonts w:eastAsiaTheme="minorEastAsia"/>
                <w:sz w:val="21"/>
                <w:szCs w:val="21"/>
              </w:rPr>
            </w:pPr>
            <w:r>
              <w:rPr>
                <w:rFonts w:eastAsiaTheme="minorEastAsia"/>
                <w:sz w:val="21"/>
                <w:szCs w:val="21"/>
              </w:rPr>
              <w:t>1</w:t>
            </w:r>
          </w:p>
        </w:tc>
        <w:tc>
          <w:tcPr>
            <w:tcW w:w="1176" w:type="pct"/>
            <w:vAlign w:val="center"/>
          </w:tcPr>
          <w:p>
            <w:pPr>
              <w:pStyle w:val="325"/>
              <w:tabs>
                <w:tab w:val="right" w:leader="dot" w:pos="9070"/>
              </w:tabs>
              <w:adjustRightInd w:val="0"/>
              <w:snapToGrid w:val="0"/>
              <w:jc w:val="center"/>
              <w:rPr>
                <w:rFonts w:eastAsiaTheme="minorEastAsia"/>
                <w:sz w:val="21"/>
                <w:szCs w:val="21"/>
              </w:rPr>
            </w:pPr>
            <w:r>
              <w:rPr>
                <w:color w:val="000000"/>
                <w:sz w:val="21"/>
                <w:szCs w:val="21"/>
              </w:rPr>
              <w:t>钢质趸船</w:t>
            </w:r>
          </w:p>
        </w:tc>
        <w:tc>
          <w:tcPr>
            <w:tcW w:w="1283" w:type="pct"/>
            <w:vAlign w:val="center"/>
          </w:tcPr>
          <w:p>
            <w:pPr>
              <w:pStyle w:val="325"/>
              <w:tabs>
                <w:tab w:val="right" w:leader="dot" w:pos="9070"/>
              </w:tabs>
              <w:adjustRightInd w:val="0"/>
              <w:snapToGrid w:val="0"/>
              <w:jc w:val="center"/>
              <w:rPr>
                <w:rFonts w:eastAsiaTheme="minorEastAsia"/>
                <w:sz w:val="21"/>
                <w:szCs w:val="21"/>
              </w:rPr>
            </w:pPr>
            <w:r>
              <w:rPr>
                <w:color w:val="000000"/>
                <w:sz w:val="21"/>
                <w:szCs w:val="21"/>
              </w:rPr>
              <w:t>80×22</w:t>
            </w:r>
          </w:p>
        </w:tc>
        <w:tc>
          <w:tcPr>
            <w:tcW w:w="1226" w:type="pct"/>
            <w:vAlign w:val="center"/>
          </w:tcPr>
          <w:p>
            <w:pPr>
              <w:pStyle w:val="325"/>
              <w:tabs>
                <w:tab w:val="right" w:leader="dot" w:pos="9070"/>
              </w:tabs>
              <w:adjustRightInd w:val="0"/>
              <w:snapToGrid w:val="0"/>
              <w:jc w:val="center"/>
              <w:rPr>
                <w:rFonts w:eastAsiaTheme="minorEastAsia"/>
                <w:sz w:val="21"/>
                <w:szCs w:val="21"/>
              </w:rPr>
            </w:pPr>
          </w:p>
        </w:tc>
        <w:tc>
          <w:tcPr>
            <w:tcW w:w="774" w:type="pct"/>
            <w:vAlign w:val="center"/>
          </w:tcPr>
          <w:p>
            <w:pPr>
              <w:pStyle w:val="325"/>
              <w:tabs>
                <w:tab w:val="right" w:leader="dot" w:pos="9070"/>
              </w:tabs>
              <w:adjustRightInd w:val="0"/>
              <w:snapToGrid w:val="0"/>
              <w:jc w:val="center"/>
              <w:rPr>
                <w:rFonts w:eastAsiaTheme="minorEastAsia"/>
                <w:sz w:val="21"/>
                <w:szCs w:val="21"/>
              </w:rPr>
            </w:pPr>
            <w:r>
              <w:rPr>
                <w:color w:val="000000"/>
                <w:sz w:val="21"/>
                <w:szCs w:val="21"/>
              </w:rPr>
              <w:t>1艘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1" w:type="pct"/>
            <w:vAlign w:val="center"/>
          </w:tcPr>
          <w:p>
            <w:pPr>
              <w:pStyle w:val="325"/>
              <w:tabs>
                <w:tab w:val="right" w:leader="dot" w:pos="9070"/>
              </w:tabs>
              <w:adjustRightInd w:val="0"/>
              <w:snapToGrid w:val="0"/>
              <w:jc w:val="center"/>
              <w:rPr>
                <w:rFonts w:eastAsiaTheme="minorEastAsia"/>
                <w:sz w:val="21"/>
                <w:szCs w:val="21"/>
              </w:rPr>
            </w:pPr>
            <w:r>
              <w:rPr>
                <w:rFonts w:eastAsiaTheme="minorEastAsia"/>
                <w:sz w:val="21"/>
                <w:szCs w:val="21"/>
              </w:rPr>
              <w:t>2</w:t>
            </w:r>
          </w:p>
        </w:tc>
        <w:tc>
          <w:tcPr>
            <w:tcW w:w="1176" w:type="pct"/>
            <w:vAlign w:val="center"/>
          </w:tcPr>
          <w:p>
            <w:pPr>
              <w:pStyle w:val="325"/>
              <w:tabs>
                <w:tab w:val="right" w:leader="dot" w:pos="9070"/>
              </w:tabs>
              <w:adjustRightInd w:val="0"/>
              <w:snapToGrid w:val="0"/>
              <w:jc w:val="center"/>
              <w:rPr>
                <w:rFonts w:eastAsiaTheme="minorEastAsia"/>
                <w:sz w:val="21"/>
                <w:szCs w:val="21"/>
              </w:rPr>
            </w:pPr>
            <w:r>
              <w:rPr>
                <w:color w:val="000000"/>
                <w:sz w:val="21"/>
                <w:szCs w:val="21"/>
              </w:rPr>
              <w:t>活动钢引桥</w:t>
            </w:r>
          </w:p>
        </w:tc>
        <w:tc>
          <w:tcPr>
            <w:tcW w:w="1283" w:type="pct"/>
            <w:vAlign w:val="center"/>
          </w:tcPr>
          <w:p>
            <w:pPr>
              <w:pStyle w:val="325"/>
              <w:tabs>
                <w:tab w:val="right" w:leader="dot" w:pos="9070"/>
              </w:tabs>
              <w:adjustRightInd w:val="0"/>
              <w:snapToGrid w:val="0"/>
              <w:jc w:val="center"/>
              <w:rPr>
                <w:rFonts w:eastAsiaTheme="minorEastAsia"/>
                <w:sz w:val="21"/>
                <w:szCs w:val="21"/>
              </w:rPr>
            </w:pPr>
            <w:r>
              <w:rPr>
                <w:color w:val="000000"/>
                <w:sz w:val="21"/>
                <w:szCs w:val="21"/>
              </w:rPr>
              <w:t>60×4.5</w:t>
            </w:r>
          </w:p>
        </w:tc>
        <w:tc>
          <w:tcPr>
            <w:tcW w:w="1226" w:type="pct"/>
            <w:vAlign w:val="center"/>
          </w:tcPr>
          <w:p>
            <w:pPr>
              <w:pStyle w:val="325"/>
              <w:tabs>
                <w:tab w:val="right" w:leader="dot" w:pos="9070"/>
              </w:tabs>
              <w:adjustRightInd w:val="0"/>
              <w:snapToGrid w:val="0"/>
              <w:jc w:val="center"/>
              <w:rPr>
                <w:rFonts w:eastAsiaTheme="minorEastAsia"/>
                <w:sz w:val="21"/>
                <w:szCs w:val="21"/>
              </w:rPr>
            </w:pPr>
          </w:p>
        </w:tc>
        <w:tc>
          <w:tcPr>
            <w:tcW w:w="774" w:type="pct"/>
            <w:vAlign w:val="center"/>
          </w:tcPr>
          <w:p>
            <w:pPr>
              <w:pStyle w:val="325"/>
              <w:tabs>
                <w:tab w:val="right" w:leader="dot" w:pos="9070"/>
              </w:tabs>
              <w:adjustRightInd w:val="0"/>
              <w:snapToGrid w:val="0"/>
              <w:jc w:val="center"/>
              <w:rPr>
                <w:rFonts w:eastAsiaTheme="minorEastAsia"/>
                <w:sz w:val="21"/>
                <w:szCs w:val="21"/>
              </w:rPr>
            </w:pPr>
            <w:r>
              <w:rPr>
                <w:color w:val="000000"/>
                <w:sz w:val="21"/>
                <w:szCs w:val="21"/>
              </w:rPr>
              <w:t>1座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1" w:type="pct"/>
            <w:vAlign w:val="center"/>
          </w:tcPr>
          <w:p>
            <w:pPr>
              <w:pStyle w:val="325"/>
              <w:tabs>
                <w:tab w:val="right" w:leader="dot" w:pos="9070"/>
              </w:tabs>
              <w:adjustRightInd w:val="0"/>
              <w:snapToGrid w:val="0"/>
              <w:jc w:val="center"/>
              <w:rPr>
                <w:rFonts w:eastAsiaTheme="minorEastAsia"/>
                <w:sz w:val="21"/>
                <w:szCs w:val="21"/>
              </w:rPr>
            </w:pPr>
            <w:r>
              <w:rPr>
                <w:rFonts w:eastAsiaTheme="minorEastAsia"/>
                <w:sz w:val="21"/>
                <w:szCs w:val="21"/>
              </w:rPr>
              <w:t>3</w:t>
            </w:r>
          </w:p>
        </w:tc>
        <w:tc>
          <w:tcPr>
            <w:tcW w:w="1176" w:type="pct"/>
            <w:vAlign w:val="center"/>
          </w:tcPr>
          <w:p>
            <w:pPr>
              <w:pStyle w:val="325"/>
              <w:tabs>
                <w:tab w:val="right" w:leader="dot" w:pos="9070"/>
              </w:tabs>
              <w:adjustRightInd w:val="0"/>
              <w:snapToGrid w:val="0"/>
              <w:jc w:val="center"/>
              <w:rPr>
                <w:rFonts w:eastAsiaTheme="minorEastAsia"/>
                <w:sz w:val="21"/>
                <w:szCs w:val="21"/>
              </w:rPr>
            </w:pPr>
            <w:r>
              <w:rPr>
                <w:color w:val="000000"/>
                <w:sz w:val="21"/>
                <w:szCs w:val="21"/>
              </w:rPr>
              <w:t>靠船钢管桩</w:t>
            </w:r>
          </w:p>
        </w:tc>
        <w:tc>
          <w:tcPr>
            <w:tcW w:w="1283" w:type="pct"/>
            <w:vAlign w:val="center"/>
          </w:tcPr>
          <w:p>
            <w:pPr>
              <w:pStyle w:val="325"/>
              <w:tabs>
                <w:tab w:val="right" w:leader="dot" w:pos="9070"/>
              </w:tabs>
              <w:adjustRightInd w:val="0"/>
              <w:snapToGrid w:val="0"/>
              <w:jc w:val="center"/>
              <w:rPr>
                <w:rFonts w:eastAsiaTheme="minorEastAsia"/>
                <w:sz w:val="21"/>
                <w:szCs w:val="21"/>
              </w:rPr>
            </w:pPr>
            <w:r>
              <w:rPr>
                <w:color w:val="000000"/>
                <w:sz w:val="21"/>
                <w:szCs w:val="21"/>
              </w:rPr>
              <w:t>φ1800mm</w:t>
            </w:r>
          </w:p>
        </w:tc>
        <w:tc>
          <w:tcPr>
            <w:tcW w:w="1226" w:type="pct"/>
            <w:vAlign w:val="center"/>
          </w:tcPr>
          <w:p>
            <w:pPr>
              <w:pStyle w:val="325"/>
              <w:tabs>
                <w:tab w:val="right" w:leader="dot" w:pos="9070"/>
              </w:tabs>
              <w:adjustRightInd w:val="0"/>
              <w:snapToGrid w:val="0"/>
              <w:jc w:val="center"/>
              <w:rPr>
                <w:rFonts w:eastAsiaTheme="minorEastAsia"/>
                <w:sz w:val="21"/>
                <w:szCs w:val="21"/>
              </w:rPr>
            </w:pPr>
            <w:r>
              <w:rPr>
                <w:color w:val="000000"/>
                <w:sz w:val="21"/>
                <w:szCs w:val="21"/>
              </w:rPr>
              <w:t>36</w:t>
            </w:r>
          </w:p>
        </w:tc>
        <w:tc>
          <w:tcPr>
            <w:tcW w:w="774" w:type="pct"/>
            <w:vAlign w:val="center"/>
          </w:tcPr>
          <w:p>
            <w:pPr>
              <w:pStyle w:val="325"/>
              <w:tabs>
                <w:tab w:val="right" w:leader="dot" w:pos="9070"/>
              </w:tabs>
              <w:adjustRightInd w:val="0"/>
              <w:snapToGrid w:val="0"/>
              <w:jc w:val="center"/>
              <w:rPr>
                <w:rFonts w:eastAsiaTheme="minorEastAsia"/>
                <w:sz w:val="21"/>
                <w:szCs w:val="21"/>
              </w:rPr>
            </w:pPr>
            <w:r>
              <w:rPr>
                <w:color w:val="000000"/>
                <w:sz w:val="21"/>
                <w:szCs w:val="21"/>
              </w:rPr>
              <w:t>5根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1" w:type="pct"/>
            <w:vAlign w:val="center"/>
          </w:tcPr>
          <w:p>
            <w:pPr>
              <w:pStyle w:val="325"/>
              <w:tabs>
                <w:tab w:val="right" w:leader="dot" w:pos="9070"/>
              </w:tabs>
              <w:adjustRightInd w:val="0"/>
              <w:snapToGrid w:val="0"/>
              <w:jc w:val="center"/>
              <w:rPr>
                <w:rFonts w:eastAsiaTheme="minorEastAsia"/>
                <w:sz w:val="21"/>
                <w:szCs w:val="21"/>
              </w:rPr>
            </w:pPr>
            <w:r>
              <w:rPr>
                <w:rFonts w:eastAsiaTheme="minorEastAsia"/>
                <w:sz w:val="21"/>
                <w:szCs w:val="21"/>
              </w:rPr>
              <w:t>4</w:t>
            </w:r>
          </w:p>
        </w:tc>
        <w:tc>
          <w:tcPr>
            <w:tcW w:w="1176" w:type="pct"/>
            <w:vAlign w:val="center"/>
          </w:tcPr>
          <w:p>
            <w:pPr>
              <w:pStyle w:val="325"/>
              <w:tabs>
                <w:tab w:val="right" w:leader="dot" w:pos="9070"/>
              </w:tabs>
              <w:adjustRightInd w:val="0"/>
              <w:snapToGrid w:val="0"/>
              <w:jc w:val="center"/>
              <w:rPr>
                <w:rFonts w:eastAsiaTheme="minorEastAsia"/>
                <w:sz w:val="21"/>
                <w:szCs w:val="21"/>
              </w:rPr>
            </w:pPr>
            <w:r>
              <w:rPr>
                <w:color w:val="000000"/>
                <w:sz w:val="21"/>
                <w:szCs w:val="21"/>
              </w:rPr>
              <w:t>1#转运站墩台</w:t>
            </w:r>
          </w:p>
        </w:tc>
        <w:tc>
          <w:tcPr>
            <w:tcW w:w="1283" w:type="pct"/>
            <w:vAlign w:val="center"/>
          </w:tcPr>
          <w:p>
            <w:pPr>
              <w:pStyle w:val="325"/>
              <w:tabs>
                <w:tab w:val="right" w:leader="dot" w:pos="9070"/>
              </w:tabs>
              <w:adjustRightInd w:val="0"/>
              <w:snapToGrid w:val="0"/>
              <w:jc w:val="center"/>
              <w:rPr>
                <w:rFonts w:eastAsiaTheme="minorEastAsia"/>
                <w:sz w:val="21"/>
                <w:szCs w:val="21"/>
              </w:rPr>
            </w:pPr>
            <w:r>
              <w:rPr>
                <w:color w:val="000000"/>
                <w:sz w:val="21"/>
                <w:szCs w:val="21"/>
              </w:rPr>
              <w:t>12×11+10×6</w:t>
            </w:r>
          </w:p>
        </w:tc>
        <w:tc>
          <w:tcPr>
            <w:tcW w:w="1226" w:type="pct"/>
            <w:vAlign w:val="center"/>
          </w:tcPr>
          <w:p>
            <w:pPr>
              <w:pStyle w:val="325"/>
              <w:tabs>
                <w:tab w:val="right" w:leader="dot" w:pos="9070"/>
              </w:tabs>
              <w:adjustRightInd w:val="0"/>
              <w:snapToGrid w:val="0"/>
              <w:jc w:val="center"/>
              <w:rPr>
                <w:rFonts w:eastAsiaTheme="minorEastAsia"/>
                <w:sz w:val="21"/>
                <w:szCs w:val="21"/>
              </w:rPr>
            </w:pPr>
            <w:r>
              <w:rPr>
                <w:color w:val="000000"/>
                <w:sz w:val="21"/>
                <w:szCs w:val="21"/>
              </w:rPr>
              <w:t>33.50</w:t>
            </w:r>
          </w:p>
        </w:tc>
        <w:tc>
          <w:tcPr>
            <w:tcW w:w="774" w:type="pct"/>
            <w:vAlign w:val="center"/>
          </w:tcPr>
          <w:p>
            <w:pPr>
              <w:pStyle w:val="325"/>
              <w:tabs>
                <w:tab w:val="right" w:leader="dot" w:pos="9070"/>
              </w:tabs>
              <w:adjustRightInd w:val="0"/>
              <w:snapToGrid w:val="0"/>
              <w:jc w:val="center"/>
              <w:rPr>
                <w:rFonts w:eastAsiaTheme="minorEastAsia"/>
                <w:sz w:val="21"/>
                <w:szCs w:val="21"/>
              </w:rPr>
            </w:pPr>
            <w:r>
              <w:rPr>
                <w:color w:val="000000"/>
                <w:sz w:val="21"/>
                <w:szCs w:val="21"/>
              </w:rPr>
              <w:t>1座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1" w:type="pct"/>
            <w:vAlign w:val="center"/>
          </w:tcPr>
          <w:p>
            <w:pPr>
              <w:pStyle w:val="325"/>
              <w:tabs>
                <w:tab w:val="right" w:leader="dot" w:pos="9070"/>
              </w:tabs>
              <w:adjustRightInd w:val="0"/>
              <w:snapToGrid w:val="0"/>
              <w:jc w:val="center"/>
              <w:rPr>
                <w:rFonts w:eastAsiaTheme="minorEastAsia"/>
                <w:sz w:val="21"/>
                <w:szCs w:val="21"/>
              </w:rPr>
            </w:pPr>
            <w:r>
              <w:rPr>
                <w:rFonts w:eastAsiaTheme="minorEastAsia"/>
                <w:sz w:val="21"/>
                <w:szCs w:val="21"/>
              </w:rPr>
              <w:t>5</w:t>
            </w:r>
          </w:p>
        </w:tc>
        <w:tc>
          <w:tcPr>
            <w:tcW w:w="1176" w:type="pct"/>
            <w:vAlign w:val="center"/>
          </w:tcPr>
          <w:p>
            <w:pPr>
              <w:pStyle w:val="325"/>
              <w:tabs>
                <w:tab w:val="right" w:leader="dot" w:pos="9070"/>
              </w:tabs>
              <w:adjustRightInd w:val="0"/>
              <w:snapToGrid w:val="0"/>
              <w:jc w:val="center"/>
              <w:rPr>
                <w:rFonts w:eastAsiaTheme="minorEastAsia"/>
                <w:sz w:val="21"/>
                <w:szCs w:val="21"/>
              </w:rPr>
            </w:pPr>
            <w:r>
              <w:rPr>
                <w:color w:val="000000"/>
                <w:sz w:val="21"/>
                <w:szCs w:val="21"/>
              </w:rPr>
              <w:t>2#转运站墩台</w:t>
            </w:r>
          </w:p>
        </w:tc>
        <w:tc>
          <w:tcPr>
            <w:tcW w:w="1283" w:type="pct"/>
            <w:vAlign w:val="center"/>
          </w:tcPr>
          <w:p>
            <w:pPr>
              <w:pStyle w:val="325"/>
              <w:tabs>
                <w:tab w:val="right" w:leader="dot" w:pos="9070"/>
              </w:tabs>
              <w:adjustRightInd w:val="0"/>
              <w:snapToGrid w:val="0"/>
              <w:jc w:val="center"/>
              <w:rPr>
                <w:rFonts w:eastAsiaTheme="minorEastAsia"/>
                <w:sz w:val="21"/>
                <w:szCs w:val="21"/>
              </w:rPr>
            </w:pPr>
            <w:r>
              <w:rPr>
                <w:color w:val="000000"/>
                <w:sz w:val="21"/>
                <w:szCs w:val="21"/>
              </w:rPr>
              <w:t>14×10</w:t>
            </w:r>
          </w:p>
        </w:tc>
        <w:tc>
          <w:tcPr>
            <w:tcW w:w="1226" w:type="pct"/>
            <w:vAlign w:val="center"/>
          </w:tcPr>
          <w:p>
            <w:pPr>
              <w:pStyle w:val="325"/>
              <w:tabs>
                <w:tab w:val="right" w:leader="dot" w:pos="9070"/>
              </w:tabs>
              <w:adjustRightInd w:val="0"/>
              <w:snapToGrid w:val="0"/>
              <w:jc w:val="center"/>
              <w:rPr>
                <w:rFonts w:eastAsiaTheme="minorEastAsia"/>
                <w:sz w:val="21"/>
                <w:szCs w:val="21"/>
              </w:rPr>
            </w:pPr>
            <w:r>
              <w:rPr>
                <w:color w:val="000000"/>
                <w:sz w:val="21"/>
                <w:szCs w:val="21"/>
              </w:rPr>
              <w:t>33.50</w:t>
            </w:r>
          </w:p>
        </w:tc>
        <w:tc>
          <w:tcPr>
            <w:tcW w:w="774" w:type="pct"/>
            <w:vAlign w:val="center"/>
          </w:tcPr>
          <w:p>
            <w:pPr>
              <w:pStyle w:val="325"/>
              <w:tabs>
                <w:tab w:val="right" w:leader="dot" w:pos="9070"/>
              </w:tabs>
              <w:adjustRightInd w:val="0"/>
              <w:snapToGrid w:val="0"/>
              <w:jc w:val="center"/>
              <w:rPr>
                <w:rFonts w:eastAsiaTheme="minorEastAsia"/>
                <w:sz w:val="21"/>
                <w:szCs w:val="21"/>
              </w:rPr>
            </w:pPr>
            <w:r>
              <w:rPr>
                <w:color w:val="000000"/>
                <w:sz w:val="21"/>
                <w:szCs w:val="21"/>
              </w:rPr>
              <w:t>1座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1" w:type="pct"/>
            <w:vAlign w:val="center"/>
          </w:tcPr>
          <w:p>
            <w:pPr>
              <w:pStyle w:val="325"/>
              <w:tabs>
                <w:tab w:val="right" w:leader="dot" w:pos="9070"/>
              </w:tabs>
              <w:adjustRightInd w:val="0"/>
              <w:snapToGrid w:val="0"/>
              <w:jc w:val="center"/>
              <w:rPr>
                <w:rFonts w:eastAsiaTheme="minorEastAsia"/>
                <w:sz w:val="21"/>
                <w:szCs w:val="21"/>
              </w:rPr>
            </w:pPr>
            <w:r>
              <w:rPr>
                <w:rFonts w:eastAsiaTheme="minorEastAsia"/>
                <w:sz w:val="21"/>
                <w:szCs w:val="21"/>
              </w:rPr>
              <w:t>6</w:t>
            </w:r>
          </w:p>
        </w:tc>
        <w:tc>
          <w:tcPr>
            <w:tcW w:w="1176" w:type="pct"/>
            <w:vAlign w:val="center"/>
          </w:tcPr>
          <w:p>
            <w:pPr>
              <w:pStyle w:val="325"/>
              <w:tabs>
                <w:tab w:val="right" w:leader="dot" w:pos="9070"/>
              </w:tabs>
              <w:adjustRightInd w:val="0"/>
              <w:snapToGrid w:val="0"/>
              <w:jc w:val="center"/>
              <w:rPr>
                <w:rFonts w:eastAsiaTheme="minorEastAsia"/>
                <w:sz w:val="21"/>
                <w:szCs w:val="21"/>
              </w:rPr>
            </w:pPr>
            <w:r>
              <w:rPr>
                <w:color w:val="000000"/>
                <w:sz w:val="21"/>
                <w:szCs w:val="21"/>
              </w:rPr>
              <w:t>固定引桥</w:t>
            </w:r>
          </w:p>
        </w:tc>
        <w:tc>
          <w:tcPr>
            <w:tcW w:w="1283" w:type="pct"/>
            <w:vAlign w:val="center"/>
          </w:tcPr>
          <w:p>
            <w:pPr>
              <w:pStyle w:val="325"/>
              <w:tabs>
                <w:tab w:val="right" w:leader="dot" w:pos="9070"/>
              </w:tabs>
              <w:adjustRightInd w:val="0"/>
              <w:snapToGrid w:val="0"/>
              <w:jc w:val="center"/>
              <w:rPr>
                <w:rFonts w:eastAsiaTheme="minorEastAsia"/>
                <w:sz w:val="21"/>
                <w:szCs w:val="21"/>
              </w:rPr>
            </w:pPr>
            <w:r>
              <w:rPr>
                <w:color w:val="000000"/>
                <w:sz w:val="21"/>
                <w:szCs w:val="21"/>
              </w:rPr>
              <w:t>327×6</w:t>
            </w:r>
          </w:p>
        </w:tc>
        <w:tc>
          <w:tcPr>
            <w:tcW w:w="1226" w:type="pct"/>
            <w:vAlign w:val="center"/>
          </w:tcPr>
          <w:p>
            <w:pPr>
              <w:pStyle w:val="325"/>
              <w:tabs>
                <w:tab w:val="right" w:leader="dot" w:pos="9070"/>
              </w:tabs>
              <w:adjustRightInd w:val="0"/>
              <w:snapToGrid w:val="0"/>
              <w:jc w:val="center"/>
              <w:rPr>
                <w:rFonts w:eastAsiaTheme="minorEastAsia"/>
                <w:sz w:val="21"/>
                <w:szCs w:val="21"/>
              </w:rPr>
            </w:pPr>
            <w:r>
              <w:rPr>
                <w:color w:val="000000"/>
                <w:sz w:val="21"/>
                <w:szCs w:val="21"/>
              </w:rPr>
              <w:t>33.50</w:t>
            </w:r>
          </w:p>
        </w:tc>
        <w:tc>
          <w:tcPr>
            <w:tcW w:w="774" w:type="pct"/>
            <w:vAlign w:val="center"/>
          </w:tcPr>
          <w:p>
            <w:pPr>
              <w:pStyle w:val="325"/>
              <w:tabs>
                <w:tab w:val="right" w:leader="dot" w:pos="9070"/>
              </w:tabs>
              <w:adjustRightInd w:val="0"/>
              <w:snapToGrid w:val="0"/>
              <w:jc w:val="center"/>
              <w:rPr>
                <w:rFonts w:eastAsiaTheme="minorEastAsia"/>
                <w:sz w:val="21"/>
                <w:szCs w:val="21"/>
              </w:rPr>
            </w:pPr>
            <w:r>
              <w:rPr>
                <w:color w:val="000000"/>
                <w:sz w:val="21"/>
                <w:szCs w:val="21"/>
              </w:rPr>
              <w:t>1座</w:t>
            </w:r>
          </w:p>
        </w:tc>
      </w:tr>
    </w:tbl>
    <w:p>
      <w:pPr>
        <w:pStyle w:val="325"/>
        <w:tabs>
          <w:tab w:val="right" w:leader="dot" w:pos="9070"/>
        </w:tabs>
        <w:adjustRightInd w:val="0"/>
        <w:snapToGrid w:val="0"/>
        <w:spacing w:line="360" w:lineRule="auto"/>
        <w:ind w:firstLine="480" w:firstLineChars="200"/>
        <w:jc w:val="both"/>
        <w:rPr>
          <w:rFonts w:eastAsiaTheme="minorEastAsia"/>
          <w:sz w:val="24"/>
          <w:szCs w:val="24"/>
        </w:rPr>
      </w:pPr>
    </w:p>
    <w:p>
      <w:pPr>
        <w:pStyle w:val="4"/>
        <w:rPr>
          <w:rFonts w:eastAsiaTheme="minorEastAsia"/>
        </w:rPr>
      </w:pPr>
      <w:bookmarkStart w:id="34" w:name="_Toc14611"/>
      <w:r>
        <w:rPr>
          <w:rFonts w:eastAsiaTheme="minorEastAsia"/>
        </w:rPr>
        <w:t>建设用地方案</w:t>
      </w:r>
      <w:bookmarkEnd w:id="34"/>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本项目陆域依托后方厂区，无征地，无拆迁。</w:t>
      </w:r>
    </w:p>
    <w:p>
      <w:pPr>
        <w:pStyle w:val="4"/>
        <w:rPr>
          <w:rFonts w:eastAsiaTheme="minorEastAsia"/>
        </w:rPr>
      </w:pPr>
      <w:r>
        <w:rPr>
          <w:rFonts w:eastAsiaTheme="minorEastAsia"/>
        </w:rPr>
        <w:t>配套工程</w:t>
      </w:r>
    </w:p>
    <w:p>
      <w:pPr>
        <w:pStyle w:val="5"/>
        <w:rPr>
          <w:rFonts w:eastAsiaTheme="minorEastAsia"/>
        </w:rPr>
      </w:pPr>
      <w:r>
        <w:rPr>
          <w:rFonts w:eastAsiaTheme="minorEastAsia"/>
        </w:rPr>
        <w:t>港区道路</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本项目利用港区现有道路。</w:t>
      </w:r>
    </w:p>
    <w:p>
      <w:pPr>
        <w:pStyle w:val="5"/>
        <w:rPr>
          <w:rFonts w:eastAsiaTheme="minorEastAsia"/>
        </w:rPr>
      </w:pPr>
      <w:r>
        <w:rPr>
          <w:rFonts w:eastAsiaTheme="minorEastAsia"/>
        </w:rPr>
        <w:t>供电及照明系统</w:t>
      </w:r>
    </w:p>
    <w:p>
      <w:pPr>
        <w:pStyle w:val="325"/>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1、供电电源</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本项目拟从后方电厂引1回路6kV专用电缆线路至T4箱式变电站。码头高压配电电压为6kV；低压配电电压为380/220V，供电频率为50Hz。</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本项目趸船配电室6kV电源电缆利旧。</w:t>
      </w:r>
    </w:p>
    <w:p>
      <w:pPr>
        <w:pStyle w:val="325"/>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2、供电方案</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拟设1座箱式变电站，不设总降压站。箱变位于T4转运站附近，就近向T4转运站、BC5皮带机、BC5皮带机廊道等供电；T3转运站、BC4皮带机、BC4皮带机廊道、采制样间、生活污水处理站、散货污水处理站由T3转运站附近已建配电间供电，已建配电需新增一台低压配电柜；T2转运站、BC3皮带机、BC3皮带机廊道、T1转运站、BC2皮带机、BC2皮带机廊道、BC1皮带机、浮吊等均由趸船配电间供电。</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箱式变电站内设SCB13-6/0.4kV-800kVA干式变压器1台。本项目低压系统（380/220V）的动力用电设备采用放射式为主的配电方式；照明设备采用放射式与树干式相结合的配电方式。</w:t>
      </w:r>
    </w:p>
    <w:p>
      <w:pPr>
        <w:pStyle w:val="325"/>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3、用电负荷及设备选择</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本项目主要用电设备有：</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⑴</w:t>
      </w:r>
      <w:r>
        <w:rPr>
          <w:rFonts w:eastAsiaTheme="minorEastAsia"/>
          <w:sz w:val="24"/>
          <w:szCs w:val="24"/>
        </w:rPr>
        <w:t xml:space="preserve"> 浮吊起重机2台，360kW/台，380V供电；</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⑵</w:t>
      </w:r>
      <w:r>
        <w:rPr>
          <w:rFonts w:eastAsiaTheme="minorEastAsia"/>
          <w:sz w:val="24"/>
          <w:szCs w:val="24"/>
        </w:rPr>
        <w:t xml:space="preserve"> 趸船用电（含船舶岸电），250kW（暂估），380V供电；</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⑶</w:t>
      </w:r>
      <w:r>
        <w:rPr>
          <w:rFonts w:eastAsiaTheme="minorEastAsia"/>
          <w:sz w:val="24"/>
          <w:szCs w:val="24"/>
        </w:rPr>
        <w:t xml:space="preserve"> 皮带机5条，共计479kW，380V供电；</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⑷</w:t>
      </w:r>
      <w:r>
        <w:rPr>
          <w:rFonts w:eastAsiaTheme="minorEastAsia"/>
          <w:sz w:val="24"/>
          <w:szCs w:val="24"/>
        </w:rPr>
        <w:t xml:space="preserve"> 采制样机1台，75kW/台，380V供电；</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⑸</w:t>
      </w:r>
      <w:r>
        <w:rPr>
          <w:rFonts w:eastAsiaTheme="minorEastAsia"/>
          <w:sz w:val="24"/>
          <w:szCs w:val="24"/>
        </w:rPr>
        <w:t xml:space="preserve"> 除铁器1台，45kW/台，380V供电。</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此外，还包括暖通、环保以及室内外照明等低压用电负荷，其总装机容量为1997kW，视在功率为1071kVA用电负荷。</w:t>
      </w:r>
    </w:p>
    <w:p>
      <w:pPr>
        <w:pStyle w:val="325"/>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4、照明方案</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室内照明主要采用LED节能型灯具，其照度值不低于国家规范的规定值。其中码头面照度不低于15lx。</w:t>
      </w:r>
    </w:p>
    <w:p>
      <w:pPr>
        <w:pStyle w:val="5"/>
        <w:rPr>
          <w:rFonts w:eastAsiaTheme="minorEastAsia"/>
        </w:rPr>
      </w:pPr>
      <w:bookmarkStart w:id="35" w:name="_Toc6005"/>
      <w:r>
        <w:rPr>
          <w:rFonts w:eastAsiaTheme="minorEastAsia"/>
        </w:rPr>
        <w:t>给排水</w:t>
      </w:r>
      <w:bookmarkEnd w:id="35"/>
      <w:r>
        <w:rPr>
          <w:rFonts w:eastAsiaTheme="minorEastAsia"/>
        </w:rPr>
        <w:t>系统</w:t>
      </w:r>
    </w:p>
    <w:p>
      <w:pPr>
        <w:pStyle w:val="325"/>
        <w:tabs>
          <w:tab w:val="right" w:leader="dot" w:pos="9070"/>
        </w:tabs>
        <w:adjustRightInd w:val="0"/>
        <w:snapToGrid w:val="0"/>
        <w:spacing w:line="360" w:lineRule="auto"/>
        <w:ind w:firstLine="482" w:firstLineChars="200"/>
        <w:jc w:val="both"/>
        <w:rPr>
          <w:rFonts w:eastAsiaTheme="minorEastAsia"/>
          <w:b/>
          <w:sz w:val="24"/>
          <w:szCs w:val="24"/>
        </w:rPr>
      </w:pPr>
      <w:bookmarkStart w:id="36" w:name="_Toc174523578"/>
      <w:bookmarkStart w:id="37" w:name="_Toc174179704"/>
      <w:r>
        <w:rPr>
          <w:rFonts w:eastAsiaTheme="minorEastAsia"/>
          <w:b/>
          <w:sz w:val="24"/>
          <w:szCs w:val="24"/>
        </w:rPr>
        <w:t>1、供水</w:t>
      </w:r>
      <w:bookmarkEnd w:id="36"/>
      <w:bookmarkEnd w:id="37"/>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生活、生产、消防水源均由后方电厂接管供给，接管点位于设计分界线处。生活及环保接管点管径DN100，设计水压≥0.35Mpa；生产接管点管径DN150，设计水压≥0.50Mpa；消火栓消防接管点管径DN200，设计水压≥0.50Mpa；自喷及水幕消防接管点管径DN250，设计水压≥0.60Mpa。</w:t>
      </w:r>
    </w:p>
    <w:p>
      <w:pPr>
        <w:pStyle w:val="325"/>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2、排水</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⑴</w:t>
      </w:r>
      <w:r>
        <w:rPr>
          <w:rFonts w:eastAsiaTheme="minorEastAsia"/>
          <w:sz w:val="24"/>
          <w:szCs w:val="24"/>
        </w:rPr>
        <w:t xml:space="preserve"> 冲洗污水和初期雨水</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在原螺卸趸船的船舱中设置一个约15m</w:t>
      </w:r>
      <w:r>
        <w:rPr>
          <w:rFonts w:eastAsiaTheme="minorEastAsia"/>
          <w:sz w:val="24"/>
          <w:szCs w:val="24"/>
          <w:vertAlign w:val="superscript"/>
        </w:rPr>
        <w:t>3</w:t>
      </w:r>
      <w:r>
        <w:rPr>
          <w:rFonts w:eastAsiaTheme="minorEastAsia"/>
          <w:sz w:val="24"/>
          <w:szCs w:val="24"/>
        </w:rPr>
        <w:t>的煤水收集池（包括沉淀池与泵池）；设置2台套（Q=12m</w:t>
      </w:r>
      <w:r>
        <w:rPr>
          <w:rFonts w:eastAsiaTheme="minorEastAsia"/>
          <w:sz w:val="24"/>
          <w:szCs w:val="24"/>
          <w:vertAlign w:val="superscript"/>
        </w:rPr>
        <w:t>3</w:t>
      </w:r>
      <w:r>
        <w:rPr>
          <w:rFonts w:eastAsiaTheme="minorEastAsia"/>
          <w:sz w:val="24"/>
          <w:szCs w:val="24"/>
        </w:rPr>
        <w:t>/h；P=0.42Mpa）排污泵，同时负责将煤水送至与岸上联接的管道。在C1中部煤水污水管道加装增压管道泵。煤水收集池设置平板式液位计和浮球液位控制器。</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抓斗趸船利用#101-#115右舷边空舱改造成一个大的污水沉淀井（长5.4m×宽3m×深2.2m）和一个污水舱用作煤和煤渣的收集。沉淀井采用14mm和10mm钢板制成，污水舱采用6mm钢板制成；污水舱设置2台套渣浆泵（Q=12m</w:t>
      </w:r>
      <w:r>
        <w:rPr>
          <w:rFonts w:eastAsiaTheme="minorEastAsia"/>
          <w:sz w:val="24"/>
          <w:szCs w:val="24"/>
          <w:vertAlign w:val="superscript"/>
        </w:rPr>
        <w:t>3</w:t>
      </w:r>
      <w:r>
        <w:rPr>
          <w:rFonts w:eastAsiaTheme="minorEastAsia"/>
          <w:sz w:val="24"/>
          <w:szCs w:val="24"/>
        </w:rPr>
        <w:t>/h；P=0.42Mpa），将煤水排至原螺卸趸船的煤水收集池。在主甲板四周新设围堰，围堰高200mm，采用5mm扁钢制成。</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在原螺卸趸船主甲板四周新设200mm高围堰及流水通道（趸船周长：124</w:t>
      </w:r>
      <w:r>
        <w:rPr>
          <w:rFonts w:hint="eastAsia" w:eastAsiaTheme="minorEastAsia"/>
          <w:sz w:val="24"/>
          <w:szCs w:val="24"/>
        </w:rPr>
        <w:t>m</w:t>
      </w:r>
      <w:r>
        <w:rPr>
          <w:rFonts w:eastAsiaTheme="minorEastAsia"/>
          <w:sz w:val="24"/>
          <w:szCs w:val="24"/>
        </w:rPr>
        <w:t>），使原螺卸趸船主甲板的冲洗煤水流入煤水收集池。</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在C1栈桥的煤水排污管中间增设一个增压管道泵，收集后由潜水排污泵通过管道输送至后方处理。趸船其他部分和引桥雨水散流排江。</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⑵</w:t>
      </w:r>
      <w:r>
        <w:rPr>
          <w:rFonts w:eastAsiaTheme="minorEastAsia"/>
          <w:sz w:val="24"/>
          <w:szCs w:val="24"/>
        </w:rPr>
        <w:t xml:space="preserve"> 生活污水</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在抓斗趸船泵舱新设一个生活污水收集柜（10m</w:t>
      </w:r>
      <w:r>
        <w:rPr>
          <w:rFonts w:eastAsiaTheme="minorEastAsia"/>
          <w:sz w:val="24"/>
          <w:szCs w:val="24"/>
          <w:vertAlign w:val="superscript"/>
        </w:rPr>
        <w:t>3</w:t>
      </w:r>
      <w:r>
        <w:rPr>
          <w:rFonts w:eastAsiaTheme="minorEastAsia"/>
          <w:sz w:val="24"/>
          <w:szCs w:val="24"/>
        </w:rPr>
        <w:t>）用作生活污水的收集。生活污水收集柜设置平板式液位计和浮球液位控制器；收集柜设置2台套生活污水粉碎泵（Q=10m</w:t>
      </w:r>
      <w:r>
        <w:rPr>
          <w:rFonts w:eastAsiaTheme="minorEastAsia"/>
          <w:sz w:val="24"/>
          <w:szCs w:val="24"/>
          <w:vertAlign w:val="superscript"/>
        </w:rPr>
        <w:t>3</w:t>
      </w:r>
      <w:r>
        <w:rPr>
          <w:rFonts w:eastAsiaTheme="minorEastAsia"/>
          <w:sz w:val="24"/>
          <w:szCs w:val="24"/>
        </w:rPr>
        <w:t>/h；P=0.3Mpa），同时负责将污水送至与岸上联接的管道；在原C1栈桥铺设约φ108的污水管道700m，至码头院内污水处理系统；需要在码头院内破水泥地面100m</w:t>
      </w:r>
      <w:r>
        <w:rPr>
          <w:rFonts w:eastAsiaTheme="minorEastAsia"/>
          <w:sz w:val="24"/>
          <w:szCs w:val="24"/>
          <w:vertAlign w:val="superscript"/>
        </w:rPr>
        <w:t>3</w:t>
      </w:r>
      <w:r>
        <w:rPr>
          <w:rFonts w:eastAsiaTheme="minorEastAsia"/>
          <w:sz w:val="24"/>
          <w:szCs w:val="24"/>
        </w:rPr>
        <w:t>，在与岸上联接的污水管道中间增设一个增压管道泵。</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本项目产生的</w:t>
      </w:r>
      <w:r>
        <w:rPr>
          <w:rFonts w:ascii="Times New Roman" w:hAnsi="Times New Roman" w:eastAsiaTheme="minorEastAsia"/>
          <w:kern w:val="0"/>
          <w:sz w:val="24"/>
          <w:szCs w:val="24"/>
        </w:rPr>
        <w:t>冲洗污水、初期雨水和生活污水通过管道分别进入码头院内的散货污水处理站和生活污水处理站，处理达到《污水综合排放标准》（GB8978-1996）一级标准后进入蓄水池，用于码头院内降尘及绿化，废</w:t>
      </w:r>
      <w:r>
        <w:rPr>
          <w:rFonts w:ascii="Times New Roman" w:hAnsi="Times New Roman" w:eastAsiaTheme="minorEastAsia"/>
          <w:sz w:val="24"/>
          <w:szCs w:val="24"/>
        </w:rPr>
        <w:t>水全部回用，不外排。</w:t>
      </w:r>
    </w:p>
    <w:p>
      <w:pPr>
        <w:pStyle w:val="5"/>
        <w:rPr>
          <w:rFonts w:eastAsiaTheme="minorEastAsia"/>
        </w:rPr>
      </w:pPr>
      <w:r>
        <w:rPr>
          <w:rFonts w:eastAsiaTheme="minorEastAsia"/>
        </w:rPr>
        <w:t>消防系统</w:t>
      </w:r>
    </w:p>
    <w:p>
      <w:pPr>
        <w:pStyle w:val="325"/>
        <w:tabs>
          <w:tab w:val="right" w:leader="dot" w:pos="9070"/>
        </w:tabs>
        <w:adjustRightInd w:val="0"/>
        <w:snapToGrid w:val="0"/>
        <w:spacing w:line="360" w:lineRule="auto"/>
        <w:ind w:firstLine="480" w:firstLineChars="200"/>
        <w:jc w:val="both"/>
        <w:rPr>
          <w:sz w:val="24"/>
          <w:szCs w:val="24"/>
        </w:rPr>
      </w:pPr>
      <w:r>
        <w:rPr>
          <w:sz w:val="24"/>
          <w:szCs w:val="24"/>
        </w:rPr>
        <w:t>消防系统采用临时高压给水系统，在码头发生火灾时由后方厂区供给消防用水，用以扑救码头的初期或小型火灾。码头发生大的火灾则请求地方消防队协助扑救。</w:t>
      </w:r>
    </w:p>
    <w:p>
      <w:pPr>
        <w:pStyle w:val="325"/>
        <w:tabs>
          <w:tab w:val="right" w:leader="dot" w:pos="9070"/>
        </w:tabs>
        <w:adjustRightInd w:val="0"/>
        <w:snapToGrid w:val="0"/>
        <w:spacing w:line="360" w:lineRule="auto"/>
        <w:ind w:firstLine="480" w:firstLineChars="200"/>
        <w:jc w:val="both"/>
        <w:rPr>
          <w:sz w:val="24"/>
          <w:szCs w:val="24"/>
        </w:rPr>
      </w:pPr>
      <w:r>
        <w:rPr>
          <w:sz w:val="24"/>
          <w:szCs w:val="24"/>
        </w:rPr>
        <w:t>消火栓用水水源由后方电厂接管供给，接管点管径DN150，要求接管点处水压≥0.50Mpa。</w:t>
      </w:r>
    </w:p>
    <w:p>
      <w:pPr>
        <w:pStyle w:val="325"/>
        <w:tabs>
          <w:tab w:val="right" w:leader="dot" w:pos="9070"/>
        </w:tabs>
        <w:adjustRightInd w:val="0"/>
        <w:snapToGrid w:val="0"/>
        <w:spacing w:line="360" w:lineRule="auto"/>
        <w:ind w:firstLine="480" w:firstLineChars="200"/>
        <w:jc w:val="both"/>
        <w:rPr>
          <w:sz w:val="24"/>
          <w:szCs w:val="24"/>
        </w:rPr>
      </w:pPr>
      <w:r>
        <w:rPr>
          <w:sz w:val="24"/>
          <w:szCs w:val="24"/>
        </w:rPr>
        <w:t>消火栓给水管呈枝状布置，采用热浸锌镀锌钢管，卡箍连接。在给水管网上设置了阀门和消火栓。</w:t>
      </w:r>
    </w:p>
    <w:p>
      <w:pPr>
        <w:pStyle w:val="325"/>
        <w:tabs>
          <w:tab w:val="right" w:leader="dot" w:pos="9070"/>
        </w:tabs>
        <w:adjustRightInd w:val="0"/>
        <w:snapToGrid w:val="0"/>
        <w:spacing w:line="360" w:lineRule="auto"/>
        <w:ind w:firstLine="480" w:firstLineChars="200"/>
        <w:jc w:val="both"/>
        <w:rPr>
          <w:sz w:val="24"/>
          <w:szCs w:val="24"/>
        </w:rPr>
      </w:pPr>
      <w:r>
        <w:rPr>
          <w:sz w:val="24"/>
          <w:szCs w:val="24"/>
        </w:rPr>
        <w:t>消火栓用水强度30L/s，室外为20L/s，室内为10L/s。</w:t>
      </w:r>
    </w:p>
    <w:p>
      <w:pPr>
        <w:pStyle w:val="325"/>
        <w:tabs>
          <w:tab w:val="right" w:leader="dot" w:pos="9070"/>
        </w:tabs>
        <w:adjustRightInd w:val="0"/>
        <w:snapToGrid w:val="0"/>
        <w:spacing w:line="360" w:lineRule="auto"/>
        <w:ind w:firstLine="480" w:firstLineChars="200"/>
        <w:jc w:val="both"/>
        <w:rPr>
          <w:sz w:val="24"/>
          <w:szCs w:val="24"/>
        </w:rPr>
      </w:pPr>
      <w:r>
        <w:rPr>
          <w:sz w:val="24"/>
          <w:szCs w:val="24"/>
        </w:rPr>
        <w:t>封闭运煤廊道及转运站内设置自动喷淋系统，自动喷淋水源由后方电厂接管供给，喷淋系统接管管径为DN200，接管点处水压≥0.60Mpa。</w:t>
      </w:r>
    </w:p>
    <w:p>
      <w:pPr>
        <w:pStyle w:val="325"/>
        <w:tabs>
          <w:tab w:val="right" w:leader="dot" w:pos="9070"/>
        </w:tabs>
        <w:adjustRightInd w:val="0"/>
        <w:snapToGrid w:val="0"/>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封闭运煤廊道及转运站按照中危Ⅱ级设置自动喷水灭火系统，喷水强度8L/min</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，作用面积160m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，系统供水量28L/s。</w:t>
      </w:r>
    </w:p>
    <w:p>
      <w:pPr>
        <w:pStyle w:val="325"/>
        <w:tabs>
          <w:tab w:val="right" w:leader="dot" w:pos="9070"/>
        </w:tabs>
        <w:adjustRightInd w:val="0"/>
        <w:snapToGrid w:val="0"/>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封闭运煤廊道及转运站之间设置水幕，按照中危Ⅱ级设置自动喷水灭火系统，喷水强度2L/s</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m，开口长度15m，系统供水量30L/s。</w:t>
      </w:r>
    </w:p>
    <w:p>
      <w:pPr>
        <w:pStyle w:val="5"/>
        <w:rPr>
          <w:rFonts w:eastAsiaTheme="minorEastAsia"/>
        </w:rPr>
      </w:pPr>
      <w:r>
        <w:rPr>
          <w:rFonts w:eastAsiaTheme="minorEastAsia"/>
        </w:rPr>
        <w:t>通信系统</w:t>
      </w:r>
    </w:p>
    <w:p>
      <w:pPr>
        <w:pStyle w:val="325"/>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1、港区通信</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⑴</w:t>
      </w:r>
      <w:r>
        <w:rPr>
          <w:rFonts w:eastAsiaTheme="minorEastAsia"/>
          <w:sz w:val="24"/>
          <w:szCs w:val="24"/>
        </w:rPr>
        <w:t xml:space="preserve"> 有线电通信</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本项目不设程控电话交换机，其自动电话依托后方电厂现有的自动电话系统，仅在各变电所和转运站内布置自动电话分机。根据本项目的建设规模及使用要求，经测算有线电话用户数量为8部左右。</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码头区内不设程控调度交换机，其调度电话依托后方电厂。仅在T2转运站的控制室内布置1部调度电话分机。</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⑵</w:t>
      </w:r>
      <w:r>
        <w:rPr>
          <w:rFonts w:eastAsiaTheme="minorEastAsia"/>
          <w:sz w:val="24"/>
          <w:szCs w:val="24"/>
        </w:rPr>
        <w:t xml:space="preserve"> 无线电通信</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码头区内生产调度人员之间以及调度人员与移动机械操作人员之间的无线调度通信依托后方电厂无线集群对讲系统，工作频点由后方电厂统一向当地无线电频率管理部门申请，码头区配置无线对讲终端，其功率不大于3W。根据本期工程建设规模，配置11套无线对讲设备。</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⑶</w:t>
      </w:r>
      <w:r>
        <w:rPr>
          <w:rFonts w:eastAsiaTheme="minorEastAsia"/>
          <w:sz w:val="24"/>
          <w:szCs w:val="24"/>
        </w:rPr>
        <w:t xml:space="preserve"> 电视监视系统</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本项目设置工业电视监视系统。该监视系统与后方电厂工业电视监视系统组成一个统一的监视系统。监视系统的监控室设置在后方电厂中控室内。</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设计在码头作业平台、转运站、廊道、引桥等处共布置19台摄像机，摄像机配有电动云台，其中，在码头装卸平台上设置2台高清网络球型摄像机；在码头引桥廊道内设置5台高清枪式摄像机；在码头转运站内设置12台高清网络枪式摄像机，在T2转运站的通信用房内设置接入层交换机和工作站。</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摄像机视频信号和控制信号采用光纤收发器传输至就近的转运站的接入层交换机内，将信号汇聚至T2转运站的通信用房内，通过光缆远传至后方厂区中控室。</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⑷</w:t>
      </w:r>
      <w:r>
        <w:rPr>
          <w:rFonts w:eastAsiaTheme="minorEastAsia"/>
          <w:sz w:val="24"/>
          <w:szCs w:val="24"/>
        </w:rPr>
        <w:t xml:space="preserve"> 计算机网络系统</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在T2转运站内设置二级交换机，宽带网络通过光缆接入后方厂区局域网。</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⑸</w:t>
      </w:r>
      <w:r>
        <w:rPr>
          <w:rFonts w:eastAsiaTheme="minorEastAsia"/>
          <w:sz w:val="24"/>
          <w:szCs w:val="24"/>
        </w:rPr>
        <w:t xml:space="preserve"> 广播呼叫系统</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本项目广播呼叫系统均依托后方厂区的广播呼叫系统，仅在码头引桥廊道内、转运站及码头前方工作平台等处布置广播呼叫终端。广播呼叫系统线路的敷设方式与通信线路敷设方式相同。</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⑹</w:t>
      </w:r>
      <w:r>
        <w:rPr>
          <w:rFonts w:eastAsiaTheme="minorEastAsia"/>
          <w:sz w:val="24"/>
          <w:szCs w:val="24"/>
        </w:rPr>
        <w:t xml:space="preserve"> 通信线路</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码头区内自动电话线路采用HY型全塑市话电缆，计算机网络线路采用GYTA-4B单模光缆。工业电视监视系统的信号采用GYTA-4B光缆传输，引至后方电厂中控室。</w:t>
      </w:r>
    </w:p>
    <w:p>
      <w:pPr>
        <w:pStyle w:val="325"/>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2、船岸通信</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码头区内不设短波单边带（SSB）电台和甚高频（VHF）船、岸通信电台，进出码头区船舶与码头区之间的远、近通信联系依托岳阳港区现有的船、岸通信设施。</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为便于码头移动作业人员与船舶通信，码头配置3部VHF对讲机，采用水上专用频道，其功率不大于3瓦，对讲机的设置需得到当地无线电管理委员会的批准。</w:t>
      </w:r>
    </w:p>
    <w:p>
      <w:pPr>
        <w:pStyle w:val="5"/>
        <w:rPr>
          <w:rFonts w:eastAsiaTheme="minorEastAsia"/>
        </w:rPr>
      </w:pPr>
      <w:r>
        <w:rPr>
          <w:rFonts w:eastAsiaTheme="minorEastAsia"/>
        </w:rPr>
        <w:t>控制系统</w:t>
      </w:r>
    </w:p>
    <w:p>
      <w:pPr>
        <w:pStyle w:val="325"/>
        <w:keepNext w:val="0"/>
        <w:keepLines w:val="0"/>
        <w:pageBreakBefore w:val="0"/>
        <w:widowControl w:val="0"/>
        <w:tabs>
          <w:tab w:val="right" w:leader="dot" w:pos="9070"/>
        </w:tabs>
        <w:kinsoku/>
        <w:wordWrap/>
        <w:overflowPunct/>
        <w:topLinePunct w:val="0"/>
        <w:autoSpaceDE/>
        <w:autoSpaceDN/>
        <w:bidi w:val="0"/>
        <w:adjustRightInd w:val="0"/>
        <w:snapToGrid w:val="0"/>
        <w:spacing w:line="360" w:lineRule="auto"/>
        <w:ind w:firstLine="480" w:firstLineChars="200"/>
        <w:jc w:val="both"/>
        <w:textAlignment w:val="auto"/>
        <w:rPr>
          <w:rFonts w:eastAsiaTheme="minorEastAsia"/>
          <w:sz w:val="24"/>
          <w:szCs w:val="24"/>
        </w:rPr>
      </w:pPr>
      <w:r>
        <w:rPr>
          <w:rFonts w:eastAsiaTheme="minorEastAsia"/>
          <w:sz w:val="24"/>
          <w:szCs w:val="24"/>
        </w:rPr>
        <w:t>本次控制系统设计范围包括生产控制系统。生产控制系统设计包括设计分界线以内固体装卸工艺流程中皮带机、浮式起重机、除铁器、喷淋等设备的控制系统设计，后方皮带机的联锁控制信号由后方负责引信号电缆或光缆至本项目变电所控制室，中控室设置在后方，由后方负责对码头区控制信号进行联锁，后方中控上位机对包括码头的所有区域控制系统进行组态均由后方负责。</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⑴</w:t>
      </w:r>
      <w:r>
        <w:rPr>
          <w:sz w:val="24"/>
          <w:szCs w:val="24"/>
        </w:rPr>
        <w:t xml:space="preserve"> </w:t>
      </w:r>
      <w:r>
        <w:rPr>
          <w:rFonts w:eastAsiaTheme="minorEastAsia"/>
          <w:sz w:val="24"/>
          <w:szCs w:val="24"/>
        </w:rPr>
        <w:t>计算机管理系统</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本项目PLC系统依托后方电厂中控系统，管理功能由后方电厂中控系统实现。</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⑵</w:t>
      </w:r>
      <w:r>
        <w:rPr>
          <w:sz w:val="24"/>
          <w:szCs w:val="24"/>
        </w:rPr>
        <w:t xml:space="preserve"> </w:t>
      </w:r>
      <w:r>
        <w:rPr>
          <w:rFonts w:eastAsiaTheme="minorEastAsia"/>
          <w:sz w:val="24"/>
          <w:szCs w:val="24"/>
        </w:rPr>
        <w:t>火灾自动报警系统</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在输煤皮带机两侧采用测温光缆，在变电所内采用点型感温、感烟火灾探测器，并设手动报警按钮和声光报警器。</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本项目在码头区设置火灾报警系统，在变电所控制室设置区域火灾报警控制器，与报警主盘通过通讯方式连接。报警控制方式为自动报警，人工确认后手动灭火。</w:t>
      </w:r>
    </w:p>
    <w:p>
      <w:pPr>
        <w:pStyle w:val="5"/>
        <w:rPr>
          <w:rFonts w:eastAsiaTheme="minorEastAsia"/>
        </w:rPr>
      </w:pPr>
      <w:bookmarkStart w:id="38" w:name="_Toc25936"/>
      <w:r>
        <w:rPr>
          <w:rFonts w:eastAsiaTheme="minorEastAsia"/>
        </w:rPr>
        <w:t>生产及辅助建筑物</w:t>
      </w:r>
      <w:bookmarkEnd w:id="38"/>
    </w:p>
    <w:p>
      <w:pPr>
        <w:pStyle w:val="325"/>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1、建筑</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⑴</w:t>
      </w:r>
      <w:r>
        <w:rPr>
          <w:rFonts w:eastAsiaTheme="minorEastAsia"/>
          <w:sz w:val="24"/>
          <w:szCs w:val="24"/>
        </w:rPr>
        <w:t xml:space="preserve"> 新建的生产及辅助生产建筑物有转运站、廊道及污水设备间等建筑单体。共计8项建筑单体，总建筑面积为7466.95</w:t>
      </w:r>
      <w:r>
        <w:rPr>
          <w:rFonts w:hint="eastAsia" w:eastAsiaTheme="minorEastAsia"/>
          <w:sz w:val="24"/>
          <w:szCs w:val="24"/>
        </w:rPr>
        <w:t>m</w:t>
      </w:r>
      <w:r>
        <w:rPr>
          <w:rFonts w:eastAsiaTheme="minorEastAsia"/>
          <w:sz w:val="24"/>
          <w:szCs w:val="24"/>
          <w:vertAlign w:val="superscript"/>
        </w:rPr>
        <w:t>2</w:t>
      </w:r>
      <w:r>
        <w:rPr>
          <w:rFonts w:hint="eastAsia" w:eastAsiaTheme="minorEastAsia"/>
          <w:sz w:val="24"/>
          <w:szCs w:val="24"/>
        </w:rPr>
        <w:t xml:space="preserve"> </w:t>
      </w:r>
      <w:r>
        <w:rPr>
          <w:rFonts w:eastAsiaTheme="minorEastAsia"/>
          <w:sz w:val="24"/>
          <w:szCs w:val="24"/>
        </w:rPr>
        <w:t>。</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⑵</w:t>
      </w:r>
      <w:r>
        <w:rPr>
          <w:rFonts w:eastAsiaTheme="minorEastAsia"/>
          <w:sz w:val="24"/>
          <w:szCs w:val="24"/>
        </w:rPr>
        <w:t xml:space="preserve"> 主要设计方案</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本项目主要建筑物为变电所及转运站。变电所功能包括高压室、低压室、控制室及值班室，其火灾危险性分类为丁类，转运站转运的物品为煤块，其火灾危险性分类为丙类2项。</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⑶</w:t>
      </w:r>
      <w:r>
        <w:rPr>
          <w:rFonts w:eastAsiaTheme="minorEastAsia"/>
          <w:sz w:val="24"/>
          <w:szCs w:val="24"/>
        </w:rPr>
        <w:t xml:space="preserve"> 建筑构造及装修</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墙体采用灰砂砖，加气混凝土砌块。屋面防水采用APP改性沥青卷材防水。地面为混凝土硬化及地砖地面，楼面为水泥硬化楼面。内墙面采用乳胶饰面、白瓷砖墙裙，外墙面采用外墙涂料。内门采用木门及防火门。外门为防火门、铝合金门及钢制防盗门。窗为铝合金窗、钢百页窗。</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⑷</w:t>
      </w:r>
      <w:r>
        <w:rPr>
          <w:rFonts w:eastAsiaTheme="minorEastAsia"/>
          <w:sz w:val="24"/>
          <w:szCs w:val="24"/>
        </w:rPr>
        <w:t xml:space="preserve"> 主要建、构筑物</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主要建、构筑物详见“建筑物一览表”。</w:t>
      </w:r>
    </w:p>
    <w:p>
      <w:pPr>
        <w:widowControl/>
        <w:spacing w:line="276" w:lineRule="auto"/>
        <w:jc w:val="center"/>
        <w:rPr>
          <w:rFonts w:ascii="Times New Roman" w:hAnsi="Times New Roman" w:eastAsiaTheme="minorEastAsia"/>
          <w:b/>
          <w:sz w:val="24"/>
          <w:szCs w:val="24"/>
        </w:rPr>
      </w:pPr>
      <w:r>
        <w:rPr>
          <w:rFonts w:ascii="Times New Roman" w:hAnsi="Times New Roman" w:eastAsiaTheme="minorEastAsia"/>
          <w:b/>
          <w:kern w:val="0"/>
          <w:sz w:val="24"/>
          <w:szCs w:val="24"/>
        </w:rPr>
        <w:t xml:space="preserve">表3.2-8  </w:t>
      </w:r>
      <w:r>
        <w:rPr>
          <w:rFonts w:ascii="Times New Roman" w:hAnsi="Times New Roman" w:eastAsiaTheme="minorEastAsia"/>
          <w:b/>
          <w:sz w:val="24"/>
          <w:szCs w:val="24"/>
        </w:rPr>
        <w:t>建筑物一览表</w:t>
      </w:r>
    </w:p>
    <w:tbl>
      <w:tblPr>
        <w:tblStyle w:val="7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848"/>
        <w:gridCol w:w="2135"/>
        <w:gridCol w:w="1709"/>
        <w:gridCol w:w="2991"/>
        <w:gridCol w:w="14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466" w:type="pct"/>
            <w:vAlign w:val="center"/>
          </w:tcPr>
          <w:p>
            <w:pPr>
              <w:widowControl/>
              <w:adjustRightInd w:val="0"/>
              <w:snapToGrid w:val="0"/>
              <w:jc w:val="center"/>
              <w:rPr>
                <w:rFonts w:ascii="Times New Roman" w:hAnsi="Times New Roman" w:eastAsiaTheme="minorEastAsia"/>
                <w:b/>
              </w:rPr>
            </w:pPr>
            <w:r>
              <w:rPr>
                <w:rFonts w:ascii="Times New Roman" w:hAnsi="Times New Roman"/>
                <w:b/>
                <w:color w:val="000000"/>
                <w:kern w:val="0"/>
              </w:rPr>
              <w:t>序号</w:t>
            </w:r>
          </w:p>
        </w:tc>
        <w:tc>
          <w:tcPr>
            <w:tcW w:w="1173" w:type="pct"/>
            <w:vAlign w:val="center"/>
          </w:tcPr>
          <w:p>
            <w:pPr>
              <w:widowControl/>
              <w:adjustRightInd w:val="0"/>
              <w:snapToGrid w:val="0"/>
              <w:jc w:val="center"/>
              <w:rPr>
                <w:rFonts w:ascii="Times New Roman" w:hAnsi="Times New Roman" w:eastAsiaTheme="minorEastAsia"/>
                <w:b/>
              </w:rPr>
            </w:pPr>
            <w:r>
              <w:rPr>
                <w:rFonts w:ascii="Times New Roman" w:hAnsi="Times New Roman"/>
                <w:b/>
                <w:color w:val="000000"/>
                <w:kern w:val="0"/>
              </w:rPr>
              <w:t>名称</w:t>
            </w:r>
          </w:p>
        </w:tc>
        <w:tc>
          <w:tcPr>
            <w:tcW w:w="939" w:type="pct"/>
            <w:vAlign w:val="center"/>
          </w:tcPr>
          <w:p>
            <w:pPr>
              <w:widowControl/>
              <w:adjustRightInd w:val="0"/>
              <w:snapToGrid w:val="0"/>
              <w:jc w:val="center"/>
              <w:rPr>
                <w:rFonts w:ascii="Times New Roman" w:hAnsi="Times New Roman" w:eastAsiaTheme="minorEastAsia"/>
                <w:b/>
              </w:rPr>
            </w:pPr>
            <w:r>
              <w:rPr>
                <w:rFonts w:ascii="Times New Roman" w:hAnsi="Times New Roman"/>
                <w:b/>
                <w:color w:val="000000"/>
              </w:rPr>
              <w:t>建筑面积（m</w:t>
            </w:r>
            <w:r>
              <w:rPr>
                <w:rFonts w:ascii="Times New Roman" w:hAnsi="Times New Roman"/>
                <w:b/>
                <w:color w:val="000000"/>
                <w:vertAlign w:val="superscript"/>
              </w:rPr>
              <w:t>2</w:t>
            </w:r>
            <w:r>
              <w:rPr>
                <w:rFonts w:ascii="Times New Roman" w:hAnsi="Times New Roman"/>
                <w:b/>
                <w:color w:val="000000"/>
              </w:rPr>
              <w:t>）</w:t>
            </w:r>
          </w:p>
        </w:tc>
        <w:tc>
          <w:tcPr>
            <w:tcW w:w="1643" w:type="pct"/>
            <w:vAlign w:val="center"/>
          </w:tcPr>
          <w:p>
            <w:pPr>
              <w:widowControl/>
              <w:adjustRightInd w:val="0"/>
              <w:snapToGrid w:val="0"/>
              <w:jc w:val="center"/>
              <w:rPr>
                <w:rFonts w:ascii="Times New Roman" w:hAnsi="Times New Roman" w:eastAsiaTheme="minorEastAsia"/>
                <w:b/>
              </w:rPr>
            </w:pPr>
            <w:r>
              <w:rPr>
                <w:rFonts w:ascii="Times New Roman" w:hAnsi="Times New Roman"/>
                <w:b/>
                <w:color w:val="000000"/>
              </w:rPr>
              <w:t>建筑结构特征</w:t>
            </w:r>
          </w:p>
        </w:tc>
        <w:tc>
          <w:tcPr>
            <w:tcW w:w="778" w:type="pct"/>
            <w:vAlign w:val="center"/>
          </w:tcPr>
          <w:p>
            <w:pPr>
              <w:widowControl/>
              <w:adjustRightInd w:val="0"/>
              <w:snapToGrid w:val="0"/>
              <w:jc w:val="center"/>
              <w:rPr>
                <w:rFonts w:ascii="Times New Roman" w:hAnsi="Times New Roman" w:eastAsiaTheme="minorEastAsia"/>
                <w:b/>
              </w:rPr>
            </w:pPr>
            <w:r>
              <w:rPr>
                <w:rFonts w:ascii="Times New Roman" w:hAnsi="Times New Roman"/>
                <w:b/>
                <w:color w:val="000000"/>
                <w:kern w:val="0"/>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66"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rPr>
              <w:t>1</w:t>
            </w:r>
          </w:p>
        </w:tc>
        <w:tc>
          <w:tcPr>
            <w:tcW w:w="1173"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rPr>
              <w:t>T1 转运站</w:t>
            </w:r>
          </w:p>
        </w:tc>
        <w:tc>
          <w:tcPr>
            <w:tcW w:w="939"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rPr>
              <w:t>185</w:t>
            </w:r>
          </w:p>
        </w:tc>
        <w:tc>
          <w:tcPr>
            <w:tcW w:w="1643"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rPr>
              <w:t>钢筋混凝土框架</w:t>
            </w:r>
          </w:p>
        </w:tc>
        <w:tc>
          <w:tcPr>
            <w:tcW w:w="778" w:type="pct"/>
            <w:vAlign w:val="center"/>
          </w:tcPr>
          <w:p>
            <w:pPr>
              <w:widowControl/>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66"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rPr>
              <w:t>2</w:t>
            </w:r>
          </w:p>
        </w:tc>
        <w:tc>
          <w:tcPr>
            <w:tcW w:w="1173"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rPr>
              <w:t>T2 转运站</w:t>
            </w:r>
          </w:p>
        </w:tc>
        <w:tc>
          <w:tcPr>
            <w:tcW w:w="939"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rPr>
              <w:t>685</w:t>
            </w:r>
          </w:p>
        </w:tc>
        <w:tc>
          <w:tcPr>
            <w:tcW w:w="1643"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rPr>
              <w:t>钢筋混凝土框架</w:t>
            </w:r>
          </w:p>
        </w:tc>
        <w:tc>
          <w:tcPr>
            <w:tcW w:w="778" w:type="pct"/>
            <w:vAlign w:val="center"/>
          </w:tcPr>
          <w:p>
            <w:pPr>
              <w:widowControl/>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66"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rPr>
              <w:t>3</w:t>
            </w:r>
          </w:p>
        </w:tc>
        <w:tc>
          <w:tcPr>
            <w:tcW w:w="1173"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rPr>
              <w:t>T3 转运站</w:t>
            </w:r>
          </w:p>
        </w:tc>
        <w:tc>
          <w:tcPr>
            <w:tcW w:w="939"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rPr>
              <w:t>541</w:t>
            </w:r>
          </w:p>
        </w:tc>
        <w:tc>
          <w:tcPr>
            <w:tcW w:w="1643"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rPr>
              <w:t>钢筋混凝土框架</w:t>
            </w:r>
          </w:p>
        </w:tc>
        <w:tc>
          <w:tcPr>
            <w:tcW w:w="778" w:type="pct"/>
            <w:vAlign w:val="center"/>
          </w:tcPr>
          <w:p>
            <w:pPr>
              <w:widowControl/>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66"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rPr>
              <w:t>4</w:t>
            </w:r>
          </w:p>
        </w:tc>
        <w:tc>
          <w:tcPr>
            <w:tcW w:w="1173"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rPr>
              <w:t>T4 转运站</w:t>
            </w:r>
          </w:p>
        </w:tc>
        <w:tc>
          <w:tcPr>
            <w:tcW w:w="939"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rPr>
              <w:t>495</w:t>
            </w:r>
          </w:p>
        </w:tc>
        <w:tc>
          <w:tcPr>
            <w:tcW w:w="1643"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rPr>
              <w:t>钢筋混凝土框架</w:t>
            </w:r>
          </w:p>
        </w:tc>
        <w:tc>
          <w:tcPr>
            <w:tcW w:w="778" w:type="pct"/>
            <w:vAlign w:val="center"/>
          </w:tcPr>
          <w:p>
            <w:pPr>
              <w:widowControl/>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66"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rPr>
              <w:t>5</w:t>
            </w:r>
          </w:p>
        </w:tc>
        <w:tc>
          <w:tcPr>
            <w:tcW w:w="1173"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rPr>
              <w:t>污水设备间</w:t>
            </w:r>
          </w:p>
        </w:tc>
        <w:tc>
          <w:tcPr>
            <w:tcW w:w="939"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rPr>
              <w:t>15</w:t>
            </w:r>
          </w:p>
        </w:tc>
        <w:tc>
          <w:tcPr>
            <w:tcW w:w="1643"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rPr>
              <w:t>钢筋混凝土框架</w:t>
            </w:r>
          </w:p>
        </w:tc>
        <w:tc>
          <w:tcPr>
            <w:tcW w:w="778" w:type="pct"/>
            <w:vAlign w:val="center"/>
          </w:tcPr>
          <w:p>
            <w:pPr>
              <w:widowControl/>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66"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rPr>
              <w:t>6</w:t>
            </w:r>
          </w:p>
        </w:tc>
        <w:tc>
          <w:tcPr>
            <w:tcW w:w="1173"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rPr>
              <w:t>BC3 皮带机廊道</w:t>
            </w:r>
          </w:p>
        </w:tc>
        <w:tc>
          <w:tcPr>
            <w:tcW w:w="939"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rPr>
              <w:t>565.08</w:t>
            </w:r>
          </w:p>
        </w:tc>
        <w:tc>
          <w:tcPr>
            <w:tcW w:w="1643"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rPr>
              <w:t>钢筋混凝土框架、连续钢梁</w:t>
            </w:r>
          </w:p>
        </w:tc>
        <w:tc>
          <w:tcPr>
            <w:tcW w:w="778" w:type="pct"/>
            <w:vAlign w:val="center"/>
          </w:tcPr>
          <w:p>
            <w:pPr>
              <w:widowControl/>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66"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rPr>
              <w:t>7</w:t>
            </w:r>
          </w:p>
        </w:tc>
        <w:tc>
          <w:tcPr>
            <w:tcW w:w="1173"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rPr>
              <w:t>BC4 皮带机廊道</w:t>
            </w:r>
          </w:p>
        </w:tc>
        <w:tc>
          <w:tcPr>
            <w:tcW w:w="939" w:type="pct"/>
            <w:vAlign w:val="center"/>
          </w:tcPr>
          <w:p>
            <w:pPr>
              <w:widowControl/>
              <w:adjustRightInd w:val="0"/>
              <w:snapToGrid w:val="0"/>
              <w:jc w:val="center"/>
              <w:rPr>
                <w:rFonts w:ascii="Times New Roman" w:hAnsi="Times New Roman"/>
                <w:color w:val="000000"/>
              </w:rPr>
            </w:pPr>
            <w:r>
              <w:rPr>
                <w:rFonts w:ascii="Times New Roman" w:hAnsi="Times New Roman"/>
                <w:color w:val="000000"/>
              </w:rPr>
              <w:t>1754.15</w:t>
            </w:r>
          </w:p>
        </w:tc>
        <w:tc>
          <w:tcPr>
            <w:tcW w:w="1643"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rPr>
              <w:t>钢筋混凝土框架、连续钢梁</w:t>
            </w:r>
          </w:p>
        </w:tc>
        <w:tc>
          <w:tcPr>
            <w:tcW w:w="778" w:type="pct"/>
            <w:vAlign w:val="center"/>
          </w:tcPr>
          <w:p>
            <w:pPr>
              <w:widowControl/>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66"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rPr>
              <w:t>8</w:t>
            </w:r>
          </w:p>
        </w:tc>
        <w:tc>
          <w:tcPr>
            <w:tcW w:w="1173"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rPr>
              <w:t>BC5 皮带机廊道</w:t>
            </w:r>
          </w:p>
        </w:tc>
        <w:tc>
          <w:tcPr>
            <w:tcW w:w="939" w:type="pct"/>
            <w:vAlign w:val="center"/>
          </w:tcPr>
          <w:p>
            <w:pPr>
              <w:widowControl/>
              <w:adjustRightInd w:val="0"/>
              <w:snapToGrid w:val="0"/>
              <w:jc w:val="center"/>
              <w:rPr>
                <w:rFonts w:ascii="Times New Roman" w:hAnsi="Times New Roman"/>
                <w:color w:val="000000"/>
              </w:rPr>
            </w:pPr>
            <w:r>
              <w:rPr>
                <w:rFonts w:ascii="Times New Roman" w:hAnsi="Times New Roman"/>
                <w:color w:val="000000"/>
              </w:rPr>
              <w:t>3226.72</w:t>
            </w:r>
          </w:p>
        </w:tc>
        <w:tc>
          <w:tcPr>
            <w:tcW w:w="1643"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rPr>
              <w:t>钢筋混凝土框架、连续钢梁</w:t>
            </w:r>
          </w:p>
        </w:tc>
        <w:tc>
          <w:tcPr>
            <w:tcW w:w="778" w:type="pct"/>
            <w:vAlign w:val="center"/>
          </w:tcPr>
          <w:p>
            <w:pPr>
              <w:widowControl/>
              <w:adjustRightInd w:val="0"/>
              <w:snapToGrid w:val="0"/>
              <w:jc w:val="center"/>
              <w:rPr>
                <w:rFonts w:ascii="Times New Roman" w:hAnsi="Times New Roman" w:eastAsiaTheme="minorEastAsia"/>
              </w:rPr>
            </w:pPr>
          </w:p>
        </w:tc>
      </w:tr>
    </w:tbl>
    <w:p>
      <w:pPr>
        <w:widowControl/>
        <w:spacing w:line="276" w:lineRule="auto"/>
        <w:rPr>
          <w:rFonts w:ascii="Times New Roman" w:hAnsi="Times New Roman" w:eastAsiaTheme="minorEastAsia"/>
          <w:sz w:val="24"/>
          <w:szCs w:val="24"/>
        </w:rPr>
      </w:pPr>
    </w:p>
    <w:p>
      <w:pPr>
        <w:pStyle w:val="325"/>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2、结构设计</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⑴</w:t>
      </w:r>
      <w:r>
        <w:rPr>
          <w:rFonts w:eastAsiaTheme="minorEastAsia"/>
          <w:sz w:val="24"/>
          <w:szCs w:val="24"/>
        </w:rPr>
        <w:t xml:space="preserve"> 建筑分类等级</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建筑结构安全等级：二级</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建筑抗震设防类别：丙类</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钢筋混凝土框架结构的抗震等级：三级。</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⑵</w:t>
      </w:r>
      <w:r>
        <w:rPr>
          <w:rFonts w:eastAsiaTheme="minorEastAsia"/>
          <w:sz w:val="24"/>
          <w:szCs w:val="24"/>
        </w:rPr>
        <w:t xml:space="preserve"> 上部结构设计</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T1~T4转运站、污水设备间采用钢筋混凝土框架结构，现浇楼、屋面板，灰砂砖，加气砼砌块围护。</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1#封闭廊道（BC3）、2#封闭廊道（BC4）、3#封闭廊道（BC5）采用钢桁架结构；栈桥面采用压型钢板组合楼板，屋面檩条、墙梁均采用C型冷弯薄壁型钢，彩色压型钢板围护。</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C型冷弯薄壁型钢、拉条、撑杆等采用热浸镀锌；钢结构防腐采用环氧富锌底漆、环氧云铁中间漆及聚氨酯面漆。</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⑶</w:t>
      </w:r>
      <w:r>
        <w:rPr>
          <w:sz w:val="24"/>
          <w:szCs w:val="24"/>
        </w:rPr>
        <w:t xml:space="preserve"> </w:t>
      </w:r>
      <w:r>
        <w:rPr>
          <w:rFonts w:eastAsiaTheme="minorEastAsia"/>
          <w:sz w:val="24"/>
          <w:szCs w:val="24"/>
        </w:rPr>
        <w:t>地基基础设计</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T3转运站、T4转运站、3#封闭廊道（BC5）采用冲孔灌注桩；污水设备间采用柱下条形基础。</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hint="eastAsia" w:ascii="宋体" w:hAnsi="宋体" w:cs="宋体"/>
          <w:sz w:val="24"/>
          <w:szCs w:val="24"/>
        </w:rPr>
        <w:t>⑷</w:t>
      </w:r>
      <w:r>
        <w:rPr>
          <w:sz w:val="24"/>
          <w:szCs w:val="24"/>
        </w:rPr>
        <w:t xml:space="preserve"> </w:t>
      </w:r>
      <w:r>
        <w:rPr>
          <w:rFonts w:eastAsiaTheme="minorEastAsia"/>
          <w:sz w:val="24"/>
          <w:szCs w:val="24"/>
        </w:rPr>
        <w:t>主要建、构筑物</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建筑物（结构部分）一览表见“表3.2-9”、构筑物一览表见“表3.2-10”。</w:t>
      </w:r>
    </w:p>
    <w:p>
      <w:pPr>
        <w:pStyle w:val="325"/>
        <w:tabs>
          <w:tab w:val="right" w:leader="dot" w:pos="9070"/>
        </w:tabs>
        <w:adjustRightInd w:val="0"/>
        <w:snapToGrid w:val="0"/>
        <w:spacing w:line="360" w:lineRule="auto"/>
        <w:jc w:val="both"/>
        <w:rPr>
          <w:rFonts w:eastAsiaTheme="minorEastAsia"/>
          <w:sz w:val="24"/>
          <w:szCs w:val="24"/>
        </w:rPr>
      </w:pPr>
    </w:p>
    <w:p>
      <w:pPr>
        <w:pStyle w:val="325"/>
        <w:tabs>
          <w:tab w:val="right" w:leader="dot" w:pos="9070"/>
        </w:tabs>
        <w:adjustRightInd w:val="0"/>
        <w:snapToGrid w:val="0"/>
        <w:spacing w:line="360" w:lineRule="auto"/>
        <w:ind w:firstLine="480" w:firstLineChars="200"/>
        <w:jc w:val="both"/>
        <w:rPr>
          <w:rFonts w:eastAsiaTheme="minorEastAsia"/>
          <w:sz w:val="24"/>
          <w:szCs w:val="24"/>
        </w:rPr>
        <w:sectPr>
          <w:headerReference r:id="rId11" w:type="default"/>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355"/>
        <w:spacing w:line="276" w:lineRule="auto"/>
        <w:ind w:firstLine="0" w:firstLineChars="0"/>
        <w:jc w:val="center"/>
        <w:rPr>
          <w:rFonts w:cs="Times New Roman" w:eastAsiaTheme="minorEastAsia"/>
          <w:b/>
          <w:sz w:val="24"/>
        </w:rPr>
      </w:pPr>
      <w:r>
        <w:rPr>
          <w:rFonts w:cs="Times New Roman" w:eastAsiaTheme="minorEastAsia"/>
          <w:b/>
          <w:sz w:val="24"/>
        </w:rPr>
        <w:t>表3.2-9  建筑物一览表</w:t>
      </w:r>
    </w:p>
    <w:tbl>
      <w:tblPr>
        <w:tblStyle w:val="72"/>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705"/>
        <w:gridCol w:w="1632"/>
        <w:gridCol w:w="1166"/>
        <w:gridCol w:w="1169"/>
        <w:gridCol w:w="1169"/>
        <w:gridCol w:w="1169"/>
        <w:gridCol w:w="1337"/>
        <w:gridCol w:w="1003"/>
        <w:gridCol w:w="1169"/>
        <w:gridCol w:w="1169"/>
        <w:gridCol w:w="1172"/>
        <w:gridCol w:w="11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1" w:type="pct"/>
            <w:vAlign w:val="center"/>
          </w:tcPr>
          <w:p>
            <w:pPr>
              <w:pStyle w:val="355"/>
              <w:adjustRightInd w:val="0"/>
              <w:spacing w:line="240" w:lineRule="auto"/>
              <w:ind w:firstLine="0" w:firstLineChars="0"/>
              <w:jc w:val="center"/>
              <w:rPr>
                <w:rFonts w:cs="Times New Roman" w:eastAsiaTheme="minorEastAsia"/>
                <w:b/>
                <w:sz w:val="21"/>
                <w:szCs w:val="21"/>
              </w:rPr>
            </w:pPr>
            <w:r>
              <w:rPr>
                <w:rFonts w:cs="Times New Roman"/>
                <w:b/>
                <w:color w:val="000000"/>
                <w:sz w:val="21"/>
                <w:szCs w:val="21"/>
              </w:rPr>
              <w:t>序号</w:t>
            </w:r>
          </w:p>
        </w:tc>
        <w:tc>
          <w:tcPr>
            <w:tcW w:w="581" w:type="pct"/>
            <w:vAlign w:val="center"/>
          </w:tcPr>
          <w:p>
            <w:pPr>
              <w:widowControl/>
              <w:adjustRightInd w:val="0"/>
              <w:snapToGrid w:val="0"/>
              <w:jc w:val="center"/>
              <w:rPr>
                <w:rFonts w:ascii="Times New Roman" w:hAnsi="Times New Roman" w:eastAsiaTheme="minorEastAsia"/>
                <w:b/>
              </w:rPr>
            </w:pPr>
            <w:r>
              <w:rPr>
                <w:rFonts w:ascii="Times New Roman" w:hAnsi="Times New Roman"/>
                <w:b/>
                <w:color w:val="000000"/>
                <w:kern w:val="0"/>
              </w:rPr>
              <w:t>名称</w:t>
            </w:r>
          </w:p>
        </w:tc>
        <w:tc>
          <w:tcPr>
            <w:tcW w:w="415" w:type="pct"/>
            <w:vAlign w:val="center"/>
          </w:tcPr>
          <w:p>
            <w:pPr>
              <w:widowControl/>
              <w:adjustRightInd w:val="0"/>
              <w:snapToGrid w:val="0"/>
              <w:jc w:val="center"/>
              <w:rPr>
                <w:rFonts w:ascii="Times New Roman" w:hAnsi="Times New Roman" w:eastAsiaTheme="minorEastAsia"/>
                <w:b/>
              </w:rPr>
            </w:pPr>
            <w:r>
              <w:rPr>
                <w:rFonts w:ascii="Times New Roman" w:hAnsi="Times New Roman"/>
                <w:b/>
                <w:color w:val="000000"/>
                <w:kern w:val="0"/>
              </w:rPr>
              <w:t>建筑面积（m</w:t>
            </w:r>
            <w:r>
              <w:rPr>
                <w:rFonts w:ascii="Times New Roman" w:hAnsi="Times New Roman"/>
                <w:b/>
                <w:color w:val="000000"/>
                <w:kern w:val="0"/>
                <w:vertAlign w:val="superscript"/>
              </w:rPr>
              <w:t>2</w:t>
            </w:r>
            <w:r>
              <w:rPr>
                <w:rFonts w:ascii="Times New Roman" w:hAnsi="Times New Roman"/>
                <w:b/>
                <w:color w:val="000000"/>
                <w:kern w:val="0"/>
              </w:rPr>
              <w:t>）</w:t>
            </w:r>
          </w:p>
        </w:tc>
        <w:tc>
          <w:tcPr>
            <w:tcW w:w="416" w:type="pct"/>
            <w:vAlign w:val="center"/>
          </w:tcPr>
          <w:p>
            <w:pPr>
              <w:widowControl/>
              <w:adjustRightInd w:val="0"/>
              <w:snapToGrid w:val="0"/>
              <w:jc w:val="center"/>
              <w:rPr>
                <w:rFonts w:ascii="Times New Roman" w:hAnsi="Times New Roman" w:eastAsiaTheme="minorEastAsia"/>
                <w:b/>
              </w:rPr>
            </w:pPr>
            <w:r>
              <w:rPr>
                <w:rFonts w:ascii="Times New Roman" w:hAnsi="Times New Roman"/>
                <w:b/>
                <w:color w:val="000000"/>
                <w:kern w:val="0"/>
              </w:rPr>
              <w:t>地上层数</w:t>
            </w:r>
          </w:p>
        </w:tc>
        <w:tc>
          <w:tcPr>
            <w:tcW w:w="416" w:type="pct"/>
            <w:vAlign w:val="center"/>
          </w:tcPr>
          <w:p>
            <w:pPr>
              <w:widowControl/>
              <w:adjustRightInd w:val="0"/>
              <w:snapToGrid w:val="0"/>
              <w:jc w:val="center"/>
              <w:rPr>
                <w:rFonts w:ascii="Times New Roman" w:hAnsi="Times New Roman" w:eastAsiaTheme="minorEastAsia"/>
                <w:b/>
              </w:rPr>
            </w:pPr>
            <w:r>
              <w:rPr>
                <w:rFonts w:ascii="Times New Roman" w:hAnsi="Times New Roman"/>
                <w:b/>
                <w:color w:val="000000"/>
                <w:kern w:val="0"/>
              </w:rPr>
              <w:t>建筑高度（m）</w:t>
            </w:r>
          </w:p>
        </w:tc>
        <w:tc>
          <w:tcPr>
            <w:tcW w:w="416" w:type="pct"/>
            <w:vAlign w:val="center"/>
          </w:tcPr>
          <w:p>
            <w:pPr>
              <w:widowControl/>
              <w:adjustRightInd w:val="0"/>
              <w:snapToGrid w:val="0"/>
              <w:jc w:val="center"/>
              <w:rPr>
                <w:rFonts w:ascii="Times New Roman" w:hAnsi="Times New Roman" w:eastAsiaTheme="minorEastAsia"/>
                <w:b/>
              </w:rPr>
            </w:pPr>
            <w:r>
              <w:rPr>
                <w:rFonts w:ascii="Times New Roman" w:hAnsi="Times New Roman"/>
                <w:b/>
                <w:color w:val="000000"/>
                <w:kern w:val="0"/>
              </w:rPr>
              <w:t>混凝土或钢结构安全等级</w:t>
            </w:r>
          </w:p>
        </w:tc>
        <w:tc>
          <w:tcPr>
            <w:tcW w:w="476" w:type="pct"/>
            <w:vAlign w:val="center"/>
          </w:tcPr>
          <w:p>
            <w:pPr>
              <w:widowControl/>
              <w:adjustRightInd w:val="0"/>
              <w:snapToGrid w:val="0"/>
              <w:jc w:val="center"/>
              <w:rPr>
                <w:rFonts w:ascii="Times New Roman" w:hAnsi="Times New Roman" w:eastAsiaTheme="minorEastAsia"/>
                <w:b/>
              </w:rPr>
            </w:pPr>
            <w:r>
              <w:rPr>
                <w:rFonts w:ascii="Times New Roman" w:hAnsi="Times New Roman"/>
                <w:b/>
                <w:color w:val="000000"/>
                <w:kern w:val="0"/>
              </w:rPr>
              <w:t>地基基础设计等级（建筑桩基设计等级）</w:t>
            </w:r>
          </w:p>
        </w:tc>
        <w:tc>
          <w:tcPr>
            <w:tcW w:w="357" w:type="pct"/>
            <w:vAlign w:val="center"/>
          </w:tcPr>
          <w:p>
            <w:pPr>
              <w:widowControl/>
              <w:adjustRightInd w:val="0"/>
              <w:snapToGrid w:val="0"/>
              <w:jc w:val="center"/>
              <w:rPr>
                <w:rFonts w:ascii="Times New Roman" w:hAnsi="Times New Roman" w:eastAsiaTheme="minorEastAsia"/>
                <w:b/>
              </w:rPr>
            </w:pPr>
            <w:r>
              <w:rPr>
                <w:rFonts w:ascii="Times New Roman" w:hAnsi="Times New Roman"/>
                <w:b/>
                <w:color w:val="000000"/>
                <w:kern w:val="0"/>
              </w:rPr>
              <w:t>建筑抗震设防类别</w:t>
            </w:r>
          </w:p>
        </w:tc>
        <w:tc>
          <w:tcPr>
            <w:tcW w:w="416" w:type="pct"/>
            <w:vAlign w:val="center"/>
          </w:tcPr>
          <w:p>
            <w:pPr>
              <w:widowControl/>
              <w:adjustRightInd w:val="0"/>
              <w:snapToGrid w:val="0"/>
              <w:jc w:val="center"/>
              <w:rPr>
                <w:rFonts w:ascii="Times New Roman" w:hAnsi="Times New Roman" w:eastAsiaTheme="minorEastAsia"/>
                <w:b/>
              </w:rPr>
            </w:pPr>
            <w:r>
              <w:rPr>
                <w:rFonts w:ascii="Times New Roman" w:hAnsi="Times New Roman"/>
                <w:b/>
                <w:color w:val="000000"/>
                <w:kern w:val="0"/>
              </w:rPr>
              <w:t>抗震等级</w:t>
            </w:r>
          </w:p>
        </w:tc>
        <w:tc>
          <w:tcPr>
            <w:tcW w:w="416" w:type="pct"/>
            <w:vAlign w:val="center"/>
          </w:tcPr>
          <w:p>
            <w:pPr>
              <w:pStyle w:val="355"/>
              <w:adjustRightInd w:val="0"/>
              <w:spacing w:line="240" w:lineRule="auto"/>
              <w:ind w:firstLine="0" w:firstLineChars="0"/>
              <w:jc w:val="center"/>
              <w:rPr>
                <w:rFonts w:cs="Times New Roman" w:eastAsiaTheme="minorEastAsia"/>
                <w:b/>
                <w:sz w:val="21"/>
                <w:szCs w:val="21"/>
              </w:rPr>
            </w:pPr>
            <w:r>
              <w:rPr>
                <w:rFonts w:cs="Times New Roman"/>
                <w:b/>
                <w:color w:val="000000"/>
                <w:sz w:val="21"/>
                <w:szCs w:val="21"/>
              </w:rPr>
              <w:t>上部结构类型</w:t>
            </w:r>
          </w:p>
        </w:tc>
        <w:tc>
          <w:tcPr>
            <w:tcW w:w="417" w:type="pct"/>
            <w:vAlign w:val="center"/>
          </w:tcPr>
          <w:p>
            <w:pPr>
              <w:pStyle w:val="355"/>
              <w:adjustRightInd w:val="0"/>
              <w:spacing w:line="240" w:lineRule="auto"/>
              <w:ind w:firstLine="0" w:firstLineChars="0"/>
              <w:jc w:val="center"/>
              <w:rPr>
                <w:rFonts w:cs="Times New Roman" w:eastAsiaTheme="minorEastAsia"/>
                <w:b/>
                <w:sz w:val="21"/>
                <w:szCs w:val="21"/>
              </w:rPr>
            </w:pPr>
            <w:r>
              <w:rPr>
                <w:rFonts w:cs="Times New Roman"/>
                <w:b/>
                <w:color w:val="000000"/>
                <w:sz w:val="21"/>
                <w:szCs w:val="21"/>
              </w:rPr>
              <w:t>地基基础</w:t>
            </w:r>
          </w:p>
        </w:tc>
        <w:tc>
          <w:tcPr>
            <w:tcW w:w="415" w:type="pct"/>
            <w:vAlign w:val="center"/>
          </w:tcPr>
          <w:p>
            <w:pPr>
              <w:pStyle w:val="355"/>
              <w:adjustRightInd w:val="0"/>
              <w:spacing w:line="240" w:lineRule="auto"/>
              <w:ind w:firstLine="0" w:firstLineChars="0"/>
              <w:jc w:val="center"/>
              <w:rPr>
                <w:rFonts w:cs="Times New Roman" w:eastAsiaTheme="minorEastAsia"/>
                <w:b/>
                <w:sz w:val="21"/>
                <w:szCs w:val="21"/>
              </w:rPr>
            </w:pPr>
            <w:r>
              <w:rPr>
                <w:rFonts w:cs="Times New Roman"/>
                <w:b/>
                <w:color w:val="000000"/>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1"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eastAsiaTheme="minorEastAsia"/>
                <w:sz w:val="21"/>
                <w:szCs w:val="21"/>
              </w:rPr>
              <w:t>1</w:t>
            </w:r>
          </w:p>
        </w:tc>
        <w:tc>
          <w:tcPr>
            <w:tcW w:w="581"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T1 转运站</w:t>
            </w:r>
          </w:p>
        </w:tc>
        <w:tc>
          <w:tcPr>
            <w:tcW w:w="415"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185</w:t>
            </w:r>
          </w:p>
        </w:tc>
        <w:tc>
          <w:tcPr>
            <w:tcW w:w="41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eastAsiaTheme="minorEastAsia"/>
                <w:sz w:val="21"/>
                <w:szCs w:val="21"/>
              </w:rPr>
              <w:t>1</w:t>
            </w:r>
          </w:p>
        </w:tc>
        <w:tc>
          <w:tcPr>
            <w:tcW w:w="41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eastAsiaTheme="minorEastAsia"/>
                <w:sz w:val="21"/>
                <w:szCs w:val="21"/>
              </w:rPr>
              <w:t>8.6</w:t>
            </w:r>
          </w:p>
        </w:tc>
        <w:tc>
          <w:tcPr>
            <w:tcW w:w="41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二级</w:t>
            </w:r>
          </w:p>
        </w:tc>
        <w:tc>
          <w:tcPr>
            <w:tcW w:w="476" w:type="pct"/>
            <w:vAlign w:val="center"/>
          </w:tcPr>
          <w:p>
            <w:pPr>
              <w:pStyle w:val="355"/>
              <w:adjustRightInd w:val="0"/>
              <w:spacing w:line="240" w:lineRule="auto"/>
              <w:ind w:firstLine="0" w:firstLineChars="0"/>
              <w:jc w:val="center"/>
              <w:rPr>
                <w:rFonts w:cs="Times New Roman" w:eastAsiaTheme="minorEastAsia"/>
                <w:sz w:val="21"/>
                <w:szCs w:val="21"/>
              </w:rPr>
            </w:pPr>
          </w:p>
        </w:tc>
        <w:tc>
          <w:tcPr>
            <w:tcW w:w="357"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丙类</w:t>
            </w:r>
          </w:p>
        </w:tc>
        <w:tc>
          <w:tcPr>
            <w:tcW w:w="41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三</w:t>
            </w:r>
          </w:p>
        </w:tc>
        <w:tc>
          <w:tcPr>
            <w:tcW w:w="416"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kern w:val="0"/>
              </w:rPr>
              <w:t>钢筋混凝土框架结构</w:t>
            </w:r>
          </w:p>
        </w:tc>
        <w:tc>
          <w:tcPr>
            <w:tcW w:w="417" w:type="pct"/>
            <w:vAlign w:val="center"/>
          </w:tcPr>
          <w:p>
            <w:pPr>
              <w:pStyle w:val="355"/>
              <w:adjustRightInd w:val="0"/>
              <w:spacing w:line="240" w:lineRule="auto"/>
              <w:ind w:firstLine="0" w:firstLineChars="0"/>
              <w:jc w:val="center"/>
              <w:rPr>
                <w:rFonts w:cs="Times New Roman" w:eastAsiaTheme="minorEastAsia"/>
                <w:sz w:val="21"/>
                <w:szCs w:val="21"/>
              </w:rPr>
            </w:pPr>
          </w:p>
        </w:tc>
        <w:tc>
          <w:tcPr>
            <w:tcW w:w="415"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kern w:val="0"/>
              </w:rPr>
              <w:t>位于水工平台面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1"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eastAsiaTheme="minorEastAsia"/>
                <w:sz w:val="21"/>
                <w:szCs w:val="21"/>
              </w:rPr>
              <w:t>2</w:t>
            </w:r>
          </w:p>
        </w:tc>
        <w:tc>
          <w:tcPr>
            <w:tcW w:w="581"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T2 转运站</w:t>
            </w:r>
          </w:p>
        </w:tc>
        <w:tc>
          <w:tcPr>
            <w:tcW w:w="415"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685</w:t>
            </w:r>
          </w:p>
        </w:tc>
        <w:tc>
          <w:tcPr>
            <w:tcW w:w="41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eastAsiaTheme="minorEastAsia"/>
                <w:sz w:val="21"/>
                <w:szCs w:val="21"/>
              </w:rPr>
              <w:t>3</w:t>
            </w:r>
          </w:p>
        </w:tc>
        <w:tc>
          <w:tcPr>
            <w:tcW w:w="41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eastAsiaTheme="minorEastAsia"/>
                <w:sz w:val="21"/>
                <w:szCs w:val="21"/>
              </w:rPr>
              <w:t>19.35</w:t>
            </w:r>
          </w:p>
        </w:tc>
        <w:tc>
          <w:tcPr>
            <w:tcW w:w="41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二级</w:t>
            </w:r>
          </w:p>
        </w:tc>
        <w:tc>
          <w:tcPr>
            <w:tcW w:w="476" w:type="pct"/>
            <w:vAlign w:val="center"/>
          </w:tcPr>
          <w:p>
            <w:pPr>
              <w:pStyle w:val="355"/>
              <w:adjustRightInd w:val="0"/>
              <w:spacing w:line="240" w:lineRule="auto"/>
              <w:ind w:firstLine="0" w:firstLineChars="0"/>
              <w:jc w:val="center"/>
              <w:rPr>
                <w:rFonts w:cs="Times New Roman" w:eastAsiaTheme="minorEastAsia"/>
                <w:sz w:val="21"/>
                <w:szCs w:val="21"/>
              </w:rPr>
            </w:pPr>
          </w:p>
        </w:tc>
        <w:tc>
          <w:tcPr>
            <w:tcW w:w="357"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丙类</w:t>
            </w:r>
          </w:p>
        </w:tc>
        <w:tc>
          <w:tcPr>
            <w:tcW w:w="41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三</w:t>
            </w:r>
          </w:p>
        </w:tc>
        <w:tc>
          <w:tcPr>
            <w:tcW w:w="416"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kern w:val="0"/>
              </w:rPr>
              <w:t>钢筋混凝土框架结构</w:t>
            </w:r>
          </w:p>
        </w:tc>
        <w:tc>
          <w:tcPr>
            <w:tcW w:w="417" w:type="pct"/>
            <w:vAlign w:val="center"/>
          </w:tcPr>
          <w:p>
            <w:pPr>
              <w:pStyle w:val="355"/>
              <w:adjustRightInd w:val="0"/>
              <w:spacing w:line="240" w:lineRule="auto"/>
              <w:ind w:firstLine="0" w:firstLineChars="0"/>
              <w:jc w:val="center"/>
              <w:rPr>
                <w:rFonts w:cs="Times New Roman" w:eastAsiaTheme="minorEastAsia"/>
                <w:sz w:val="21"/>
                <w:szCs w:val="21"/>
              </w:rPr>
            </w:pPr>
          </w:p>
        </w:tc>
        <w:tc>
          <w:tcPr>
            <w:tcW w:w="415"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kern w:val="0"/>
              </w:rPr>
              <w:t>位于水工平台面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1"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eastAsiaTheme="minorEastAsia"/>
                <w:sz w:val="21"/>
                <w:szCs w:val="21"/>
              </w:rPr>
              <w:t>3</w:t>
            </w:r>
          </w:p>
        </w:tc>
        <w:tc>
          <w:tcPr>
            <w:tcW w:w="581"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T3 转运站</w:t>
            </w:r>
          </w:p>
        </w:tc>
        <w:tc>
          <w:tcPr>
            <w:tcW w:w="415"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541</w:t>
            </w:r>
          </w:p>
        </w:tc>
        <w:tc>
          <w:tcPr>
            <w:tcW w:w="41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eastAsiaTheme="minorEastAsia"/>
                <w:sz w:val="21"/>
                <w:szCs w:val="21"/>
              </w:rPr>
              <w:t>3</w:t>
            </w:r>
          </w:p>
        </w:tc>
        <w:tc>
          <w:tcPr>
            <w:tcW w:w="41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eastAsiaTheme="minorEastAsia"/>
                <w:sz w:val="21"/>
                <w:szCs w:val="21"/>
              </w:rPr>
              <w:t>24.25</w:t>
            </w:r>
          </w:p>
        </w:tc>
        <w:tc>
          <w:tcPr>
            <w:tcW w:w="41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二级</w:t>
            </w:r>
          </w:p>
        </w:tc>
        <w:tc>
          <w:tcPr>
            <w:tcW w:w="47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丙</w:t>
            </w:r>
          </w:p>
        </w:tc>
        <w:tc>
          <w:tcPr>
            <w:tcW w:w="357"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丙类</w:t>
            </w:r>
          </w:p>
        </w:tc>
        <w:tc>
          <w:tcPr>
            <w:tcW w:w="41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三</w:t>
            </w:r>
          </w:p>
        </w:tc>
        <w:tc>
          <w:tcPr>
            <w:tcW w:w="416"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kern w:val="0"/>
              </w:rPr>
              <w:t>钢筋混凝土框架结构</w:t>
            </w:r>
          </w:p>
        </w:tc>
        <w:tc>
          <w:tcPr>
            <w:tcW w:w="417"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kern w:val="0"/>
              </w:rPr>
              <w:t>冲孔灌注桩</w:t>
            </w:r>
          </w:p>
        </w:tc>
        <w:tc>
          <w:tcPr>
            <w:tcW w:w="415" w:type="pct"/>
            <w:vAlign w:val="center"/>
          </w:tcPr>
          <w:p>
            <w:pPr>
              <w:pStyle w:val="355"/>
              <w:adjustRightInd w:val="0"/>
              <w:spacing w:line="240" w:lineRule="auto"/>
              <w:ind w:firstLine="0" w:firstLineChars="0"/>
              <w:jc w:val="center"/>
              <w:rPr>
                <w:rFonts w:cs="Times New Roman"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1"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eastAsiaTheme="minorEastAsia"/>
                <w:sz w:val="21"/>
                <w:szCs w:val="21"/>
              </w:rPr>
              <w:t>4</w:t>
            </w:r>
          </w:p>
        </w:tc>
        <w:tc>
          <w:tcPr>
            <w:tcW w:w="581"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T4 转运站</w:t>
            </w:r>
          </w:p>
        </w:tc>
        <w:tc>
          <w:tcPr>
            <w:tcW w:w="415"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495</w:t>
            </w:r>
          </w:p>
        </w:tc>
        <w:tc>
          <w:tcPr>
            <w:tcW w:w="41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eastAsiaTheme="minorEastAsia"/>
                <w:sz w:val="21"/>
                <w:szCs w:val="21"/>
              </w:rPr>
              <w:t>2</w:t>
            </w:r>
          </w:p>
        </w:tc>
        <w:tc>
          <w:tcPr>
            <w:tcW w:w="41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eastAsiaTheme="minorEastAsia"/>
                <w:sz w:val="21"/>
                <w:szCs w:val="21"/>
              </w:rPr>
              <w:t>16.35</w:t>
            </w:r>
          </w:p>
        </w:tc>
        <w:tc>
          <w:tcPr>
            <w:tcW w:w="41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二级</w:t>
            </w:r>
          </w:p>
        </w:tc>
        <w:tc>
          <w:tcPr>
            <w:tcW w:w="47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丙</w:t>
            </w:r>
          </w:p>
        </w:tc>
        <w:tc>
          <w:tcPr>
            <w:tcW w:w="357"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丙类</w:t>
            </w:r>
          </w:p>
        </w:tc>
        <w:tc>
          <w:tcPr>
            <w:tcW w:w="41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三</w:t>
            </w:r>
          </w:p>
        </w:tc>
        <w:tc>
          <w:tcPr>
            <w:tcW w:w="416"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kern w:val="0"/>
              </w:rPr>
              <w:t>钢筋混凝土框架结构</w:t>
            </w:r>
          </w:p>
        </w:tc>
        <w:tc>
          <w:tcPr>
            <w:tcW w:w="417"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kern w:val="0"/>
              </w:rPr>
              <w:t>冲孔灌注桩</w:t>
            </w:r>
          </w:p>
        </w:tc>
        <w:tc>
          <w:tcPr>
            <w:tcW w:w="415" w:type="pct"/>
            <w:vAlign w:val="center"/>
          </w:tcPr>
          <w:p>
            <w:pPr>
              <w:pStyle w:val="355"/>
              <w:adjustRightInd w:val="0"/>
              <w:spacing w:line="240" w:lineRule="auto"/>
              <w:ind w:firstLine="0" w:firstLineChars="0"/>
              <w:jc w:val="center"/>
              <w:rPr>
                <w:rFonts w:cs="Times New Roman"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1"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eastAsiaTheme="minorEastAsia"/>
                <w:sz w:val="21"/>
                <w:szCs w:val="21"/>
              </w:rPr>
              <w:t>5</w:t>
            </w:r>
          </w:p>
        </w:tc>
        <w:tc>
          <w:tcPr>
            <w:tcW w:w="581"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污水设备间</w:t>
            </w:r>
          </w:p>
        </w:tc>
        <w:tc>
          <w:tcPr>
            <w:tcW w:w="415"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15</w:t>
            </w:r>
          </w:p>
        </w:tc>
        <w:tc>
          <w:tcPr>
            <w:tcW w:w="41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eastAsiaTheme="minorEastAsia"/>
                <w:sz w:val="21"/>
                <w:szCs w:val="21"/>
              </w:rPr>
              <w:t>1</w:t>
            </w:r>
          </w:p>
        </w:tc>
        <w:tc>
          <w:tcPr>
            <w:tcW w:w="41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eastAsiaTheme="minorEastAsia"/>
                <w:sz w:val="21"/>
                <w:szCs w:val="21"/>
              </w:rPr>
              <w:t>4.5</w:t>
            </w:r>
          </w:p>
        </w:tc>
        <w:tc>
          <w:tcPr>
            <w:tcW w:w="41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二级</w:t>
            </w:r>
          </w:p>
        </w:tc>
        <w:tc>
          <w:tcPr>
            <w:tcW w:w="47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丙</w:t>
            </w:r>
          </w:p>
        </w:tc>
        <w:tc>
          <w:tcPr>
            <w:tcW w:w="357"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丙类</w:t>
            </w:r>
          </w:p>
        </w:tc>
        <w:tc>
          <w:tcPr>
            <w:tcW w:w="41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三</w:t>
            </w:r>
          </w:p>
        </w:tc>
        <w:tc>
          <w:tcPr>
            <w:tcW w:w="416"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kern w:val="0"/>
              </w:rPr>
              <w:t>钢筋混凝土框架结构</w:t>
            </w:r>
          </w:p>
        </w:tc>
        <w:tc>
          <w:tcPr>
            <w:tcW w:w="417"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kern w:val="0"/>
              </w:rPr>
              <w:t>柱下条形基础</w:t>
            </w:r>
          </w:p>
        </w:tc>
        <w:tc>
          <w:tcPr>
            <w:tcW w:w="415" w:type="pct"/>
            <w:vAlign w:val="center"/>
          </w:tcPr>
          <w:p>
            <w:pPr>
              <w:pStyle w:val="355"/>
              <w:adjustRightInd w:val="0"/>
              <w:spacing w:line="240" w:lineRule="auto"/>
              <w:ind w:firstLine="0" w:firstLineChars="0"/>
              <w:jc w:val="center"/>
              <w:rPr>
                <w:rFonts w:cs="Times New Roman"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1"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eastAsiaTheme="minorEastAsia"/>
                <w:sz w:val="21"/>
                <w:szCs w:val="21"/>
              </w:rPr>
              <w:t>6</w:t>
            </w:r>
          </w:p>
        </w:tc>
        <w:tc>
          <w:tcPr>
            <w:tcW w:w="581"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kern w:val="0"/>
              </w:rPr>
              <w:t>1#封闭廊道（BC3）</w:t>
            </w:r>
          </w:p>
        </w:tc>
        <w:tc>
          <w:tcPr>
            <w:tcW w:w="415"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565.08</w:t>
            </w:r>
          </w:p>
        </w:tc>
        <w:tc>
          <w:tcPr>
            <w:tcW w:w="41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eastAsiaTheme="minorEastAsia"/>
                <w:sz w:val="21"/>
                <w:szCs w:val="21"/>
              </w:rPr>
              <w:t>1</w:t>
            </w:r>
          </w:p>
        </w:tc>
        <w:tc>
          <w:tcPr>
            <w:tcW w:w="41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eastAsiaTheme="minorEastAsia"/>
                <w:sz w:val="21"/>
                <w:szCs w:val="21"/>
              </w:rPr>
              <w:t>3.5</w:t>
            </w:r>
          </w:p>
        </w:tc>
        <w:tc>
          <w:tcPr>
            <w:tcW w:w="41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二级</w:t>
            </w:r>
          </w:p>
        </w:tc>
        <w:tc>
          <w:tcPr>
            <w:tcW w:w="476" w:type="pct"/>
            <w:vAlign w:val="center"/>
          </w:tcPr>
          <w:p>
            <w:pPr>
              <w:pStyle w:val="355"/>
              <w:adjustRightInd w:val="0"/>
              <w:spacing w:line="240" w:lineRule="auto"/>
              <w:ind w:firstLine="0" w:firstLineChars="0"/>
              <w:jc w:val="center"/>
              <w:rPr>
                <w:rFonts w:cs="Times New Roman" w:eastAsiaTheme="minorEastAsia"/>
                <w:sz w:val="21"/>
                <w:szCs w:val="21"/>
              </w:rPr>
            </w:pPr>
          </w:p>
        </w:tc>
        <w:tc>
          <w:tcPr>
            <w:tcW w:w="357"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丙类</w:t>
            </w:r>
          </w:p>
        </w:tc>
        <w:tc>
          <w:tcPr>
            <w:tcW w:w="41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三</w:t>
            </w:r>
          </w:p>
        </w:tc>
        <w:tc>
          <w:tcPr>
            <w:tcW w:w="416"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kern w:val="0"/>
              </w:rPr>
              <w:t>钢筋混凝土排架结构、桁架结构</w:t>
            </w:r>
          </w:p>
        </w:tc>
        <w:tc>
          <w:tcPr>
            <w:tcW w:w="417" w:type="pct"/>
            <w:vAlign w:val="center"/>
          </w:tcPr>
          <w:p>
            <w:pPr>
              <w:pStyle w:val="355"/>
              <w:adjustRightInd w:val="0"/>
              <w:spacing w:line="240" w:lineRule="auto"/>
              <w:ind w:firstLine="0" w:firstLineChars="0"/>
              <w:jc w:val="center"/>
              <w:rPr>
                <w:rFonts w:cs="Times New Roman" w:eastAsiaTheme="minorEastAsia"/>
                <w:sz w:val="21"/>
                <w:szCs w:val="21"/>
              </w:rPr>
            </w:pPr>
          </w:p>
        </w:tc>
        <w:tc>
          <w:tcPr>
            <w:tcW w:w="415"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kern w:val="0"/>
              </w:rPr>
              <w:t>位于水工平台面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1"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eastAsiaTheme="minorEastAsia"/>
                <w:sz w:val="21"/>
                <w:szCs w:val="21"/>
              </w:rPr>
              <w:t>7</w:t>
            </w:r>
          </w:p>
        </w:tc>
        <w:tc>
          <w:tcPr>
            <w:tcW w:w="581" w:type="pct"/>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2#封闭廊道（BC4）</w:t>
            </w:r>
          </w:p>
        </w:tc>
        <w:tc>
          <w:tcPr>
            <w:tcW w:w="415"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1754.15</w:t>
            </w:r>
          </w:p>
        </w:tc>
        <w:tc>
          <w:tcPr>
            <w:tcW w:w="41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eastAsiaTheme="minorEastAsia"/>
                <w:sz w:val="21"/>
                <w:szCs w:val="21"/>
              </w:rPr>
              <w:t>1</w:t>
            </w:r>
          </w:p>
        </w:tc>
        <w:tc>
          <w:tcPr>
            <w:tcW w:w="41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eastAsiaTheme="minorEastAsia"/>
                <w:sz w:val="21"/>
                <w:szCs w:val="21"/>
              </w:rPr>
              <w:t>3.5</w:t>
            </w:r>
          </w:p>
        </w:tc>
        <w:tc>
          <w:tcPr>
            <w:tcW w:w="41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二级</w:t>
            </w:r>
          </w:p>
        </w:tc>
        <w:tc>
          <w:tcPr>
            <w:tcW w:w="476" w:type="pct"/>
            <w:vAlign w:val="center"/>
          </w:tcPr>
          <w:p>
            <w:pPr>
              <w:pStyle w:val="355"/>
              <w:adjustRightInd w:val="0"/>
              <w:spacing w:line="240" w:lineRule="auto"/>
              <w:ind w:firstLine="0" w:firstLineChars="0"/>
              <w:jc w:val="center"/>
              <w:rPr>
                <w:rFonts w:cs="Times New Roman" w:eastAsiaTheme="minorEastAsia"/>
                <w:sz w:val="21"/>
                <w:szCs w:val="21"/>
              </w:rPr>
            </w:pPr>
          </w:p>
        </w:tc>
        <w:tc>
          <w:tcPr>
            <w:tcW w:w="357"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丙类</w:t>
            </w:r>
          </w:p>
        </w:tc>
        <w:tc>
          <w:tcPr>
            <w:tcW w:w="41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三</w:t>
            </w:r>
          </w:p>
        </w:tc>
        <w:tc>
          <w:tcPr>
            <w:tcW w:w="416"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kern w:val="0"/>
              </w:rPr>
              <w:t>钢筋混凝土排架结构、桁架结构</w:t>
            </w:r>
          </w:p>
        </w:tc>
        <w:tc>
          <w:tcPr>
            <w:tcW w:w="417" w:type="pct"/>
            <w:vAlign w:val="center"/>
          </w:tcPr>
          <w:p>
            <w:pPr>
              <w:pStyle w:val="355"/>
              <w:adjustRightInd w:val="0"/>
              <w:spacing w:line="240" w:lineRule="auto"/>
              <w:ind w:firstLine="0" w:firstLineChars="0"/>
              <w:jc w:val="center"/>
              <w:rPr>
                <w:rFonts w:cs="Times New Roman" w:eastAsiaTheme="minorEastAsia"/>
                <w:sz w:val="21"/>
                <w:szCs w:val="21"/>
              </w:rPr>
            </w:pPr>
          </w:p>
        </w:tc>
        <w:tc>
          <w:tcPr>
            <w:tcW w:w="415"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kern w:val="0"/>
              </w:rPr>
              <w:t>位于水工平台面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1"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eastAsiaTheme="minorEastAsia"/>
                <w:sz w:val="21"/>
                <w:szCs w:val="21"/>
              </w:rPr>
              <w:t>8</w:t>
            </w:r>
          </w:p>
        </w:tc>
        <w:tc>
          <w:tcPr>
            <w:tcW w:w="581" w:type="pct"/>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3#封闭廊道（BC5）</w:t>
            </w:r>
          </w:p>
        </w:tc>
        <w:tc>
          <w:tcPr>
            <w:tcW w:w="415"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3226.72</w:t>
            </w:r>
          </w:p>
        </w:tc>
        <w:tc>
          <w:tcPr>
            <w:tcW w:w="41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eastAsiaTheme="minorEastAsia"/>
                <w:sz w:val="21"/>
                <w:szCs w:val="21"/>
              </w:rPr>
              <w:t>1</w:t>
            </w:r>
          </w:p>
        </w:tc>
        <w:tc>
          <w:tcPr>
            <w:tcW w:w="41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eastAsiaTheme="minorEastAsia"/>
                <w:sz w:val="21"/>
                <w:szCs w:val="21"/>
              </w:rPr>
              <w:t>3.5</w:t>
            </w:r>
          </w:p>
        </w:tc>
        <w:tc>
          <w:tcPr>
            <w:tcW w:w="41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二级</w:t>
            </w:r>
          </w:p>
        </w:tc>
        <w:tc>
          <w:tcPr>
            <w:tcW w:w="47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丙</w:t>
            </w:r>
          </w:p>
        </w:tc>
        <w:tc>
          <w:tcPr>
            <w:tcW w:w="357"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丙类</w:t>
            </w:r>
          </w:p>
        </w:tc>
        <w:tc>
          <w:tcPr>
            <w:tcW w:w="416" w:type="pct"/>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color w:val="000000"/>
                <w:sz w:val="21"/>
                <w:szCs w:val="21"/>
              </w:rPr>
              <w:t>三</w:t>
            </w:r>
          </w:p>
        </w:tc>
        <w:tc>
          <w:tcPr>
            <w:tcW w:w="416"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kern w:val="0"/>
              </w:rPr>
              <w:t>钢筋混凝土排架结构、桁架结构</w:t>
            </w:r>
          </w:p>
        </w:tc>
        <w:tc>
          <w:tcPr>
            <w:tcW w:w="417" w:type="pct"/>
            <w:vAlign w:val="center"/>
          </w:tcPr>
          <w:p>
            <w:pPr>
              <w:widowControl/>
              <w:adjustRightInd w:val="0"/>
              <w:snapToGrid w:val="0"/>
              <w:jc w:val="center"/>
              <w:rPr>
                <w:rFonts w:ascii="Times New Roman" w:hAnsi="Times New Roman" w:eastAsiaTheme="minorEastAsia"/>
              </w:rPr>
            </w:pPr>
            <w:r>
              <w:rPr>
                <w:rFonts w:ascii="Times New Roman" w:hAnsi="Times New Roman"/>
                <w:color w:val="000000"/>
                <w:kern w:val="0"/>
              </w:rPr>
              <w:t>冲孔灌注桩</w:t>
            </w:r>
          </w:p>
        </w:tc>
        <w:tc>
          <w:tcPr>
            <w:tcW w:w="415" w:type="pct"/>
            <w:vAlign w:val="center"/>
          </w:tcPr>
          <w:p>
            <w:pPr>
              <w:pStyle w:val="355"/>
              <w:adjustRightInd w:val="0"/>
              <w:spacing w:line="240" w:lineRule="auto"/>
              <w:ind w:firstLine="0" w:firstLineChars="0"/>
              <w:jc w:val="center"/>
              <w:rPr>
                <w:rFonts w:cs="Times New Roman" w:eastAsiaTheme="minorEastAsia"/>
                <w:sz w:val="21"/>
                <w:szCs w:val="21"/>
              </w:rPr>
            </w:pPr>
          </w:p>
        </w:tc>
      </w:tr>
    </w:tbl>
    <w:p>
      <w:pPr>
        <w:pStyle w:val="355"/>
        <w:spacing w:line="276" w:lineRule="auto"/>
        <w:ind w:firstLine="0" w:firstLineChars="0"/>
        <w:rPr>
          <w:rFonts w:cs="Times New Roman" w:eastAsiaTheme="minorEastAsia"/>
          <w:b/>
          <w:sz w:val="24"/>
        </w:rPr>
      </w:pPr>
    </w:p>
    <w:p>
      <w:pPr>
        <w:pStyle w:val="355"/>
        <w:spacing w:line="276" w:lineRule="auto"/>
        <w:ind w:firstLine="0" w:firstLineChars="0"/>
        <w:rPr>
          <w:rFonts w:cs="Times New Roman" w:eastAsiaTheme="minorEastAsia"/>
          <w:b/>
          <w:sz w:val="24"/>
        </w:rPr>
      </w:pPr>
    </w:p>
    <w:p>
      <w:pPr>
        <w:pStyle w:val="355"/>
        <w:spacing w:line="276" w:lineRule="auto"/>
        <w:ind w:firstLine="0" w:firstLineChars="0"/>
        <w:rPr>
          <w:rFonts w:cs="Times New Roman" w:eastAsiaTheme="minorEastAsia"/>
          <w:b/>
          <w:sz w:val="24"/>
        </w:rPr>
      </w:pPr>
    </w:p>
    <w:p>
      <w:pPr>
        <w:pStyle w:val="355"/>
        <w:spacing w:line="276" w:lineRule="auto"/>
        <w:ind w:firstLine="0" w:firstLineChars="0"/>
        <w:rPr>
          <w:rFonts w:cs="Times New Roman" w:eastAsiaTheme="minorEastAsia"/>
          <w:b/>
          <w:sz w:val="24"/>
        </w:rPr>
      </w:pPr>
    </w:p>
    <w:p>
      <w:pPr>
        <w:pStyle w:val="355"/>
        <w:spacing w:line="276" w:lineRule="auto"/>
        <w:ind w:firstLine="0" w:firstLineChars="0"/>
        <w:rPr>
          <w:rFonts w:cs="Times New Roman" w:eastAsiaTheme="minorEastAsia"/>
          <w:b/>
          <w:sz w:val="24"/>
        </w:rPr>
      </w:pPr>
    </w:p>
    <w:p>
      <w:pPr>
        <w:pStyle w:val="355"/>
        <w:spacing w:line="276" w:lineRule="auto"/>
        <w:ind w:firstLine="0" w:firstLineChars="0"/>
        <w:rPr>
          <w:rFonts w:cs="Times New Roman" w:eastAsiaTheme="minorEastAsia"/>
          <w:b/>
          <w:sz w:val="24"/>
        </w:rPr>
      </w:pPr>
    </w:p>
    <w:p>
      <w:pPr>
        <w:pStyle w:val="325"/>
        <w:tabs>
          <w:tab w:val="right" w:leader="dot" w:pos="9070"/>
        </w:tabs>
        <w:adjustRightInd w:val="0"/>
        <w:snapToGrid w:val="0"/>
        <w:spacing w:line="360" w:lineRule="auto"/>
        <w:jc w:val="both"/>
        <w:rPr>
          <w:rFonts w:eastAsiaTheme="minorEastAsia"/>
          <w:b/>
          <w:sz w:val="24"/>
        </w:rPr>
      </w:pPr>
    </w:p>
    <w:p>
      <w:pPr>
        <w:pStyle w:val="355"/>
        <w:spacing w:line="276" w:lineRule="auto"/>
        <w:ind w:firstLine="0" w:firstLineChars="0"/>
        <w:jc w:val="center"/>
        <w:rPr>
          <w:rFonts w:cs="Times New Roman" w:eastAsiaTheme="minorEastAsia"/>
          <w:b/>
          <w:sz w:val="24"/>
        </w:rPr>
      </w:pPr>
      <w:r>
        <w:rPr>
          <w:rFonts w:cs="Times New Roman" w:eastAsiaTheme="minorEastAsia"/>
          <w:b/>
          <w:sz w:val="24"/>
        </w:rPr>
        <w:t>表3.2-10  构筑物一览表</w:t>
      </w:r>
    </w:p>
    <w:tbl>
      <w:tblPr>
        <w:tblStyle w:val="7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1415"/>
        <w:gridCol w:w="1932"/>
        <w:gridCol w:w="1183"/>
        <w:gridCol w:w="1610"/>
        <w:gridCol w:w="2211"/>
        <w:gridCol w:w="991"/>
        <w:gridCol w:w="990"/>
        <w:gridCol w:w="1841"/>
        <w:gridCol w:w="9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4" w:type="dxa"/>
            <w:tcMar>
              <w:left w:w="0" w:type="dxa"/>
              <w:right w:w="0" w:type="dxa"/>
            </w:tcMar>
            <w:vAlign w:val="center"/>
          </w:tcPr>
          <w:p>
            <w:pPr>
              <w:widowControl/>
              <w:adjustRightInd w:val="0"/>
              <w:snapToGrid w:val="0"/>
              <w:jc w:val="center"/>
              <w:rPr>
                <w:rFonts w:ascii="Times New Roman" w:hAnsi="Times New Roman" w:eastAsiaTheme="minorEastAsia"/>
                <w:b/>
              </w:rPr>
            </w:pPr>
            <w:r>
              <w:rPr>
                <w:rFonts w:ascii="Times New Roman" w:hAnsi="Times New Roman"/>
                <w:b/>
                <w:color w:val="000000"/>
                <w:kern w:val="0"/>
              </w:rPr>
              <w:t>序号</w:t>
            </w:r>
          </w:p>
        </w:tc>
        <w:tc>
          <w:tcPr>
            <w:tcW w:w="1415" w:type="dxa"/>
            <w:tcMar>
              <w:left w:w="0" w:type="dxa"/>
              <w:right w:w="0" w:type="dxa"/>
            </w:tcMar>
            <w:vAlign w:val="center"/>
          </w:tcPr>
          <w:p>
            <w:pPr>
              <w:pStyle w:val="355"/>
              <w:adjustRightInd w:val="0"/>
              <w:spacing w:line="240" w:lineRule="auto"/>
              <w:ind w:firstLine="0" w:firstLineChars="0"/>
              <w:jc w:val="center"/>
              <w:rPr>
                <w:rFonts w:cs="Times New Roman" w:eastAsiaTheme="minorEastAsia"/>
                <w:b/>
                <w:sz w:val="21"/>
                <w:szCs w:val="21"/>
              </w:rPr>
            </w:pPr>
            <w:r>
              <w:rPr>
                <w:rFonts w:cs="Times New Roman"/>
                <w:b/>
                <w:color w:val="000000"/>
                <w:sz w:val="21"/>
                <w:szCs w:val="21"/>
              </w:rPr>
              <w:t>名称</w:t>
            </w:r>
          </w:p>
        </w:tc>
        <w:tc>
          <w:tcPr>
            <w:tcW w:w="1932" w:type="dxa"/>
            <w:tcMar>
              <w:left w:w="0" w:type="dxa"/>
              <w:right w:w="0" w:type="dxa"/>
            </w:tcMar>
            <w:vAlign w:val="center"/>
          </w:tcPr>
          <w:p>
            <w:pPr>
              <w:pStyle w:val="355"/>
              <w:adjustRightInd w:val="0"/>
              <w:spacing w:line="240" w:lineRule="auto"/>
              <w:ind w:firstLine="0" w:firstLineChars="0"/>
              <w:jc w:val="center"/>
              <w:rPr>
                <w:rFonts w:cs="Times New Roman" w:eastAsiaTheme="minorEastAsia"/>
                <w:b/>
                <w:sz w:val="21"/>
                <w:szCs w:val="21"/>
              </w:rPr>
            </w:pPr>
            <w:r>
              <w:rPr>
                <w:rFonts w:cs="Times New Roman"/>
                <w:b/>
                <w:color w:val="000000"/>
                <w:sz w:val="21"/>
                <w:szCs w:val="21"/>
              </w:rPr>
              <w:t>规模</w:t>
            </w:r>
          </w:p>
        </w:tc>
        <w:tc>
          <w:tcPr>
            <w:tcW w:w="1183" w:type="dxa"/>
            <w:tcMar>
              <w:left w:w="0" w:type="dxa"/>
              <w:right w:w="0" w:type="dxa"/>
            </w:tcMar>
            <w:vAlign w:val="center"/>
          </w:tcPr>
          <w:p>
            <w:pPr>
              <w:widowControl/>
              <w:adjustRightInd w:val="0"/>
              <w:snapToGrid w:val="0"/>
              <w:jc w:val="center"/>
              <w:rPr>
                <w:rFonts w:ascii="Times New Roman" w:hAnsi="Times New Roman" w:eastAsiaTheme="minorEastAsia"/>
                <w:b/>
              </w:rPr>
            </w:pPr>
            <w:r>
              <w:rPr>
                <w:rFonts w:ascii="Times New Roman" w:hAnsi="Times New Roman"/>
                <w:b/>
                <w:color w:val="000000"/>
                <w:kern w:val="0"/>
              </w:rPr>
              <w:t>建筑结构的安全等级</w:t>
            </w:r>
          </w:p>
        </w:tc>
        <w:tc>
          <w:tcPr>
            <w:tcW w:w="1610" w:type="dxa"/>
            <w:tcMar>
              <w:left w:w="0" w:type="dxa"/>
              <w:right w:w="0" w:type="dxa"/>
            </w:tcMar>
            <w:vAlign w:val="center"/>
          </w:tcPr>
          <w:p>
            <w:pPr>
              <w:pStyle w:val="355"/>
              <w:adjustRightInd w:val="0"/>
              <w:spacing w:line="240" w:lineRule="auto"/>
              <w:ind w:firstLine="0" w:firstLineChars="0"/>
              <w:jc w:val="center"/>
              <w:rPr>
                <w:rFonts w:cs="Times New Roman" w:eastAsiaTheme="minorEastAsia"/>
                <w:b/>
                <w:sz w:val="21"/>
                <w:szCs w:val="21"/>
              </w:rPr>
            </w:pPr>
            <w:r>
              <w:rPr>
                <w:rFonts w:cs="Times New Roman"/>
                <w:b/>
                <w:color w:val="000000"/>
                <w:sz w:val="21"/>
                <w:szCs w:val="21"/>
              </w:rPr>
              <w:t>结构类型</w:t>
            </w:r>
          </w:p>
        </w:tc>
        <w:tc>
          <w:tcPr>
            <w:tcW w:w="2211" w:type="dxa"/>
            <w:tcMar>
              <w:left w:w="0" w:type="dxa"/>
              <w:right w:w="0" w:type="dxa"/>
            </w:tcMar>
            <w:vAlign w:val="center"/>
          </w:tcPr>
          <w:p>
            <w:pPr>
              <w:widowControl/>
              <w:adjustRightInd w:val="0"/>
              <w:snapToGrid w:val="0"/>
              <w:jc w:val="center"/>
              <w:rPr>
                <w:rFonts w:ascii="Times New Roman" w:hAnsi="Times New Roman" w:eastAsiaTheme="minorEastAsia"/>
                <w:b/>
              </w:rPr>
            </w:pPr>
            <w:r>
              <w:rPr>
                <w:rFonts w:ascii="Times New Roman" w:hAnsi="Times New Roman"/>
                <w:b/>
                <w:color w:val="000000"/>
                <w:kern w:val="0"/>
              </w:rPr>
              <w:t>地基基础设计等级（建筑桩基设计等级）</w:t>
            </w:r>
          </w:p>
        </w:tc>
        <w:tc>
          <w:tcPr>
            <w:tcW w:w="991" w:type="dxa"/>
            <w:tcMar>
              <w:left w:w="0" w:type="dxa"/>
              <w:right w:w="0" w:type="dxa"/>
            </w:tcMar>
            <w:vAlign w:val="center"/>
          </w:tcPr>
          <w:p>
            <w:pPr>
              <w:widowControl/>
              <w:adjustRightInd w:val="0"/>
              <w:snapToGrid w:val="0"/>
              <w:jc w:val="center"/>
              <w:rPr>
                <w:rFonts w:ascii="Times New Roman" w:hAnsi="Times New Roman" w:eastAsiaTheme="minorEastAsia"/>
                <w:b/>
              </w:rPr>
            </w:pPr>
            <w:r>
              <w:rPr>
                <w:rFonts w:ascii="Times New Roman" w:hAnsi="Times New Roman"/>
                <w:b/>
                <w:color w:val="000000"/>
                <w:kern w:val="0"/>
              </w:rPr>
              <w:t>建筑抗震设防类别</w:t>
            </w:r>
          </w:p>
        </w:tc>
        <w:tc>
          <w:tcPr>
            <w:tcW w:w="990" w:type="dxa"/>
            <w:tcMar>
              <w:left w:w="0" w:type="dxa"/>
              <w:right w:w="0" w:type="dxa"/>
            </w:tcMar>
            <w:vAlign w:val="center"/>
          </w:tcPr>
          <w:p>
            <w:pPr>
              <w:widowControl/>
              <w:adjustRightInd w:val="0"/>
              <w:snapToGrid w:val="0"/>
              <w:jc w:val="center"/>
              <w:rPr>
                <w:rFonts w:ascii="Times New Roman" w:hAnsi="Times New Roman" w:eastAsiaTheme="minorEastAsia"/>
                <w:b/>
              </w:rPr>
            </w:pPr>
            <w:r>
              <w:rPr>
                <w:rFonts w:ascii="Times New Roman" w:hAnsi="Times New Roman"/>
                <w:b/>
                <w:color w:val="000000"/>
                <w:kern w:val="0"/>
              </w:rPr>
              <w:t>抗震等级</w:t>
            </w:r>
          </w:p>
        </w:tc>
        <w:tc>
          <w:tcPr>
            <w:tcW w:w="1841" w:type="dxa"/>
            <w:tcMar>
              <w:left w:w="0" w:type="dxa"/>
              <w:right w:w="0" w:type="dxa"/>
            </w:tcMar>
            <w:vAlign w:val="center"/>
          </w:tcPr>
          <w:p>
            <w:pPr>
              <w:pStyle w:val="355"/>
              <w:adjustRightInd w:val="0"/>
              <w:spacing w:line="240" w:lineRule="auto"/>
              <w:ind w:firstLine="0" w:firstLineChars="0"/>
              <w:jc w:val="center"/>
              <w:rPr>
                <w:rFonts w:cs="Times New Roman" w:eastAsiaTheme="minorEastAsia"/>
                <w:b/>
                <w:sz w:val="21"/>
                <w:szCs w:val="21"/>
              </w:rPr>
            </w:pPr>
            <w:r>
              <w:rPr>
                <w:rFonts w:cs="Times New Roman"/>
                <w:b/>
                <w:color w:val="000000"/>
                <w:sz w:val="21"/>
                <w:szCs w:val="21"/>
              </w:rPr>
              <w:t>地基基础</w:t>
            </w:r>
          </w:p>
        </w:tc>
        <w:tc>
          <w:tcPr>
            <w:tcW w:w="955" w:type="dxa"/>
            <w:tcMar>
              <w:left w:w="0" w:type="dxa"/>
              <w:right w:w="0" w:type="dxa"/>
            </w:tcMar>
            <w:vAlign w:val="center"/>
          </w:tcPr>
          <w:p>
            <w:pPr>
              <w:widowControl/>
              <w:adjustRightInd w:val="0"/>
              <w:snapToGrid w:val="0"/>
              <w:jc w:val="center"/>
              <w:rPr>
                <w:rFonts w:ascii="Times New Roman" w:hAnsi="Times New Roman" w:eastAsiaTheme="minorEastAsia"/>
                <w:b/>
              </w:rPr>
            </w:pPr>
            <w:r>
              <w:rPr>
                <w:rFonts w:ascii="Times New Roman" w:hAnsi="Times New Roman"/>
                <w:b/>
                <w:color w:val="000000"/>
                <w:kern w:val="0"/>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4" w:type="dxa"/>
            <w:tcMar>
              <w:left w:w="0" w:type="dxa"/>
              <w:right w:w="0" w:type="dxa"/>
            </w:tcMar>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eastAsiaTheme="minorEastAsia"/>
                <w:sz w:val="21"/>
                <w:szCs w:val="21"/>
              </w:rPr>
              <w:t>1</w:t>
            </w:r>
          </w:p>
        </w:tc>
        <w:tc>
          <w:tcPr>
            <w:tcW w:w="1415" w:type="dxa"/>
            <w:tcMar>
              <w:left w:w="0" w:type="dxa"/>
              <w:right w:w="0" w:type="dxa"/>
            </w:tcMar>
            <w:vAlign w:val="center"/>
          </w:tcPr>
          <w:p>
            <w:pPr>
              <w:widowControl/>
              <w:adjustRightInd w:val="0"/>
              <w:snapToGrid w:val="0"/>
              <w:jc w:val="center"/>
              <w:rPr>
                <w:rFonts w:ascii="Times New Roman" w:hAnsi="Times New Roman" w:eastAsiaTheme="minorEastAsia"/>
                <w:b/>
              </w:rPr>
            </w:pPr>
            <w:r>
              <w:rPr>
                <w:rFonts w:ascii="Times New Roman" w:hAnsi="Times New Roman"/>
                <w:color w:val="000000"/>
                <w:kern w:val="0"/>
              </w:rPr>
              <w:t>沉淀调节池</w:t>
            </w:r>
          </w:p>
        </w:tc>
        <w:tc>
          <w:tcPr>
            <w:tcW w:w="1932" w:type="dxa"/>
            <w:tcMar>
              <w:left w:w="0" w:type="dxa"/>
              <w:right w:w="0" w:type="dxa"/>
            </w:tcMar>
            <w:vAlign w:val="center"/>
          </w:tcPr>
          <w:p>
            <w:pPr>
              <w:widowControl/>
              <w:adjustRightInd w:val="0"/>
              <w:snapToGrid w:val="0"/>
              <w:jc w:val="center"/>
              <w:rPr>
                <w:rFonts w:ascii="Times New Roman" w:hAnsi="Times New Roman" w:eastAsiaTheme="minorEastAsia"/>
                <w:b/>
              </w:rPr>
            </w:pPr>
            <w:r>
              <w:rPr>
                <w:rFonts w:ascii="Times New Roman" w:hAnsi="Times New Roman"/>
                <w:color w:val="000000"/>
                <w:kern w:val="0"/>
              </w:rPr>
              <w:t>长12m，宽3m，高3m</w:t>
            </w:r>
          </w:p>
        </w:tc>
        <w:tc>
          <w:tcPr>
            <w:tcW w:w="1183" w:type="dxa"/>
            <w:tcMar>
              <w:left w:w="0" w:type="dxa"/>
              <w:right w:w="0" w:type="dxa"/>
            </w:tcMar>
            <w:vAlign w:val="center"/>
          </w:tcPr>
          <w:p>
            <w:pPr>
              <w:pStyle w:val="355"/>
              <w:adjustRightInd w:val="0"/>
              <w:spacing w:line="240" w:lineRule="auto"/>
              <w:ind w:firstLine="0" w:firstLineChars="0"/>
              <w:jc w:val="center"/>
              <w:rPr>
                <w:rFonts w:cs="Times New Roman" w:eastAsiaTheme="minorEastAsia"/>
                <w:b/>
                <w:sz w:val="21"/>
                <w:szCs w:val="21"/>
              </w:rPr>
            </w:pPr>
            <w:r>
              <w:rPr>
                <w:rFonts w:cs="Times New Roman"/>
                <w:color w:val="000000"/>
                <w:sz w:val="21"/>
                <w:szCs w:val="21"/>
              </w:rPr>
              <w:t>二级</w:t>
            </w:r>
          </w:p>
        </w:tc>
        <w:tc>
          <w:tcPr>
            <w:tcW w:w="1610" w:type="dxa"/>
            <w:tcMar>
              <w:left w:w="0" w:type="dxa"/>
              <w:right w:w="0" w:type="dxa"/>
            </w:tcMar>
            <w:vAlign w:val="center"/>
          </w:tcPr>
          <w:p>
            <w:pPr>
              <w:widowControl/>
              <w:adjustRightInd w:val="0"/>
              <w:snapToGrid w:val="0"/>
              <w:jc w:val="center"/>
              <w:rPr>
                <w:rFonts w:ascii="Times New Roman" w:hAnsi="Times New Roman" w:eastAsiaTheme="minorEastAsia"/>
                <w:b/>
              </w:rPr>
            </w:pPr>
            <w:r>
              <w:rPr>
                <w:rFonts w:ascii="Times New Roman" w:hAnsi="Times New Roman"/>
                <w:color w:val="000000"/>
                <w:kern w:val="0"/>
              </w:rPr>
              <w:t>钢筋混凝土结构</w:t>
            </w:r>
          </w:p>
        </w:tc>
        <w:tc>
          <w:tcPr>
            <w:tcW w:w="2211" w:type="dxa"/>
            <w:tcMar>
              <w:left w:w="0" w:type="dxa"/>
              <w:right w:w="0" w:type="dxa"/>
            </w:tcMar>
            <w:vAlign w:val="center"/>
          </w:tcPr>
          <w:p>
            <w:pPr>
              <w:pStyle w:val="355"/>
              <w:adjustRightInd w:val="0"/>
              <w:spacing w:line="240" w:lineRule="auto"/>
              <w:ind w:firstLine="0" w:firstLineChars="0"/>
              <w:jc w:val="center"/>
              <w:rPr>
                <w:rFonts w:cs="Times New Roman" w:eastAsiaTheme="minorEastAsia"/>
                <w:b/>
                <w:sz w:val="21"/>
                <w:szCs w:val="21"/>
              </w:rPr>
            </w:pPr>
            <w:r>
              <w:rPr>
                <w:rFonts w:cs="Times New Roman"/>
                <w:color w:val="000000"/>
                <w:sz w:val="21"/>
                <w:szCs w:val="21"/>
              </w:rPr>
              <w:t>丙</w:t>
            </w:r>
          </w:p>
        </w:tc>
        <w:tc>
          <w:tcPr>
            <w:tcW w:w="991" w:type="dxa"/>
            <w:tcMar>
              <w:left w:w="0" w:type="dxa"/>
              <w:right w:w="0" w:type="dxa"/>
            </w:tcMar>
            <w:vAlign w:val="center"/>
          </w:tcPr>
          <w:p>
            <w:pPr>
              <w:pStyle w:val="355"/>
              <w:adjustRightInd w:val="0"/>
              <w:spacing w:line="240" w:lineRule="auto"/>
              <w:ind w:firstLine="0" w:firstLineChars="0"/>
              <w:jc w:val="center"/>
              <w:rPr>
                <w:rFonts w:cs="Times New Roman" w:eastAsiaTheme="minorEastAsia"/>
                <w:b/>
                <w:sz w:val="21"/>
                <w:szCs w:val="21"/>
              </w:rPr>
            </w:pPr>
            <w:r>
              <w:rPr>
                <w:rFonts w:cs="Times New Roman"/>
                <w:color w:val="000000"/>
                <w:sz w:val="21"/>
                <w:szCs w:val="21"/>
              </w:rPr>
              <w:t>丙类</w:t>
            </w:r>
          </w:p>
        </w:tc>
        <w:tc>
          <w:tcPr>
            <w:tcW w:w="990" w:type="dxa"/>
            <w:tcMar>
              <w:left w:w="0" w:type="dxa"/>
              <w:right w:w="0" w:type="dxa"/>
            </w:tcMar>
            <w:vAlign w:val="center"/>
          </w:tcPr>
          <w:p>
            <w:pPr>
              <w:pStyle w:val="355"/>
              <w:adjustRightInd w:val="0"/>
              <w:spacing w:line="240" w:lineRule="auto"/>
              <w:ind w:firstLine="0" w:firstLineChars="0"/>
              <w:jc w:val="center"/>
              <w:rPr>
                <w:rFonts w:cs="Times New Roman" w:eastAsiaTheme="minorEastAsia"/>
                <w:b/>
                <w:sz w:val="21"/>
                <w:szCs w:val="21"/>
              </w:rPr>
            </w:pPr>
            <w:r>
              <w:rPr>
                <w:rFonts w:cs="Times New Roman"/>
                <w:color w:val="000000"/>
                <w:sz w:val="21"/>
                <w:szCs w:val="21"/>
              </w:rPr>
              <w:t>三</w:t>
            </w:r>
          </w:p>
        </w:tc>
        <w:tc>
          <w:tcPr>
            <w:tcW w:w="1841" w:type="dxa"/>
            <w:tcMar>
              <w:left w:w="0" w:type="dxa"/>
              <w:right w:w="0" w:type="dxa"/>
            </w:tcMar>
            <w:vAlign w:val="center"/>
          </w:tcPr>
          <w:p>
            <w:pPr>
              <w:widowControl/>
              <w:adjustRightInd w:val="0"/>
              <w:snapToGrid w:val="0"/>
              <w:jc w:val="center"/>
              <w:rPr>
                <w:rFonts w:ascii="Times New Roman" w:hAnsi="Times New Roman" w:eastAsiaTheme="minorEastAsia"/>
                <w:b/>
              </w:rPr>
            </w:pPr>
            <w:r>
              <w:rPr>
                <w:rFonts w:ascii="Times New Roman" w:hAnsi="Times New Roman"/>
                <w:color w:val="000000"/>
                <w:kern w:val="0"/>
              </w:rPr>
              <w:t>钢筋混凝土整板基础</w:t>
            </w:r>
          </w:p>
        </w:tc>
        <w:tc>
          <w:tcPr>
            <w:tcW w:w="955" w:type="dxa"/>
            <w:tcMar>
              <w:left w:w="0" w:type="dxa"/>
              <w:right w:w="0" w:type="dxa"/>
            </w:tcMar>
            <w:vAlign w:val="center"/>
          </w:tcPr>
          <w:p>
            <w:pPr>
              <w:pStyle w:val="355"/>
              <w:adjustRightInd w:val="0"/>
              <w:spacing w:line="240" w:lineRule="auto"/>
              <w:ind w:firstLine="0" w:firstLineChars="0"/>
              <w:jc w:val="center"/>
              <w:rPr>
                <w:rFonts w:cs="Times New Roman" w:eastAsiaTheme="minorEastAsia"/>
                <w:b/>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4" w:type="dxa"/>
            <w:tcMar>
              <w:left w:w="0" w:type="dxa"/>
              <w:right w:w="0" w:type="dxa"/>
            </w:tcMar>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eastAsiaTheme="minorEastAsia"/>
                <w:sz w:val="21"/>
                <w:szCs w:val="21"/>
              </w:rPr>
              <w:t>2</w:t>
            </w:r>
          </w:p>
        </w:tc>
        <w:tc>
          <w:tcPr>
            <w:tcW w:w="1415" w:type="dxa"/>
            <w:tcMar>
              <w:left w:w="0" w:type="dxa"/>
              <w:right w:w="0" w:type="dxa"/>
            </w:tcMar>
            <w:vAlign w:val="center"/>
          </w:tcPr>
          <w:p>
            <w:pPr>
              <w:pStyle w:val="355"/>
              <w:adjustRightInd w:val="0"/>
              <w:spacing w:line="240" w:lineRule="auto"/>
              <w:ind w:firstLine="0" w:firstLineChars="0"/>
              <w:jc w:val="center"/>
              <w:rPr>
                <w:rFonts w:cs="Times New Roman" w:eastAsiaTheme="minorEastAsia"/>
                <w:b/>
                <w:sz w:val="21"/>
                <w:szCs w:val="21"/>
              </w:rPr>
            </w:pPr>
            <w:r>
              <w:rPr>
                <w:rFonts w:cs="Times New Roman"/>
                <w:color w:val="000000"/>
                <w:sz w:val="21"/>
                <w:szCs w:val="21"/>
              </w:rPr>
              <w:t>清水池</w:t>
            </w:r>
          </w:p>
        </w:tc>
        <w:tc>
          <w:tcPr>
            <w:tcW w:w="1932" w:type="dxa"/>
            <w:tcMar>
              <w:left w:w="0" w:type="dxa"/>
              <w:right w:w="0" w:type="dxa"/>
            </w:tcMar>
            <w:vAlign w:val="center"/>
          </w:tcPr>
          <w:p>
            <w:pPr>
              <w:widowControl/>
              <w:adjustRightInd w:val="0"/>
              <w:snapToGrid w:val="0"/>
              <w:jc w:val="center"/>
              <w:rPr>
                <w:rFonts w:ascii="Times New Roman" w:hAnsi="Times New Roman" w:eastAsiaTheme="minorEastAsia"/>
                <w:b/>
              </w:rPr>
            </w:pPr>
            <w:r>
              <w:rPr>
                <w:rFonts w:ascii="Times New Roman" w:hAnsi="Times New Roman"/>
                <w:color w:val="000000"/>
                <w:kern w:val="0"/>
              </w:rPr>
              <w:t>长5m，宽2m，高3m</w:t>
            </w:r>
          </w:p>
        </w:tc>
        <w:tc>
          <w:tcPr>
            <w:tcW w:w="1183" w:type="dxa"/>
            <w:tcMar>
              <w:left w:w="0" w:type="dxa"/>
              <w:right w:w="0" w:type="dxa"/>
            </w:tcMar>
            <w:vAlign w:val="center"/>
          </w:tcPr>
          <w:p>
            <w:pPr>
              <w:pStyle w:val="355"/>
              <w:adjustRightInd w:val="0"/>
              <w:spacing w:line="240" w:lineRule="auto"/>
              <w:ind w:firstLine="0" w:firstLineChars="0"/>
              <w:jc w:val="center"/>
              <w:rPr>
                <w:rFonts w:cs="Times New Roman" w:eastAsiaTheme="minorEastAsia"/>
                <w:b/>
                <w:sz w:val="21"/>
                <w:szCs w:val="21"/>
              </w:rPr>
            </w:pPr>
            <w:r>
              <w:rPr>
                <w:rFonts w:cs="Times New Roman"/>
                <w:color w:val="000000"/>
                <w:sz w:val="21"/>
                <w:szCs w:val="21"/>
              </w:rPr>
              <w:t>二级</w:t>
            </w:r>
          </w:p>
        </w:tc>
        <w:tc>
          <w:tcPr>
            <w:tcW w:w="1610" w:type="dxa"/>
            <w:tcMar>
              <w:left w:w="0" w:type="dxa"/>
              <w:right w:w="0" w:type="dxa"/>
            </w:tcMar>
            <w:vAlign w:val="center"/>
          </w:tcPr>
          <w:p>
            <w:pPr>
              <w:widowControl/>
              <w:adjustRightInd w:val="0"/>
              <w:snapToGrid w:val="0"/>
              <w:jc w:val="center"/>
              <w:rPr>
                <w:rFonts w:ascii="Times New Roman" w:hAnsi="Times New Roman" w:eastAsiaTheme="minorEastAsia"/>
                <w:b/>
              </w:rPr>
            </w:pPr>
            <w:r>
              <w:rPr>
                <w:rFonts w:ascii="Times New Roman" w:hAnsi="Times New Roman"/>
                <w:color w:val="000000"/>
                <w:kern w:val="0"/>
              </w:rPr>
              <w:t>钢筋混凝土结构</w:t>
            </w:r>
          </w:p>
        </w:tc>
        <w:tc>
          <w:tcPr>
            <w:tcW w:w="2211" w:type="dxa"/>
            <w:tcMar>
              <w:left w:w="0" w:type="dxa"/>
              <w:right w:w="0" w:type="dxa"/>
            </w:tcMar>
            <w:vAlign w:val="center"/>
          </w:tcPr>
          <w:p>
            <w:pPr>
              <w:pStyle w:val="355"/>
              <w:adjustRightInd w:val="0"/>
              <w:spacing w:line="240" w:lineRule="auto"/>
              <w:ind w:firstLine="0" w:firstLineChars="0"/>
              <w:jc w:val="center"/>
              <w:rPr>
                <w:rFonts w:cs="Times New Roman" w:eastAsiaTheme="minorEastAsia"/>
                <w:b/>
                <w:sz w:val="21"/>
                <w:szCs w:val="21"/>
              </w:rPr>
            </w:pPr>
            <w:r>
              <w:rPr>
                <w:rFonts w:cs="Times New Roman"/>
                <w:color w:val="000000"/>
                <w:sz w:val="21"/>
                <w:szCs w:val="21"/>
              </w:rPr>
              <w:t>丙</w:t>
            </w:r>
          </w:p>
        </w:tc>
        <w:tc>
          <w:tcPr>
            <w:tcW w:w="991" w:type="dxa"/>
            <w:tcMar>
              <w:left w:w="0" w:type="dxa"/>
              <w:right w:w="0" w:type="dxa"/>
            </w:tcMar>
            <w:vAlign w:val="center"/>
          </w:tcPr>
          <w:p>
            <w:pPr>
              <w:pStyle w:val="355"/>
              <w:adjustRightInd w:val="0"/>
              <w:spacing w:line="240" w:lineRule="auto"/>
              <w:ind w:firstLine="0" w:firstLineChars="0"/>
              <w:jc w:val="center"/>
              <w:rPr>
                <w:rFonts w:cs="Times New Roman" w:eastAsiaTheme="minorEastAsia"/>
                <w:b/>
                <w:sz w:val="21"/>
                <w:szCs w:val="21"/>
              </w:rPr>
            </w:pPr>
            <w:r>
              <w:rPr>
                <w:rFonts w:cs="Times New Roman"/>
                <w:color w:val="000000"/>
                <w:sz w:val="21"/>
                <w:szCs w:val="21"/>
              </w:rPr>
              <w:t>丙类</w:t>
            </w:r>
          </w:p>
        </w:tc>
        <w:tc>
          <w:tcPr>
            <w:tcW w:w="990" w:type="dxa"/>
            <w:tcMar>
              <w:left w:w="0" w:type="dxa"/>
              <w:right w:w="0" w:type="dxa"/>
            </w:tcMar>
            <w:vAlign w:val="center"/>
          </w:tcPr>
          <w:p>
            <w:pPr>
              <w:pStyle w:val="355"/>
              <w:adjustRightInd w:val="0"/>
              <w:spacing w:line="240" w:lineRule="auto"/>
              <w:ind w:firstLine="0" w:firstLineChars="0"/>
              <w:jc w:val="center"/>
              <w:rPr>
                <w:rFonts w:cs="Times New Roman" w:eastAsiaTheme="minorEastAsia"/>
                <w:b/>
                <w:sz w:val="21"/>
                <w:szCs w:val="21"/>
              </w:rPr>
            </w:pPr>
            <w:r>
              <w:rPr>
                <w:rFonts w:cs="Times New Roman"/>
                <w:color w:val="000000"/>
                <w:sz w:val="21"/>
                <w:szCs w:val="21"/>
              </w:rPr>
              <w:t>三</w:t>
            </w:r>
          </w:p>
        </w:tc>
        <w:tc>
          <w:tcPr>
            <w:tcW w:w="1841" w:type="dxa"/>
            <w:tcMar>
              <w:left w:w="0" w:type="dxa"/>
              <w:right w:w="0" w:type="dxa"/>
            </w:tcMar>
            <w:vAlign w:val="center"/>
          </w:tcPr>
          <w:p>
            <w:pPr>
              <w:widowControl/>
              <w:adjustRightInd w:val="0"/>
              <w:snapToGrid w:val="0"/>
              <w:jc w:val="center"/>
              <w:rPr>
                <w:rFonts w:ascii="Times New Roman" w:hAnsi="Times New Roman" w:eastAsiaTheme="minorEastAsia"/>
                <w:b/>
              </w:rPr>
            </w:pPr>
            <w:r>
              <w:rPr>
                <w:rFonts w:ascii="Times New Roman" w:hAnsi="Times New Roman"/>
                <w:color w:val="000000"/>
                <w:kern w:val="0"/>
              </w:rPr>
              <w:t>钢筋混凝土整板基础</w:t>
            </w:r>
          </w:p>
        </w:tc>
        <w:tc>
          <w:tcPr>
            <w:tcW w:w="955" w:type="dxa"/>
            <w:tcMar>
              <w:left w:w="0" w:type="dxa"/>
              <w:right w:w="0" w:type="dxa"/>
            </w:tcMar>
            <w:vAlign w:val="center"/>
          </w:tcPr>
          <w:p>
            <w:pPr>
              <w:pStyle w:val="355"/>
              <w:adjustRightInd w:val="0"/>
              <w:spacing w:line="240" w:lineRule="auto"/>
              <w:ind w:firstLine="0" w:firstLineChars="0"/>
              <w:jc w:val="center"/>
              <w:rPr>
                <w:rFonts w:cs="Times New Roman" w:eastAsiaTheme="minorEastAsia"/>
                <w:b/>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4" w:type="dxa"/>
            <w:tcMar>
              <w:left w:w="0" w:type="dxa"/>
              <w:right w:w="0" w:type="dxa"/>
            </w:tcMar>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eastAsiaTheme="minorEastAsia"/>
                <w:sz w:val="21"/>
                <w:szCs w:val="21"/>
              </w:rPr>
              <w:t>3</w:t>
            </w:r>
          </w:p>
        </w:tc>
        <w:tc>
          <w:tcPr>
            <w:tcW w:w="1415" w:type="dxa"/>
            <w:tcMar>
              <w:left w:w="0" w:type="dxa"/>
              <w:right w:w="0" w:type="dxa"/>
            </w:tcMar>
            <w:vAlign w:val="center"/>
          </w:tcPr>
          <w:p>
            <w:pPr>
              <w:pStyle w:val="355"/>
              <w:adjustRightInd w:val="0"/>
              <w:spacing w:line="240" w:lineRule="auto"/>
              <w:ind w:firstLine="0" w:firstLineChars="0"/>
              <w:jc w:val="center"/>
              <w:rPr>
                <w:rFonts w:cs="Times New Roman" w:eastAsiaTheme="minorEastAsia"/>
                <w:b/>
                <w:sz w:val="21"/>
                <w:szCs w:val="21"/>
              </w:rPr>
            </w:pPr>
            <w:r>
              <w:rPr>
                <w:rFonts w:cs="Times New Roman"/>
                <w:color w:val="000000"/>
                <w:sz w:val="21"/>
                <w:szCs w:val="21"/>
              </w:rPr>
              <w:t>格栅井</w:t>
            </w:r>
          </w:p>
        </w:tc>
        <w:tc>
          <w:tcPr>
            <w:tcW w:w="1932" w:type="dxa"/>
            <w:tcMar>
              <w:left w:w="0" w:type="dxa"/>
              <w:right w:w="0" w:type="dxa"/>
            </w:tcMar>
            <w:vAlign w:val="center"/>
          </w:tcPr>
          <w:p>
            <w:pPr>
              <w:widowControl/>
              <w:adjustRightInd w:val="0"/>
              <w:snapToGrid w:val="0"/>
              <w:jc w:val="center"/>
              <w:rPr>
                <w:rFonts w:ascii="Times New Roman" w:hAnsi="Times New Roman" w:eastAsiaTheme="minorEastAsia"/>
                <w:b/>
              </w:rPr>
            </w:pPr>
            <w:r>
              <w:rPr>
                <w:rFonts w:ascii="Times New Roman" w:hAnsi="Times New Roman"/>
                <w:color w:val="000000"/>
                <w:kern w:val="0"/>
              </w:rPr>
              <w:t>长3m，宽1m，高4.5m</w:t>
            </w:r>
          </w:p>
        </w:tc>
        <w:tc>
          <w:tcPr>
            <w:tcW w:w="1183" w:type="dxa"/>
            <w:tcMar>
              <w:left w:w="0" w:type="dxa"/>
              <w:right w:w="0" w:type="dxa"/>
            </w:tcMar>
            <w:vAlign w:val="center"/>
          </w:tcPr>
          <w:p>
            <w:pPr>
              <w:pStyle w:val="355"/>
              <w:adjustRightInd w:val="0"/>
              <w:spacing w:line="240" w:lineRule="auto"/>
              <w:ind w:firstLine="0" w:firstLineChars="0"/>
              <w:jc w:val="center"/>
              <w:rPr>
                <w:rFonts w:cs="Times New Roman" w:eastAsiaTheme="minorEastAsia"/>
                <w:b/>
                <w:sz w:val="21"/>
                <w:szCs w:val="21"/>
              </w:rPr>
            </w:pPr>
            <w:r>
              <w:rPr>
                <w:rFonts w:cs="Times New Roman"/>
                <w:color w:val="000000"/>
                <w:sz w:val="21"/>
                <w:szCs w:val="21"/>
              </w:rPr>
              <w:t>二级</w:t>
            </w:r>
          </w:p>
        </w:tc>
        <w:tc>
          <w:tcPr>
            <w:tcW w:w="1610" w:type="dxa"/>
            <w:tcMar>
              <w:left w:w="0" w:type="dxa"/>
              <w:right w:w="0" w:type="dxa"/>
            </w:tcMar>
            <w:vAlign w:val="center"/>
          </w:tcPr>
          <w:p>
            <w:pPr>
              <w:widowControl/>
              <w:adjustRightInd w:val="0"/>
              <w:snapToGrid w:val="0"/>
              <w:jc w:val="center"/>
              <w:rPr>
                <w:rFonts w:ascii="Times New Roman" w:hAnsi="Times New Roman" w:eastAsiaTheme="minorEastAsia"/>
                <w:b/>
              </w:rPr>
            </w:pPr>
            <w:r>
              <w:rPr>
                <w:rFonts w:ascii="Times New Roman" w:hAnsi="Times New Roman"/>
                <w:color w:val="000000"/>
                <w:kern w:val="0"/>
              </w:rPr>
              <w:t>钢筋混凝土结构</w:t>
            </w:r>
          </w:p>
        </w:tc>
        <w:tc>
          <w:tcPr>
            <w:tcW w:w="2211" w:type="dxa"/>
            <w:tcMar>
              <w:left w:w="0" w:type="dxa"/>
              <w:right w:w="0" w:type="dxa"/>
            </w:tcMar>
            <w:vAlign w:val="center"/>
          </w:tcPr>
          <w:p>
            <w:pPr>
              <w:pStyle w:val="355"/>
              <w:adjustRightInd w:val="0"/>
              <w:spacing w:line="240" w:lineRule="auto"/>
              <w:ind w:firstLine="0" w:firstLineChars="0"/>
              <w:jc w:val="center"/>
              <w:rPr>
                <w:rFonts w:cs="Times New Roman" w:eastAsiaTheme="minorEastAsia"/>
                <w:b/>
                <w:sz w:val="21"/>
                <w:szCs w:val="21"/>
              </w:rPr>
            </w:pPr>
            <w:r>
              <w:rPr>
                <w:rFonts w:cs="Times New Roman"/>
                <w:color w:val="000000"/>
                <w:sz w:val="21"/>
                <w:szCs w:val="21"/>
              </w:rPr>
              <w:t>丙</w:t>
            </w:r>
          </w:p>
        </w:tc>
        <w:tc>
          <w:tcPr>
            <w:tcW w:w="991" w:type="dxa"/>
            <w:tcMar>
              <w:left w:w="0" w:type="dxa"/>
              <w:right w:w="0" w:type="dxa"/>
            </w:tcMar>
            <w:vAlign w:val="center"/>
          </w:tcPr>
          <w:p>
            <w:pPr>
              <w:pStyle w:val="355"/>
              <w:adjustRightInd w:val="0"/>
              <w:spacing w:line="240" w:lineRule="auto"/>
              <w:ind w:firstLine="0" w:firstLineChars="0"/>
              <w:jc w:val="center"/>
              <w:rPr>
                <w:rFonts w:cs="Times New Roman" w:eastAsiaTheme="minorEastAsia"/>
                <w:b/>
                <w:sz w:val="21"/>
                <w:szCs w:val="21"/>
              </w:rPr>
            </w:pPr>
            <w:r>
              <w:rPr>
                <w:rFonts w:cs="Times New Roman"/>
                <w:color w:val="000000"/>
                <w:sz w:val="21"/>
                <w:szCs w:val="21"/>
              </w:rPr>
              <w:t>丙类</w:t>
            </w:r>
          </w:p>
        </w:tc>
        <w:tc>
          <w:tcPr>
            <w:tcW w:w="990" w:type="dxa"/>
            <w:tcMar>
              <w:left w:w="0" w:type="dxa"/>
              <w:right w:w="0" w:type="dxa"/>
            </w:tcMar>
            <w:vAlign w:val="center"/>
          </w:tcPr>
          <w:p>
            <w:pPr>
              <w:pStyle w:val="355"/>
              <w:adjustRightInd w:val="0"/>
              <w:spacing w:line="240" w:lineRule="auto"/>
              <w:ind w:firstLine="0" w:firstLineChars="0"/>
              <w:jc w:val="center"/>
              <w:rPr>
                <w:rFonts w:cs="Times New Roman" w:eastAsiaTheme="minorEastAsia"/>
                <w:b/>
                <w:sz w:val="21"/>
                <w:szCs w:val="21"/>
              </w:rPr>
            </w:pPr>
            <w:r>
              <w:rPr>
                <w:rFonts w:cs="Times New Roman"/>
                <w:color w:val="000000"/>
                <w:sz w:val="21"/>
                <w:szCs w:val="21"/>
              </w:rPr>
              <w:t>三</w:t>
            </w:r>
          </w:p>
        </w:tc>
        <w:tc>
          <w:tcPr>
            <w:tcW w:w="1841" w:type="dxa"/>
            <w:tcMar>
              <w:left w:w="0" w:type="dxa"/>
              <w:right w:w="0" w:type="dxa"/>
            </w:tcMar>
            <w:vAlign w:val="center"/>
          </w:tcPr>
          <w:p>
            <w:pPr>
              <w:widowControl/>
              <w:adjustRightInd w:val="0"/>
              <w:snapToGrid w:val="0"/>
              <w:jc w:val="center"/>
              <w:rPr>
                <w:rFonts w:ascii="Times New Roman" w:hAnsi="Times New Roman" w:eastAsiaTheme="minorEastAsia"/>
                <w:b/>
              </w:rPr>
            </w:pPr>
            <w:r>
              <w:rPr>
                <w:rFonts w:ascii="Times New Roman" w:hAnsi="Times New Roman"/>
                <w:color w:val="000000"/>
                <w:kern w:val="0"/>
              </w:rPr>
              <w:t>钢筋混凝土整板基础</w:t>
            </w:r>
          </w:p>
        </w:tc>
        <w:tc>
          <w:tcPr>
            <w:tcW w:w="955" w:type="dxa"/>
            <w:tcMar>
              <w:left w:w="0" w:type="dxa"/>
              <w:right w:w="0" w:type="dxa"/>
            </w:tcMar>
            <w:vAlign w:val="center"/>
          </w:tcPr>
          <w:p>
            <w:pPr>
              <w:pStyle w:val="355"/>
              <w:adjustRightInd w:val="0"/>
              <w:spacing w:line="240" w:lineRule="auto"/>
              <w:ind w:firstLine="0" w:firstLineChars="0"/>
              <w:jc w:val="center"/>
              <w:rPr>
                <w:rFonts w:cs="Times New Roman" w:eastAsiaTheme="minorEastAsia"/>
                <w:b/>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4" w:type="dxa"/>
            <w:tcMar>
              <w:left w:w="0" w:type="dxa"/>
              <w:right w:w="0" w:type="dxa"/>
            </w:tcMar>
            <w:vAlign w:val="center"/>
          </w:tcPr>
          <w:p>
            <w:pPr>
              <w:pStyle w:val="355"/>
              <w:adjustRightInd w:val="0"/>
              <w:spacing w:line="240" w:lineRule="auto"/>
              <w:ind w:firstLine="0" w:firstLineChars="0"/>
              <w:jc w:val="center"/>
              <w:rPr>
                <w:rFonts w:cs="Times New Roman" w:eastAsiaTheme="minorEastAsia"/>
                <w:sz w:val="21"/>
                <w:szCs w:val="21"/>
              </w:rPr>
            </w:pPr>
            <w:r>
              <w:rPr>
                <w:rFonts w:cs="Times New Roman" w:eastAsiaTheme="minorEastAsia"/>
                <w:sz w:val="21"/>
                <w:szCs w:val="21"/>
              </w:rPr>
              <w:t>4</w:t>
            </w:r>
          </w:p>
        </w:tc>
        <w:tc>
          <w:tcPr>
            <w:tcW w:w="1415" w:type="dxa"/>
            <w:tcMar>
              <w:left w:w="0" w:type="dxa"/>
              <w:right w:w="0" w:type="dxa"/>
            </w:tcMar>
            <w:vAlign w:val="center"/>
          </w:tcPr>
          <w:p>
            <w:pPr>
              <w:pStyle w:val="355"/>
              <w:adjustRightInd w:val="0"/>
              <w:spacing w:line="240" w:lineRule="auto"/>
              <w:ind w:firstLine="0" w:firstLineChars="0"/>
              <w:jc w:val="center"/>
              <w:rPr>
                <w:rFonts w:cs="Times New Roman" w:eastAsiaTheme="minorEastAsia"/>
                <w:b/>
                <w:sz w:val="21"/>
                <w:szCs w:val="21"/>
              </w:rPr>
            </w:pPr>
            <w:r>
              <w:rPr>
                <w:rFonts w:cs="Times New Roman"/>
                <w:color w:val="000000"/>
                <w:sz w:val="21"/>
                <w:szCs w:val="21"/>
              </w:rPr>
              <w:t>调节池</w:t>
            </w:r>
          </w:p>
        </w:tc>
        <w:tc>
          <w:tcPr>
            <w:tcW w:w="1932" w:type="dxa"/>
            <w:tcMar>
              <w:left w:w="0" w:type="dxa"/>
              <w:right w:w="0" w:type="dxa"/>
            </w:tcMar>
            <w:vAlign w:val="center"/>
          </w:tcPr>
          <w:p>
            <w:pPr>
              <w:widowControl/>
              <w:adjustRightInd w:val="0"/>
              <w:snapToGrid w:val="0"/>
              <w:jc w:val="center"/>
              <w:rPr>
                <w:rFonts w:ascii="Times New Roman" w:hAnsi="Times New Roman" w:eastAsiaTheme="minorEastAsia"/>
                <w:b/>
              </w:rPr>
            </w:pPr>
            <w:r>
              <w:rPr>
                <w:rFonts w:ascii="Times New Roman" w:hAnsi="Times New Roman"/>
                <w:color w:val="000000"/>
                <w:kern w:val="0"/>
              </w:rPr>
              <w:t>长3.8m，宽3m，高3.5m</w:t>
            </w:r>
          </w:p>
        </w:tc>
        <w:tc>
          <w:tcPr>
            <w:tcW w:w="1183" w:type="dxa"/>
            <w:tcMar>
              <w:left w:w="0" w:type="dxa"/>
              <w:right w:w="0" w:type="dxa"/>
            </w:tcMar>
            <w:vAlign w:val="center"/>
          </w:tcPr>
          <w:p>
            <w:pPr>
              <w:pStyle w:val="355"/>
              <w:adjustRightInd w:val="0"/>
              <w:spacing w:line="240" w:lineRule="auto"/>
              <w:ind w:firstLine="0" w:firstLineChars="0"/>
              <w:jc w:val="center"/>
              <w:rPr>
                <w:rFonts w:cs="Times New Roman" w:eastAsiaTheme="minorEastAsia"/>
                <w:b/>
                <w:sz w:val="21"/>
                <w:szCs w:val="21"/>
              </w:rPr>
            </w:pPr>
            <w:r>
              <w:rPr>
                <w:rFonts w:cs="Times New Roman"/>
                <w:color w:val="000000"/>
                <w:sz w:val="21"/>
                <w:szCs w:val="21"/>
              </w:rPr>
              <w:t>二级</w:t>
            </w:r>
          </w:p>
        </w:tc>
        <w:tc>
          <w:tcPr>
            <w:tcW w:w="1610" w:type="dxa"/>
            <w:tcMar>
              <w:left w:w="0" w:type="dxa"/>
              <w:right w:w="0" w:type="dxa"/>
            </w:tcMar>
            <w:vAlign w:val="center"/>
          </w:tcPr>
          <w:p>
            <w:pPr>
              <w:widowControl/>
              <w:adjustRightInd w:val="0"/>
              <w:snapToGrid w:val="0"/>
              <w:jc w:val="center"/>
              <w:rPr>
                <w:rFonts w:ascii="Times New Roman" w:hAnsi="Times New Roman" w:eastAsiaTheme="minorEastAsia"/>
                <w:b/>
              </w:rPr>
            </w:pPr>
            <w:r>
              <w:rPr>
                <w:rFonts w:ascii="Times New Roman" w:hAnsi="Times New Roman"/>
                <w:color w:val="000000"/>
                <w:kern w:val="0"/>
              </w:rPr>
              <w:t>钢筋混凝土结构</w:t>
            </w:r>
          </w:p>
        </w:tc>
        <w:tc>
          <w:tcPr>
            <w:tcW w:w="2211" w:type="dxa"/>
            <w:tcMar>
              <w:left w:w="0" w:type="dxa"/>
              <w:right w:w="0" w:type="dxa"/>
            </w:tcMar>
            <w:vAlign w:val="center"/>
          </w:tcPr>
          <w:p>
            <w:pPr>
              <w:pStyle w:val="355"/>
              <w:adjustRightInd w:val="0"/>
              <w:spacing w:line="240" w:lineRule="auto"/>
              <w:ind w:firstLine="0" w:firstLineChars="0"/>
              <w:jc w:val="center"/>
              <w:rPr>
                <w:rFonts w:cs="Times New Roman" w:eastAsiaTheme="minorEastAsia"/>
                <w:b/>
                <w:sz w:val="21"/>
                <w:szCs w:val="21"/>
              </w:rPr>
            </w:pPr>
            <w:r>
              <w:rPr>
                <w:rFonts w:cs="Times New Roman"/>
                <w:color w:val="000000"/>
                <w:sz w:val="21"/>
                <w:szCs w:val="21"/>
              </w:rPr>
              <w:t>丙</w:t>
            </w:r>
          </w:p>
        </w:tc>
        <w:tc>
          <w:tcPr>
            <w:tcW w:w="991" w:type="dxa"/>
            <w:tcMar>
              <w:left w:w="0" w:type="dxa"/>
              <w:right w:w="0" w:type="dxa"/>
            </w:tcMar>
            <w:vAlign w:val="center"/>
          </w:tcPr>
          <w:p>
            <w:pPr>
              <w:pStyle w:val="355"/>
              <w:adjustRightInd w:val="0"/>
              <w:spacing w:line="240" w:lineRule="auto"/>
              <w:ind w:firstLine="0" w:firstLineChars="0"/>
              <w:jc w:val="center"/>
              <w:rPr>
                <w:rFonts w:cs="Times New Roman" w:eastAsiaTheme="minorEastAsia"/>
                <w:b/>
                <w:sz w:val="21"/>
                <w:szCs w:val="21"/>
              </w:rPr>
            </w:pPr>
            <w:r>
              <w:rPr>
                <w:rFonts w:cs="Times New Roman"/>
                <w:color w:val="000000"/>
                <w:sz w:val="21"/>
                <w:szCs w:val="21"/>
              </w:rPr>
              <w:t>丙类</w:t>
            </w:r>
          </w:p>
        </w:tc>
        <w:tc>
          <w:tcPr>
            <w:tcW w:w="990" w:type="dxa"/>
            <w:tcMar>
              <w:left w:w="0" w:type="dxa"/>
              <w:right w:w="0" w:type="dxa"/>
            </w:tcMar>
            <w:vAlign w:val="center"/>
          </w:tcPr>
          <w:p>
            <w:pPr>
              <w:pStyle w:val="355"/>
              <w:adjustRightInd w:val="0"/>
              <w:spacing w:line="240" w:lineRule="auto"/>
              <w:ind w:firstLine="0" w:firstLineChars="0"/>
              <w:jc w:val="center"/>
              <w:rPr>
                <w:rFonts w:cs="Times New Roman" w:eastAsiaTheme="minorEastAsia"/>
                <w:b/>
                <w:sz w:val="21"/>
                <w:szCs w:val="21"/>
              </w:rPr>
            </w:pPr>
            <w:r>
              <w:rPr>
                <w:rFonts w:cs="Times New Roman"/>
                <w:color w:val="000000"/>
                <w:sz w:val="21"/>
                <w:szCs w:val="21"/>
              </w:rPr>
              <w:t>三</w:t>
            </w:r>
          </w:p>
        </w:tc>
        <w:tc>
          <w:tcPr>
            <w:tcW w:w="1841" w:type="dxa"/>
            <w:tcMar>
              <w:left w:w="0" w:type="dxa"/>
              <w:right w:w="0" w:type="dxa"/>
            </w:tcMar>
            <w:vAlign w:val="center"/>
          </w:tcPr>
          <w:p>
            <w:pPr>
              <w:widowControl/>
              <w:adjustRightInd w:val="0"/>
              <w:snapToGrid w:val="0"/>
              <w:jc w:val="center"/>
              <w:rPr>
                <w:rFonts w:ascii="Times New Roman" w:hAnsi="Times New Roman" w:eastAsiaTheme="minorEastAsia"/>
                <w:b/>
              </w:rPr>
            </w:pPr>
            <w:r>
              <w:rPr>
                <w:rFonts w:ascii="Times New Roman" w:hAnsi="Times New Roman"/>
                <w:color w:val="000000"/>
                <w:kern w:val="0"/>
              </w:rPr>
              <w:t>钢筋混凝土整板基础</w:t>
            </w:r>
          </w:p>
        </w:tc>
        <w:tc>
          <w:tcPr>
            <w:tcW w:w="955" w:type="dxa"/>
            <w:tcMar>
              <w:left w:w="0" w:type="dxa"/>
              <w:right w:w="0" w:type="dxa"/>
            </w:tcMar>
            <w:vAlign w:val="center"/>
          </w:tcPr>
          <w:p>
            <w:pPr>
              <w:pStyle w:val="355"/>
              <w:adjustRightInd w:val="0"/>
              <w:spacing w:line="240" w:lineRule="auto"/>
              <w:ind w:firstLine="0" w:firstLineChars="0"/>
              <w:jc w:val="center"/>
              <w:rPr>
                <w:rFonts w:cs="Times New Roman" w:eastAsiaTheme="minorEastAsia"/>
                <w:b/>
                <w:sz w:val="21"/>
                <w:szCs w:val="21"/>
              </w:rPr>
            </w:pPr>
          </w:p>
        </w:tc>
      </w:tr>
    </w:tbl>
    <w:p>
      <w:pPr>
        <w:pStyle w:val="325"/>
        <w:tabs>
          <w:tab w:val="right" w:leader="dot" w:pos="9070"/>
        </w:tabs>
        <w:adjustRightInd w:val="0"/>
        <w:snapToGrid w:val="0"/>
        <w:spacing w:line="360" w:lineRule="auto"/>
        <w:jc w:val="both"/>
        <w:rPr>
          <w:rFonts w:eastAsiaTheme="minorEastAsia"/>
          <w:sz w:val="24"/>
          <w:szCs w:val="24"/>
        </w:rPr>
      </w:pPr>
    </w:p>
    <w:p>
      <w:pPr>
        <w:pStyle w:val="325"/>
        <w:tabs>
          <w:tab w:val="right" w:leader="dot" w:pos="9070"/>
        </w:tabs>
        <w:adjustRightInd w:val="0"/>
        <w:snapToGrid w:val="0"/>
        <w:spacing w:line="360" w:lineRule="auto"/>
        <w:ind w:firstLine="480" w:firstLineChars="200"/>
        <w:jc w:val="both"/>
        <w:rPr>
          <w:rFonts w:eastAsiaTheme="minorEastAsia"/>
          <w:sz w:val="24"/>
          <w:szCs w:val="24"/>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5"/>
        <w:rPr>
          <w:rFonts w:eastAsiaTheme="minorEastAsia"/>
        </w:rPr>
      </w:pPr>
      <w:r>
        <w:rPr>
          <w:rFonts w:eastAsiaTheme="minorEastAsia"/>
        </w:rPr>
        <w:t>环保设施</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本项目的环保配套设施主要为除尘系统及生活污水处理设施。</w:t>
      </w:r>
    </w:p>
    <w:p>
      <w:pPr>
        <w:pStyle w:val="325"/>
        <w:tabs>
          <w:tab w:val="right" w:leader="dot" w:pos="9070"/>
        </w:tabs>
        <w:adjustRightInd w:val="0"/>
        <w:snapToGrid w:val="0"/>
        <w:spacing w:line="360" w:lineRule="auto"/>
        <w:ind w:firstLine="482" w:firstLineChars="200"/>
        <w:jc w:val="both"/>
        <w:rPr>
          <w:rFonts w:eastAsiaTheme="minorEastAsia"/>
          <w:b/>
          <w:color w:val="000000" w:themeColor="text1"/>
          <w:sz w:val="24"/>
          <w:szCs w:val="24"/>
          <w14:textFill>
            <w14:solidFill>
              <w14:schemeClr w14:val="tx1"/>
            </w14:solidFill>
          </w14:textFill>
        </w:rPr>
      </w:pPr>
      <w:r>
        <w:rPr>
          <w:rFonts w:eastAsiaTheme="minorEastAsia"/>
          <w:b/>
          <w:color w:val="000000" w:themeColor="text1"/>
          <w:sz w:val="24"/>
          <w:szCs w:val="24"/>
          <w14:textFill>
            <w14:solidFill>
              <w14:schemeClr w14:val="tx1"/>
            </w14:solidFill>
          </w14:textFill>
        </w:rPr>
        <w:t>1、除尘系统</w:t>
      </w:r>
    </w:p>
    <w:p>
      <w:pPr>
        <w:pStyle w:val="325"/>
        <w:tabs>
          <w:tab w:val="right" w:leader="dot" w:pos="9070"/>
        </w:tabs>
        <w:adjustRightInd w:val="0"/>
        <w:snapToGrid w:val="0"/>
        <w:spacing w:line="360" w:lineRule="auto"/>
        <w:ind w:firstLine="480" w:firstLineChars="200"/>
        <w:jc w:val="both"/>
        <w:rPr>
          <w:rFonts w:eastAsiaTheme="minorEastAsia"/>
          <w:color w:val="000000" w:themeColor="text1"/>
          <w:sz w:val="24"/>
          <w:szCs w:val="24"/>
          <w14:textFill>
            <w14:solidFill>
              <w14:schemeClr w14:val="tx1"/>
            </w14:solidFill>
          </w14:textFill>
        </w:rPr>
      </w:pPr>
      <w:r>
        <w:rPr>
          <w:rFonts w:eastAsiaTheme="minorEastAsia"/>
          <w:color w:val="000000" w:themeColor="text1"/>
          <w:sz w:val="24"/>
          <w:szCs w:val="24"/>
          <w14:textFill>
            <w14:solidFill>
              <w14:schemeClr w14:val="tx1"/>
            </w14:solidFill>
          </w14:textFill>
        </w:rPr>
        <w:t>转运站内皮带转接点处，由于物料高处下落和空气的剪切作用，产生大量粉尘。各转运站内落料点处均设置微雾抑尘系统，系统采用气水混合的喷雾形式。微雾抑尘系统产生与粉尘粒径相近的水雾颗粒，通过水雾颗粒与尘埃颗粒大小相近时吸附、过滤、凝结的机率最大为原理，尘埃颗粒随气流运动时与水雾颗粒发生碰撞、吸附、凝结，形成的尘埃团在重力作用下降落，从而达到过滤尘埃的目的。微雾抑尘系统主要由微米级微雾主机、配电箱、分区控制器（选用）、过滤器、空压机、储气罐、水气分配器、皮带滚筒转动传感器、煤流传感器、喷雾组件（万向节套件和喷嘴）、水、气、电连接管线及附件等组成，微雾抑尘设备产生直径在1µm~10µm的水雾颗粒，对悬浮在空气中的粉尘——特别是对直径在5µm以下的可吸入颗粒进行有效地吸附，使粉尘受重力作用沉降，从而达到抑尘作用。微雾抑尘系统的操作可实现自动和手动两种控制模式。系统预留工作状态的干接点信号，可将微雾系统的工作状态信号反馈至中控室，并能在远程进行操作。</w:t>
      </w:r>
    </w:p>
    <w:p>
      <w:pPr>
        <w:pStyle w:val="325"/>
        <w:tabs>
          <w:tab w:val="right" w:leader="dot" w:pos="9070"/>
        </w:tabs>
        <w:adjustRightInd w:val="0"/>
        <w:snapToGrid w:val="0"/>
        <w:spacing w:line="360" w:lineRule="auto"/>
        <w:ind w:firstLine="480" w:firstLineChars="200"/>
        <w:jc w:val="both"/>
        <w:rPr>
          <w:rFonts w:eastAsiaTheme="minorEastAsia"/>
          <w:color w:val="000000" w:themeColor="text1"/>
          <w:sz w:val="24"/>
          <w:szCs w:val="24"/>
          <w14:textFill>
            <w14:solidFill>
              <w14:schemeClr w14:val="tx1"/>
            </w14:solidFill>
          </w14:textFill>
        </w:rPr>
      </w:pPr>
      <w:r>
        <w:rPr>
          <w:rFonts w:eastAsiaTheme="minorEastAsia"/>
          <w:color w:val="000000" w:themeColor="text1"/>
          <w:sz w:val="24"/>
          <w:szCs w:val="24"/>
          <w14:textFill>
            <w14:solidFill>
              <w14:schemeClr w14:val="tx1"/>
            </w14:solidFill>
          </w14:textFill>
        </w:rPr>
        <w:t>转运站内的微雾抑尘装置由转运站（微雾抑尘间）内配套的空压机和储气罐提供压缩空气，空压管道采用热镀锌无缝钢管，螺纹连接，架空不保温明敷。</w:t>
      </w:r>
    </w:p>
    <w:p>
      <w:pPr>
        <w:pStyle w:val="325"/>
        <w:tabs>
          <w:tab w:val="right" w:leader="dot" w:pos="9070"/>
        </w:tabs>
        <w:adjustRightInd w:val="0"/>
        <w:snapToGrid w:val="0"/>
        <w:spacing w:line="360" w:lineRule="auto"/>
        <w:ind w:firstLine="480" w:firstLineChars="200"/>
        <w:jc w:val="both"/>
        <w:rPr>
          <w:rFonts w:eastAsiaTheme="minorEastAsia"/>
          <w:color w:val="000000" w:themeColor="text1"/>
          <w:sz w:val="24"/>
          <w:szCs w:val="24"/>
          <w14:textFill>
            <w14:solidFill>
              <w14:schemeClr w14:val="tx1"/>
            </w14:solidFill>
          </w14:textFill>
        </w:rPr>
      </w:pPr>
      <w:r>
        <w:rPr>
          <w:rFonts w:eastAsiaTheme="minorEastAsia"/>
          <w:color w:val="000000" w:themeColor="text1"/>
          <w:sz w:val="24"/>
          <w:szCs w:val="24"/>
          <w14:textFill>
            <w14:solidFill>
              <w14:schemeClr w14:val="tx1"/>
            </w14:solidFill>
          </w14:textFill>
        </w:rPr>
        <w:t>码头前沿的桥式抓斗卸船机和钢漏斗均由工艺设备的生产厂家配套雾炮机等防尘装置。</w:t>
      </w:r>
    </w:p>
    <w:p>
      <w:pPr>
        <w:pStyle w:val="325"/>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2、生活污水处理设施</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在后方码头院内建设15m</w:t>
      </w:r>
      <w:r>
        <w:rPr>
          <w:rFonts w:eastAsiaTheme="minorEastAsia"/>
          <w:sz w:val="24"/>
          <w:szCs w:val="24"/>
          <w:vertAlign w:val="superscript"/>
        </w:rPr>
        <w:t>2</w:t>
      </w:r>
      <w:r>
        <w:rPr>
          <w:rFonts w:eastAsiaTheme="minorEastAsia"/>
          <w:sz w:val="24"/>
          <w:szCs w:val="24"/>
        </w:rPr>
        <w:t>的污水设备间，内部布置有散货污水处理站和生活污水处理站，主要为沉淀调节池、清水池、格栅井和调节池。</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产生的冲洗污水、初期雨水和生活污水通过管道分别进入码头院内的散货污水处理站和生活污水处理站，处理达到《污水综合排放标准》（GB8978-1996）一级标准后进入蓄水池，用于码头院内降尘及绿化，废水全部回用，不外排。</w:t>
      </w:r>
    </w:p>
    <w:p>
      <w:pPr>
        <w:pStyle w:val="4"/>
        <w:rPr>
          <w:rFonts w:eastAsiaTheme="minorEastAsia"/>
        </w:rPr>
      </w:pPr>
      <w:r>
        <w:rPr>
          <w:rFonts w:eastAsiaTheme="minorEastAsia"/>
        </w:rPr>
        <w:t>劳动定员及工作制度</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本项目年工作时间330天。</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港区生产作业人员主要包括操作人员及管理人员。班次按三班制进行考虑。拟配置劳动定员25人，其中操作人员（装卸工人、司机数）10人，管理人员及其他人员15人。</w:t>
      </w:r>
    </w:p>
    <w:p>
      <w:pPr>
        <w:pStyle w:val="4"/>
        <w:rPr>
          <w:rFonts w:eastAsiaTheme="minorEastAsia"/>
        </w:rPr>
      </w:pPr>
      <w:r>
        <w:rPr>
          <w:rFonts w:eastAsiaTheme="minorEastAsia"/>
        </w:rPr>
        <w:t>工程投资及施工进度</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本项目总投资约</w:t>
      </w:r>
      <w:r>
        <w:rPr>
          <w:rFonts w:eastAsiaTheme="minorEastAsia"/>
          <w:color w:val="000000"/>
          <w:sz w:val="24"/>
          <w:szCs w:val="24"/>
          <w:lang w:bidi="ar"/>
        </w:rPr>
        <w:t>14059.61万元，其中工程建设投资13920.26万元</w:t>
      </w:r>
      <w:r>
        <w:rPr>
          <w:rFonts w:eastAsiaTheme="minorEastAsia"/>
          <w:sz w:val="24"/>
          <w:szCs w:val="24"/>
        </w:rPr>
        <w:t>。</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本项目建设工期12个月，工程施工拟于2021年1月初开工，2022年12月底竣工投产。施工进度计划安排见表3.2-11。</w:t>
      </w:r>
    </w:p>
    <w:p>
      <w:pPr>
        <w:pStyle w:val="355"/>
        <w:adjustRightInd w:val="0"/>
        <w:spacing w:line="276" w:lineRule="auto"/>
        <w:ind w:right="-113" w:firstLine="0" w:firstLineChars="0"/>
        <w:jc w:val="center"/>
        <w:rPr>
          <w:rFonts w:cs="Times New Roman" w:eastAsiaTheme="minorEastAsia"/>
          <w:b/>
        </w:rPr>
      </w:pPr>
      <w:r>
        <w:rPr>
          <w:rFonts w:cs="Times New Roman" w:eastAsiaTheme="minorEastAsia"/>
          <w:b/>
          <w:sz w:val="24"/>
        </w:rPr>
        <w:t>表3.2-11  施工进度表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810"/>
        <w:gridCol w:w="2969"/>
        <w:gridCol w:w="443"/>
        <w:gridCol w:w="443"/>
        <w:gridCol w:w="443"/>
        <w:gridCol w:w="443"/>
        <w:gridCol w:w="443"/>
        <w:gridCol w:w="443"/>
        <w:gridCol w:w="443"/>
        <w:gridCol w:w="443"/>
        <w:gridCol w:w="443"/>
        <w:gridCol w:w="444"/>
        <w:gridCol w:w="446"/>
        <w:gridCol w:w="4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Align w:val="center"/>
          </w:tcPr>
          <w:p>
            <w:pPr>
              <w:tabs>
                <w:tab w:val="left" w:pos="8312"/>
                <w:tab w:val="left" w:pos="8670"/>
              </w:tabs>
              <w:adjustRightInd w:val="0"/>
              <w:snapToGrid w:val="0"/>
              <w:jc w:val="center"/>
              <w:rPr>
                <w:rFonts w:ascii="Times New Roman" w:hAnsi="Times New Roman" w:eastAsiaTheme="minorEastAsia"/>
                <w:b/>
              </w:rPr>
            </w:pPr>
            <w:r>
              <w:rPr>
                <w:rFonts w:ascii="Times New Roman" w:hAnsi="Times New Roman" w:eastAsiaTheme="minorEastAsia"/>
                <w:b/>
              </w:rPr>
              <w:t>序号</w:t>
            </w:r>
          </w:p>
        </w:tc>
        <w:tc>
          <w:tcPr>
            <w:tcW w:w="1628" w:type="pct"/>
            <w:tcBorders>
              <w:tl2br w:val="single" w:color="auto" w:sz="4" w:space="0"/>
            </w:tcBorders>
            <w:vAlign w:val="center"/>
          </w:tcPr>
          <w:p>
            <w:pPr>
              <w:tabs>
                <w:tab w:val="left" w:pos="8312"/>
                <w:tab w:val="left" w:pos="8670"/>
              </w:tabs>
              <w:adjustRightInd w:val="0"/>
              <w:snapToGrid w:val="0"/>
              <w:jc w:val="right"/>
              <w:rPr>
                <w:rFonts w:ascii="Times New Roman" w:hAnsi="Times New Roman" w:eastAsiaTheme="minorEastAsia"/>
                <w:b/>
              </w:rPr>
            </w:pPr>
            <w:r>
              <w:rPr>
                <w:rFonts w:ascii="Times New Roman" w:hAnsi="Times New Roman" w:eastAsiaTheme="minorEastAsia"/>
                <w:b/>
              </w:rPr>
              <w:t>月序</w:t>
            </w:r>
          </w:p>
          <w:p>
            <w:pPr>
              <w:tabs>
                <w:tab w:val="left" w:pos="8312"/>
                <w:tab w:val="left" w:pos="8670"/>
              </w:tabs>
              <w:adjustRightInd w:val="0"/>
              <w:snapToGrid w:val="0"/>
              <w:jc w:val="left"/>
              <w:rPr>
                <w:rFonts w:ascii="Times New Roman" w:hAnsi="Times New Roman" w:eastAsiaTheme="minorEastAsia"/>
                <w:b/>
              </w:rPr>
            </w:pPr>
            <w:r>
              <w:rPr>
                <w:rFonts w:ascii="Times New Roman" w:hAnsi="Times New Roman" w:eastAsiaTheme="minorEastAsia"/>
                <w:b/>
              </w:rPr>
              <w:t>项目</w:t>
            </w:r>
          </w:p>
        </w:tc>
        <w:tc>
          <w:tcPr>
            <w:tcW w:w="243" w:type="pct"/>
            <w:vAlign w:val="center"/>
          </w:tcPr>
          <w:p>
            <w:pPr>
              <w:tabs>
                <w:tab w:val="left" w:pos="8312"/>
                <w:tab w:val="left" w:pos="8670"/>
              </w:tabs>
              <w:adjustRightInd w:val="0"/>
              <w:snapToGrid w:val="0"/>
              <w:jc w:val="center"/>
              <w:rPr>
                <w:rFonts w:ascii="Times New Roman" w:hAnsi="Times New Roman" w:eastAsiaTheme="minorEastAsia"/>
                <w:b/>
              </w:rPr>
            </w:pPr>
            <w:r>
              <w:rPr>
                <w:rFonts w:ascii="Times New Roman" w:hAnsi="Times New Roman" w:eastAsiaTheme="minorEastAsia"/>
                <w:b/>
              </w:rPr>
              <w:t>1</w:t>
            </w:r>
          </w:p>
        </w:tc>
        <w:tc>
          <w:tcPr>
            <w:tcW w:w="243" w:type="pct"/>
            <w:vAlign w:val="center"/>
          </w:tcPr>
          <w:p>
            <w:pPr>
              <w:tabs>
                <w:tab w:val="left" w:pos="8312"/>
                <w:tab w:val="left" w:pos="8670"/>
              </w:tabs>
              <w:adjustRightInd w:val="0"/>
              <w:snapToGrid w:val="0"/>
              <w:jc w:val="center"/>
              <w:rPr>
                <w:rFonts w:ascii="Times New Roman" w:hAnsi="Times New Roman" w:eastAsiaTheme="minorEastAsia"/>
                <w:b/>
              </w:rPr>
            </w:pPr>
            <w:r>
              <w:rPr>
                <w:rFonts w:ascii="Times New Roman" w:hAnsi="Times New Roman" w:eastAsiaTheme="minorEastAsia"/>
                <w:b/>
              </w:rPr>
              <w:t>2</w:t>
            </w:r>
          </w:p>
        </w:tc>
        <w:tc>
          <w:tcPr>
            <w:tcW w:w="243" w:type="pct"/>
            <w:vAlign w:val="center"/>
          </w:tcPr>
          <w:p>
            <w:pPr>
              <w:tabs>
                <w:tab w:val="left" w:pos="8312"/>
                <w:tab w:val="left" w:pos="8670"/>
              </w:tabs>
              <w:adjustRightInd w:val="0"/>
              <w:snapToGrid w:val="0"/>
              <w:jc w:val="center"/>
              <w:rPr>
                <w:rFonts w:ascii="Times New Roman" w:hAnsi="Times New Roman" w:eastAsiaTheme="minorEastAsia"/>
                <w:b/>
              </w:rPr>
            </w:pPr>
            <w:r>
              <w:rPr>
                <w:rFonts w:ascii="Times New Roman" w:hAnsi="Times New Roman" w:eastAsiaTheme="minorEastAsia"/>
                <w:b/>
              </w:rPr>
              <w:t>3</w:t>
            </w:r>
          </w:p>
        </w:tc>
        <w:tc>
          <w:tcPr>
            <w:tcW w:w="243" w:type="pct"/>
            <w:vAlign w:val="center"/>
          </w:tcPr>
          <w:p>
            <w:pPr>
              <w:tabs>
                <w:tab w:val="left" w:pos="8312"/>
                <w:tab w:val="left" w:pos="8670"/>
              </w:tabs>
              <w:adjustRightInd w:val="0"/>
              <w:snapToGrid w:val="0"/>
              <w:jc w:val="center"/>
              <w:rPr>
                <w:rFonts w:ascii="Times New Roman" w:hAnsi="Times New Roman" w:eastAsiaTheme="minorEastAsia"/>
                <w:b/>
              </w:rPr>
            </w:pPr>
            <w:r>
              <w:rPr>
                <w:rFonts w:ascii="Times New Roman" w:hAnsi="Times New Roman" w:eastAsiaTheme="minorEastAsia"/>
                <w:b/>
              </w:rPr>
              <w:t>4</w:t>
            </w:r>
          </w:p>
        </w:tc>
        <w:tc>
          <w:tcPr>
            <w:tcW w:w="243" w:type="pct"/>
            <w:vAlign w:val="center"/>
          </w:tcPr>
          <w:p>
            <w:pPr>
              <w:tabs>
                <w:tab w:val="left" w:pos="8312"/>
                <w:tab w:val="left" w:pos="8670"/>
              </w:tabs>
              <w:adjustRightInd w:val="0"/>
              <w:snapToGrid w:val="0"/>
              <w:jc w:val="center"/>
              <w:rPr>
                <w:rFonts w:ascii="Times New Roman" w:hAnsi="Times New Roman" w:eastAsiaTheme="minorEastAsia"/>
                <w:b/>
              </w:rPr>
            </w:pPr>
            <w:r>
              <w:rPr>
                <w:rFonts w:ascii="Times New Roman" w:hAnsi="Times New Roman" w:eastAsiaTheme="minorEastAsia"/>
                <w:b/>
              </w:rPr>
              <w:t>5</w:t>
            </w:r>
          </w:p>
        </w:tc>
        <w:tc>
          <w:tcPr>
            <w:tcW w:w="243" w:type="pct"/>
            <w:vAlign w:val="center"/>
          </w:tcPr>
          <w:p>
            <w:pPr>
              <w:tabs>
                <w:tab w:val="left" w:pos="8312"/>
                <w:tab w:val="left" w:pos="8670"/>
              </w:tabs>
              <w:adjustRightInd w:val="0"/>
              <w:snapToGrid w:val="0"/>
              <w:jc w:val="center"/>
              <w:rPr>
                <w:rFonts w:ascii="Times New Roman" w:hAnsi="Times New Roman" w:eastAsiaTheme="minorEastAsia"/>
                <w:b/>
              </w:rPr>
            </w:pPr>
            <w:r>
              <w:rPr>
                <w:rFonts w:ascii="Times New Roman" w:hAnsi="Times New Roman" w:eastAsiaTheme="minorEastAsia"/>
                <w:b/>
              </w:rPr>
              <w:t>6</w:t>
            </w:r>
          </w:p>
        </w:tc>
        <w:tc>
          <w:tcPr>
            <w:tcW w:w="243" w:type="pct"/>
            <w:vAlign w:val="center"/>
          </w:tcPr>
          <w:p>
            <w:pPr>
              <w:tabs>
                <w:tab w:val="left" w:pos="8312"/>
                <w:tab w:val="left" w:pos="8670"/>
              </w:tabs>
              <w:adjustRightInd w:val="0"/>
              <w:snapToGrid w:val="0"/>
              <w:jc w:val="center"/>
              <w:rPr>
                <w:rFonts w:ascii="Times New Roman" w:hAnsi="Times New Roman" w:eastAsiaTheme="minorEastAsia"/>
                <w:b/>
              </w:rPr>
            </w:pPr>
            <w:r>
              <w:rPr>
                <w:rFonts w:ascii="Times New Roman" w:hAnsi="Times New Roman" w:eastAsiaTheme="minorEastAsia"/>
                <w:b/>
              </w:rPr>
              <w:t>7</w:t>
            </w:r>
          </w:p>
        </w:tc>
        <w:tc>
          <w:tcPr>
            <w:tcW w:w="243" w:type="pct"/>
            <w:vAlign w:val="center"/>
          </w:tcPr>
          <w:p>
            <w:pPr>
              <w:tabs>
                <w:tab w:val="left" w:pos="8312"/>
                <w:tab w:val="left" w:pos="8670"/>
              </w:tabs>
              <w:adjustRightInd w:val="0"/>
              <w:snapToGrid w:val="0"/>
              <w:jc w:val="center"/>
              <w:rPr>
                <w:rFonts w:ascii="Times New Roman" w:hAnsi="Times New Roman" w:eastAsiaTheme="minorEastAsia"/>
                <w:b/>
              </w:rPr>
            </w:pPr>
            <w:r>
              <w:rPr>
                <w:rFonts w:ascii="Times New Roman" w:hAnsi="Times New Roman" w:eastAsiaTheme="minorEastAsia"/>
                <w:b/>
              </w:rPr>
              <w:t>8</w:t>
            </w:r>
          </w:p>
        </w:tc>
        <w:tc>
          <w:tcPr>
            <w:tcW w:w="243" w:type="pct"/>
            <w:vAlign w:val="center"/>
          </w:tcPr>
          <w:p>
            <w:pPr>
              <w:tabs>
                <w:tab w:val="left" w:pos="8312"/>
                <w:tab w:val="left" w:pos="8670"/>
              </w:tabs>
              <w:adjustRightInd w:val="0"/>
              <w:snapToGrid w:val="0"/>
              <w:jc w:val="center"/>
              <w:rPr>
                <w:rFonts w:ascii="Times New Roman" w:hAnsi="Times New Roman" w:eastAsiaTheme="minorEastAsia"/>
                <w:b/>
              </w:rPr>
            </w:pPr>
            <w:r>
              <w:rPr>
                <w:rFonts w:ascii="Times New Roman" w:hAnsi="Times New Roman" w:eastAsiaTheme="minorEastAsia"/>
                <w:b/>
              </w:rPr>
              <w:t>9</w:t>
            </w:r>
          </w:p>
        </w:tc>
        <w:tc>
          <w:tcPr>
            <w:tcW w:w="243" w:type="pct"/>
            <w:vAlign w:val="center"/>
          </w:tcPr>
          <w:p>
            <w:pPr>
              <w:tabs>
                <w:tab w:val="left" w:pos="8312"/>
                <w:tab w:val="left" w:pos="8670"/>
              </w:tabs>
              <w:adjustRightInd w:val="0"/>
              <w:snapToGrid w:val="0"/>
              <w:jc w:val="center"/>
              <w:rPr>
                <w:rFonts w:ascii="Times New Roman" w:hAnsi="Times New Roman" w:eastAsiaTheme="minorEastAsia"/>
                <w:b/>
              </w:rPr>
            </w:pPr>
            <w:r>
              <w:rPr>
                <w:rFonts w:ascii="Times New Roman" w:hAnsi="Times New Roman" w:eastAsiaTheme="minorEastAsia"/>
                <w:b/>
              </w:rPr>
              <w:t>10</w:t>
            </w:r>
          </w:p>
        </w:tc>
        <w:tc>
          <w:tcPr>
            <w:tcW w:w="244" w:type="pct"/>
            <w:vAlign w:val="center"/>
          </w:tcPr>
          <w:p>
            <w:pPr>
              <w:tabs>
                <w:tab w:val="left" w:pos="8312"/>
                <w:tab w:val="left" w:pos="8670"/>
              </w:tabs>
              <w:adjustRightInd w:val="0"/>
              <w:snapToGrid w:val="0"/>
              <w:jc w:val="center"/>
              <w:rPr>
                <w:rFonts w:ascii="Times New Roman" w:hAnsi="Times New Roman" w:eastAsiaTheme="minorEastAsia"/>
                <w:b/>
              </w:rPr>
            </w:pPr>
            <w:r>
              <w:rPr>
                <w:rFonts w:ascii="Times New Roman" w:hAnsi="Times New Roman" w:eastAsiaTheme="minorEastAsia"/>
                <w:b/>
              </w:rPr>
              <w:t>11</w:t>
            </w:r>
          </w:p>
        </w:tc>
        <w:tc>
          <w:tcPr>
            <w:tcW w:w="243" w:type="pct"/>
            <w:vAlign w:val="center"/>
          </w:tcPr>
          <w:p>
            <w:pPr>
              <w:tabs>
                <w:tab w:val="left" w:pos="8312"/>
                <w:tab w:val="left" w:pos="8670"/>
              </w:tabs>
              <w:adjustRightInd w:val="0"/>
              <w:snapToGrid w:val="0"/>
              <w:jc w:val="center"/>
              <w:rPr>
                <w:rFonts w:ascii="Times New Roman" w:hAnsi="Times New Roman" w:eastAsiaTheme="minorEastAsia"/>
                <w:b/>
              </w:rPr>
            </w:pPr>
            <w:r>
              <w:rPr>
                <w:rFonts w:ascii="Times New Roman" w:hAnsi="Times New Roman" w:eastAsiaTheme="minorEastAsia"/>
                <w:b/>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Align w:val="center"/>
          </w:tcPr>
          <w:p>
            <w:pPr>
              <w:tabs>
                <w:tab w:val="left" w:pos="8312"/>
                <w:tab w:val="left" w:pos="8670"/>
              </w:tabs>
              <w:adjustRightInd w:val="0"/>
              <w:snapToGrid w:val="0"/>
              <w:jc w:val="center"/>
              <w:rPr>
                <w:rFonts w:ascii="Times New Roman" w:hAnsi="Times New Roman" w:eastAsiaTheme="minorEastAsia"/>
              </w:rPr>
            </w:pPr>
            <w:r>
              <w:rPr>
                <w:rFonts w:ascii="Times New Roman" w:hAnsi="Times New Roman" w:eastAsiaTheme="minorEastAsia"/>
              </w:rPr>
              <w:t>1</w:t>
            </w:r>
          </w:p>
        </w:tc>
        <w:tc>
          <w:tcPr>
            <w:tcW w:w="1628" w:type="pct"/>
            <w:vAlign w:val="center"/>
          </w:tcPr>
          <w:p>
            <w:pPr>
              <w:tabs>
                <w:tab w:val="left" w:pos="8312"/>
                <w:tab w:val="left" w:pos="8670"/>
              </w:tabs>
              <w:adjustRightInd w:val="0"/>
              <w:snapToGrid w:val="0"/>
              <w:rPr>
                <w:rFonts w:ascii="Times New Roman" w:hAnsi="Times New Roman" w:eastAsiaTheme="minorEastAsia"/>
              </w:rPr>
            </w:pPr>
            <w:r>
              <w:rPr>
                <w:rFonts w:ascii="Times New Roman" w:hAnsi="Times New Roman" w:eastAsiaTheme="minorEastAsia"/>
              </w:rPr>
              <w:t>施工准备</w:t>
            </w:r>
          </w:p>
        </w:tc>
        <w:tc>
          <w:tcPr>
            <w:tcW w:w="243" w:type="pct"/>
            <w:shd w:val="clear" w:color="auto" w:fill="BEBEBE" w:themeFill="background1" w:themeFillShade="BF"/>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4"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Align w:val="center"/>
          </w:tcPr>
          <w:p>
            <w:pPr>
              <w:tabs>
                <w:tab w:val="left" w:pos="8312"/>
                <w:tab w:val="left" w:pos="8670"/>
              </w:tabs>
              <w:adjustRightInd w:val="0"/>
              <w:snapToGrid w:val="0"/>
              <w:jc w:val="center"/>
              <w:rPr>
                <w:rFonts w:ascii="Times New Roman" w:hAnsi="Times New Roman" w:eastAsiaTheme="minorEastAsia"/>
              </w:rPr>
            </w:pPr>
            <w:r>
              <w:rPr>
                <w:rFonts w:ascii="Times New Roman" w:hAnsi="Times New Roman" w:eastAsiaTheme="minorEastAsia"/>
              </w:rPr>
              <w:t>2</w:t>
            </w:r>
          </w:p>
        </w:tc>
        <w:tc>
          <w:tcPr>
            <w:tcW w:w="1628" w:type="pct"/>
            <w:vAlign w:val="center"/>
          </w:tcPr>
          <w:p>
            <w:pPr>
              <w:tabs>
                <w:tab w:val="left" w:pos="8312"/>
                <w:tab w:val="left" w:pos="8670"/>
              </w:tabs>
              <w:adjustRightInd w:val="0"/>
              <w:snapToGrid w:val="0"/>
              <w:rPr>
                <w:rFonts w:ascii="Times New Roman" w:hAnsi="Times New Roman" w:eastAsiaTheme="minorEastAsia"/>
              </w:rPr>
            </w:pPr>
            <w:r>
              <w:rPr>
                <w:rFonts w:ascii="Times New Roman" w:hAnsi="Times New Roman"/>
                <w:color w:val="000000"/>
              </w:rPr>
              <w:t>基桩制作、灌注桩施工</w:t>
            </w:r>
          </w:p>
        </w:tc>
        <w:tc>
          <w:tcPr>
            <w:tcW w:w="243" w:type="pct"/>
            <w:shd w:val="clear" w:color="auto" w:fill="BEBEBE" w:themeFill="background1" w:themeFillShade="BF"/>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BEBEBE" w:themeFill="background1" w:themeFillShade="BF"/>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BEBEBE" w:themeFill="background1" w:themeFillShade="BF"/>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4"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Align w:val="center"/>
          </w:tcPr>
          <w:p>
            <w:pPr>
              <w:tabs>
                <w:tab w:val="left" w:pos="8312"/>
                <w:tab w:val="left" w:pos="8670"/>
              </w:tabs>
              <w:adjustRightInd w:val="0"/>
              <w:snapToGrid w:val="0"/>
              <w:jc w:val="center"/>
              <w:rPr>
                <w:rFonts w:ascii="Times New Roman" w:hAnsi="Times New Roman" w:eastAsiaTheme="minorEastAsia"/>
              </w:rPr>
            </w:pPr>
            <w:r>
              <w:rPr>
                <w:rFonts w:ascii="Times New Roman" w:hAnsi="Times New Roman" w:eastAsiaTheme="minorEastAsia"/>
              </w:rPr>
              <w:t>3</w:t>
            </w:r>
          </w:p>
        </w:tc>
        <w:tc>
          <w:tcPr>
            <w:tcW w:w="1628" w:type="pct"/>
            <w:vAlign w:val="center"/>
          </w:tcPr>
          <w:p>
            <w:pPr>
              <w:tabs>
                <w:tab w:val="left" w:pos="8312"/>
                <w:tab w:val="left" w:pos="8670"/>
              </w:tabs>
              <w:adjustRightInd w:val="0"/>
              <w:snapToGrid w:val="0"/>
              <w:rPr>
                <w:rFonts w:ascii="Times New Roman" w:hAnsi="Times New Roman" w:eastAsiaTheme="minorEastAsia"/>
              </w:rPr>
            </w:pPr>
            <w:r>
              <w:rPr>
                <w:rFonts w:ascii="Times New Roman" w:hAnsi="Times New Roman" w:eastAsiaTheme="minorEastAsia"/>
              </w:rPr>
              <w:t>沉桩</w:t>
            </w: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BEBEBE" w:themeFill="background1" w:themeFillShade="BF"/>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BEBEBE" w:themeFill="background1" w:themeFillShade="BF"/>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BEBEBE" w:themeFill="background1" w:themeFillShade="BF"/>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4"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Align w:val="center"/>
          </w:tcPr>
          <w:p>
            <w:pPr>
              <w:tabs>
                <w:tab w:val="left" w:pos="8312"/>
                <w:tab w:val="left" w:pos="8670"/>
              </w:tabs>
              <w:adjustRightInd w:val="0"/>
              <w:snapToGrid w:val="0"/>
              <w:jc w:val="center"/>
              <w:rPr>
                <w:rFonts w:ascii="Times New Roman" w:hAnsi="Times New Roman" w:eastAsiaTheme="minorEastAsia"/>
              </w:rPr>
            </w:pPr>
            <w:r>
              <w:rPr>
                <w:rFonts w:ascii="Times New Roman" w:hAnsi="Times New Roman" w:eastAsiaTheme="minorEastAsia"/>
              </w:rPr>
              <w:t>4</w:t>
            </w:r>
          </w:p>
        </w:tc>
        <w:tc>
          <w:tcPr>
            <w:tcW w:w="1628" w:type="pct"/>
            <w:vAlign w:val="center"/>
          </w:tcPr>
          <w:p>
            <w:pPr>
              <w:tabs>
                <w:tab w:val="left" w:pos="8312"/>
                <w:tab w:val="left" w:pos="8670"/>
              </w:tabs>
              <w:adjustRightInd w:val="0"/>
              <w:snapToGrid w:val="0"/>
              <w:rPr>
                <w:rFonts w:ascii="Times New Roman" w:hAnsi="Times New Roman" w:eastAsiaTheme="minorEastAsia"/>
              </w:rPr>
            </w:pPr>
            <w:r>
              <w:rPr>
                <w:rFonts w:ascii="Times New Roman" w:hAnsi="Times New Roman" w:eastAsiaTheme="minorEastAsia"/>
              </w:rPr>
              <w:t>现浇钢筋砼墩台</w:t>
            </w: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BEBEBE" w:themeFill="background1" w:themeFillShade="BF"/>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BEBEBE" w:themeFill="background1" w:themeFillShade="BF"/>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BEBEBE" w:themeFill="background1" w:themeFillShade="BF"/>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BEBEBE" w:themeFill="background1" w:themeFillShade="BF"/>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4"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Align w:val="center"/>
          </w:tcPr>
          <w:p>
            <w:pPr>
              <w:tabs>
                <w:tab w:val="left" w:pos="8312"/>
                <w:tab w:val="left" w:pos="8670"/>
              </w:tabs>
              <w:adjustRightInd w:val="0"/>
              <w:snapToGrid w:val="0"/>
              <w:jc w:val="center"/>
              <w:rPr>
                <w:rFonts w:ascii="Times New Roman" w:hAnsi="Times New Roman" w:eastAsiaTheme="minorEastAsia"/>
              </w:rPr>
            </w:pPr>
            <w:r>
              <w:rPr>
                <w:rFonts w:ascii="Times New Roman" w:hAnsi="Times New Roman" w:eastAsiaTheme="minorEastAsia"/>
              </w:rPr>
              <w:t>5</w:t>
            </w:r>
          </w:p>
        </w:tc>
        <w:tc>
          <w:tcPr>
            <w:tcW w:w="1628" w:type="pct"/>
            <w:vAlign w:val="center"/>
          </w:tcPr>
          <w:p>
            <w:pPr>
              <w:tabs>
                <w:tab w:val="left" w:pos="8312"/>
                <w:tab w:val="left" w:pos="8670"/>
              </w:tabs>
              <w:adjustRightInd w:val="0"/>
              <w:snapToGrid w:val="0"/>
              <w:rPr>
                <w:rFonts w:ascii="Times New Roman" w:hAnsi="Times New Roman" w:eastAsiaTheme="minorEastAsia"/>
              </w:rPr>
            </w:pPr>
            <w:r>
              <w:rPr>
                <w:rFonts w:ascii="Times New Roman" w:hAnsi="Times New Roman" w:eastAsiaTheme="minorEastAsia"/>
              </w:rPr>
              <w:t>土建工程施工</w:t>
            </w: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BEBEBE" w:themeFill="background1" w:themeFillShade="BF"/>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BEBEBE" w:themeFill="background1" w:themeFillShade="BF"/>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BEBEBE" w:themeFill="background1" w:themeFillShade="BF"/>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4"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Align w:val="center"/>
          </w:tcPr>
          <w:p>
            <w:pPr>
              <w:tabs>
                <w:tab w:val="left" w:pos="8312"/>
                <w:tab w:val="left" w:pos="8670"/>
              </w:tabs>
              <w:adjustRightInd w:val="0"/>
              <w:snapToGrid w:val="0"/>
              <w:jc w:val="center"/>
              <w:rPr>
                <w:rFonts w:ascii="Times New Roman" w:hAnsi="Times New Roman" w:eastAsiaTheme="minorEastAsia"/>
              </w:rPr>
            </w:pPr>
            <w:r>
              <w:rPr>
                <w:rFonts w:ascii="Times New Roman" w:hAnsi="Times New Roman" w:eastAsiaTheme="minorEastAsia"/>
              </w:rPr>
              <w:t>6</w:t>
            </w:r>
          </w:p>
        </w:tc>
        <w:tc>
          <w:tcPr>
            <w:tcW w:w="1628" w:type="pct"/>
            <w:vAlign w:val="center"/>
          </w:tcPr>
          <w:p>
            <w:pPr>
              <w:tabs>
                <w:tab w:val="left" w:pos="8312"/>
                <w:tab w:val="left" w:pos="8670"/>
              </w:tabs>
              <w:adjustRightInd w:val="0"/>
              <w:snapToGrid w:val="0"/>
              <w:rPr>
                <w:rFonts w:ascii="Times New Roman" w:hAnsi="Times New Roman" w:eastAsiaTheme="minorEastAsia"/>
              </w:rPr>
            </w:pPr>
            <w:r>
              <w:rPr>
                <w:rFonts w:ascii="Times New Roman" w:hAnsi="Times New Roman" w:eastAsiaTheme="minorEastAsia"/>
              </w:rPr>
              <w:t>码头附属设施安装</w:t>
            </w: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BEBEBE" w:themeFill="background1" w:themeFillShade="BF"/>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BEBEBE" w:themeFill="background1" w:themeFillShade="BF"/>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BEBEBE" w:themeFill="background1" w:themeFillShade="BF"/>
            <w:vAlign w:val="center"/>
          </w:tcPr>
          <w:p>
            <w:pPr>
              <w:tabs>
                <w:tab w:val="left" w:pos="8312"/>
                <w:tab w:val="left" w:pos="8670"/>
              </w:tabs>
              <w:adjustRightInd w:val="0"/>
              <w:snapToGrid w:val="0"/>
              <w:jc w:val="center"/>
              <w:rPr>
                <w:rFonts w:ascii="Times New Roman" w:hAnsi="Times New Roman" w:eastAsiaTheme="minorEastAsia"/>
              </w:rPr>
            </w:pPr>
          </w:p>
        </w:tc>
        <w:tc>
          <w:tcPr>
            <w:tcW w:w="244" w:type="pct"/>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vAlign w:val="center"/>
          </w:tcPr>
          <w:p>
            <w:pPr>
              <w:tabs>
                <w:tab w:val="left" w:pos="8312"/>
                <w:tab w:val="left" w:pos="8670"/>
              </w:tabs>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Align w:val="center"/>
          </w:tcPr>
          <w:p>
            <w:pPr>
              <w:tabs>
                <w:tab w:val="left" w:pos="8312"/>
                <w:tab w:val="left" w:pos="8670"/>
              </w:tabs>
              <w:adjustRightInd w:val="0"/>
              <w:snapToGrid w:val="0"/>
              <w:jc w:val="center"/>
              <w:rPr>
                <w:rFonts w:ascii="Times New Roman" w:hAnsi="Times New Roman" w:eastAsiaTheme="minorEastAsia"/>
              </w:rPr>
            </w:pPr>
            <w:r>
              <w:rPr>
                <w:rFonts w:ascii="Times New Roman" w:hAnsi="Times New Roman" w:eastAsiaTheme="minorEastAsia"/>
              </w:rPr>
              <w:t>7</w:t>
            </w:r>
          </w:p>
        </w:tc>
        <w:tc>
          <w:tcPr>
            <w:tcW w:w="1628" w:type="pct"/>
            <w:vAlign w:val="center"/>
          </w:tcPr>
          <w:p>
            <w:pPr>
              <w:tabs>
                <w:tab w:val="left" w:pos="8312"/>
                <w:tab w:val="left" w:pos="8670"/>
              </w:tabs>
              <w:adjustRightInd w:val="0"/>
              <w:snapToGrid w:val="0"/>
              <w:rPr>
                <w:rFonts w:ascii="Times New Roman" w:hAnsi="Times New Roman" w:eastAsiaTheme="minorEastAsia"/>
              </w:rPr>
            </w:pPr>
            <w:r>
              <w:rPr>
                <w:rFonts w:ascii="Times New Roman" w:hAnsi="Times New Roman" w:eastAsiaTheme="minorEastAsia"/>
              </w:rPr>
              <w:t>设备安装调试</w:t>
            </w: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BEBEBE" w:themeFill="background1" w:themeFillShade="BF"/>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BEBEBE" w:themeFill="background1" w:themeFillShade="BF"/>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BEBEBE" w:themeFill="background1" w:themeFillShade="BF"/>
            <w:vAlign w:val="center"/>
          </w:tcPr>
          <w:p>
            <w:pPr>
              <w:tabs>
                <w:tab w:val="left" w:pos="8312"/>
                <w:tab w:val="left" w:pos="8670"/>
              </w:tabs>
              <w:adjustRightInd w:val="0"/>
              <w:snapToGrid w:val="0"/>
              <w:jc w:val="center"/>
              <w:rPr>
                <w:rFonts w:ascii="Times New Roman" w:hAnsi="Times New Roman" w:eastAsiaTheme="minorEastAsia"/>
              </w:rPr>
            </w:pPr>
          </w:p>
        </w:tc>
        <w:tc>
          <w:tcPr>
            <w:tcW w:w="244" w:type="pct"/>
            <w:shd w:val="clear" w:color="auto" w:fill="BEBEBE" w:themeFill="background1" w:themeFillShade="BF"/>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vAlign w:val="center"/>
          </w:tcPr>
          <w:p>
            <w:pPr>
              <w:tabs>
                <w:tab w:val="left" w:pos="8312"/>
                <w:tab w:val="left" w:pos="8670"/>
              </w:tabs>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Align w:val="center"/>
          </w:tcPr>
          <w:p>
            <w:pPr>
              <w:tabs>
                <w:tab w:val="left" w:pos="8312"/>
                <w:tab w:val="left" w:pos="8670"/>
              </w:tabs>
              <w:adjustRightInd w:val="0"/>
              <w:snapToGrid w:val="0"/>
              <w:jc w:val="center"/>
              <w:rPr>
                <w:rFonts w:ascii="Times New Roman" w:hAnsi="Times New Roman" w:eastAsiaTheme="minorEastAsia"/>
              </w:rPr>
            </w:pPr>
            <w:r>
              <w:rPr>
                <w:rFonts w:ascii="Times New Roman" w:hAnsi="Times New Roman" w:eastAsiaTheme="minorEastAsia"/>
              </w:rPr>
              <w:t>8</w:t>
            </w:r>
          </w:p>
        </w:tc>
        <w:tc>
          <w:tcPr>
            <w:tcW w:w="1628" w:type="pct"/>
            <w:vAlign w:val="center"/>
          </w:tcPr>
          <w:p>
            <w:pPr>
              <w:tabs>
                <w:tab w:val="left" w:pos="8312"/>
                <w:tab w:val="left" w:pos="8670"/>
              </w:tabs>
              <w:adjustRightInd w:val="0"/>
              <w:snapToGrid w:val="0"/>
              <w:rPr>
                <w:rFonts w:ascii="Times New Roman" w:hAnsi="Times New Roman" w:eastAsiaTheme="minorEastAsia"/>
              </w:rPr>
            </w:pPr>
            <w:r>
              <w:rPr>
                <w:rFonts w:ascii="Times New Roman" w:hAnsi="Times New Roman" w:eastAsiaTheme="minorEastAsia"/>
              </w:rPr>
              <w:t>竣工验收</w:t>
            </w: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auto"/>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vAlign w:val="center"/>
          </w:tcPr>
          <w:p>
            <w:pPr>
              <w:tabs>
                <w:tab w:val="left" w:pos="8312"/>
                <w:tab w:val="left" w:pos="8670"/>
              </w:tabs>
              <w:adjustRightInd w:val="0"/>
              <w:snapToGrid w:val="0"/>
              <w:jc w:val="center"/>
              <w:rPr>
                <w:rFonts w:ascii="Times New Roman" w:hAnsi="Times New Roman" w:eastAsiaTheme="minorEastAsia"/>
              </w:rPr>
            </w:pPr>
          </w:p>
        </w:tc>
        <w:tc>
          <w:tcPr>
            <w:tcW w:w="244" w:type="pct"/>
            <w:shd w:val="clear" w:color="auto" w:fill="BEBEBE" w:themeFill="background1" w:themeFillShade="BF"/>
            <w:vAlign w:val="center"/>
          </w:tcPr>
          <w:p>
            <w:pPr>
              <w:tabs>
                <w:tab w:val="left" w:pos="8312"/>
                <w:tab w:val="left" w:pos="8670"/>
              </w:tabs>
              <w:adjustRightInd w:val="0"/>
              <w:snapToGrid w:val="0"/>
              <w:jc w:val="center"/>
              <w:rPr>
                <w:rFonts w:ascii="Times New Roman" w:hAnsi="Times New Roman" w:eastAsiaTheme="minorEastAsia"/>
              </w:rPr>
            </w:pPr>
          </w:p>
        </w:tc>
        <w:tc>
          <w:tcPr>
            <w:tcW w:w="243" w:type="pct"/>
            <w:shd w:val="clear" w:color="auto" w:fill="BEBEBE" w:themeFill="background1" w:themeFillShade="BF"/>
            <w:vAlign w:val="center"/>
          </w:tcPr>
          <w:p>
            <w:pPr>
              <w:tabs>
                <w:tab w:val="left" w:pos="8312"/>
                <w:tab w:val="left" w:pos="8670"/>
              </w:tabs>
              <w:adjustRightInd w:val="0"/>
              <w:snapToGrid w:val="0"/>
              <w:jc w:val="center"/>
              <w:rPr>
                <w:rFonts w:ascii="Times New Roman" w:hAnsi="Times New Roman" w:eastAsiaTheme="minorEastAsia"/>
              </w:rPr>
            </w:pPr>
          </w:p>
        </w:tc>
      </w:tr>
    </w:tbl>
    <w:p>
      <w:pPr>
        <w:pStyle w:val="325"/>
        <w:tabs>
          <w:tab w:val="right" w:leader="dot" w:pos="9070"/>
        </w:tabs>
        <w:adjustRightInd w:val="0"/>
        <w:snapToGrid w:val="0"/>
        <w:spacing w:line="360" w:lineRule="auto"/>
        <w:ind w:firstLine="480" w:firstLineChars="200"/>
        <w:jc w:val="both"/>
        <w:rPr>
          <w:rFonts w:eastAsiaTheme="minorEastAsia"/>
          <w:sz w:val="24"/>
          <w:szCs w:val="24"/>
        </w:rPr>
      </w:pPr>
    </w:p>
    <w:p>
      <w:pPr>
        <w:pStyle w:val="4"/>
        <w:rPr>
          <w:rFonts w:eastAsiaTheme="minorEastAsia"/>
        </w:rPr>
      </w:pPr>
      <w:r>
        <w:rPr>
          <w:rFonts w:eastAsiaTheme="minorEastAsia"/>
        </w:rPr>
        <w:t>施工土石方平衡及临时工程</w:t>
      </w:r>
    </w:p>
    <w:p>
      <w:pPr>
        <w:pStyle w:val="325"/>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1、土石方工程</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根据工可方案，本项目不涉及新增占地，拟对原有码头工程进行提质改造，项目挖方来源于基坑开挖土方和转运站及皮带廊道桩基开挖土方，挖方量为0.4万m</w:t>
      </w:r>
      <w:r>
        <w:rPr>
          <w:rFonts w:eastAsiaTheme="minorEastAsia"/>
          <w:sz w:val="24"/>
          <w:szCs w:val="24"/>
          <w:vertAlign w:val="superscript"/>
        </w:rPr>
        <w:t>3</w:t>
      </w:r>
      <w:r>
        <w:rPr>
          <w:rFonts w:eastAsiaTheme="minorEastAsia"/>
          <w:sz w:val="24"/>
          <w:szCs w:val="24"/>
        </w:rPr>
        <w:t>，不涉及疏浚工程，全部</w:t>
      </w:r>
      <w:r>
        <w:rPr>
          <w:spacing w:val="-1"/>
          <w:sz w:val="24"/>
          <w:szCs w:val="24"/>
        </w:rPr>
        <w:t>运输到后方厂区</w:t>
      </w:r>
      <w:r>
        <w:rPr>
          <w:rFonts w:eastAsiaTheme="minorEastAsia"/>
          <w:sz w:val="24"/>
          <w:szCs w:val="24"/>
        </w:rPr>
        <w:t>用作回填用土。本项目土石方平衡见表3.2-12。</w:t>
      </w:r>
    </w:p>
    <w:p>
      <w:pPr>
        <w:pStyle w:val="325"/>
        <w:tabs>
          <w:tab w:val="right" w:leader="dot" w:pos="9070"/>
        </w:tabs>
        <w:adjustRightInd w:val="0"/>
        <w:snapToGrid w:val="0"/>
        <w:spacing w:line="276" w:lineRule="auto"/>
        <w:jc w:val="center"/>
        <w:rPr>
          <w:rFonts w:eastAsiaTheme="minorEastAsia"/>
          <w:b/>
          <w:sz w:val="24"/>
          <w:szCs w:val="24"/>
        </w:rPr>
      </w:pPr>
      <w:r>
        <w:rPr>
          <w:rFonts w:eastAsiaTheme="minorEastAsia"/>
          <w:b/>
          <w:sz w:val="24"/>
          <w:szCs w:val="24"/>
        </w:rPr>
        <w:t>表3.2-12  工程土方平衡表</w:t>
      </w:r>
    </w:p>
    <w:tbl>
      <w:tblPr>
        <w:tblStyle w:val="7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19"/>
        <w:gridCol w:w="3119"/>
        <w:gridCol w:w="1275"/>
        <w:gridCol w:w="35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4238" w:type="dxa"/>
            <w:gridSpan w:val="2"/>
            <w:vAlign w:val="center"/>
          </w:tcPr>
          <w:p>
            <w:pPr>
              <w:pStyle w:val="325"/>
              <w:tabs>
                <w:tab w:val="right" w:leader="dot" w:pos="9070"/>
              </w:tabs>
              <w:adjustRightInd w:val="0"/>
              <w:snapToGrid w:val="0"/>
              <w:jc w:val="center"/>
              <w:rPr>
                <w:rFonts w:eastAsiaTheme="minorEastAsia"/>
                <w:b/>
                <w:sz w:val="21"/>
                <w:szCs w:val="21"/>
              </w:rPr>
            </w:pPr>
            <w:r>
              <w:rPr>
                <w:rFonts w:eastAsiaTheme="minorEastAsia"/>
                <w:b/>
                <w:sz w:val="21"/>
                <w:szCs w:val="21"/>
              </w:rPr>
              <w:t>类别</w:t>
            </w:r>
          </w:p>
        </w:tc>
        <w:tc>
          <w:tcPr>
            <w:tcW w:w="1275" w:type="dxa"/>
            <w:vAlign w:val="center"/>
          </w:tcPr>
          <w:p>
            <w:pPr>
              <w:pStyle w:val="325"/>
              <w:tabs>
                <w:tab w:val="right" w:leader="dot" w:pos="9070"/>
              </w:tabs>
              <w:adjustRightInd w:val="0"/>
              <w:snapToGrid w:val="0"/>
              <w:jc w:val="center"/>
              <w:rPr>
                <w:rFonts w:eastAsiaTheme="minorEastAsia"/>
                <w:b/>
                <w:sz w:val="21"/>
                <w:szCs w:val="21"/>
              </w:rPr>
            </w:pPr>
            <w:r>
              <w:rPr>
                <w:rFonts w:eastAsiaTheme="minorEastAsia"/>
                <w:b/>
                <w:sz w:val="21"/>
                <w:szCs w:val="21"/>
              </w:rPr>
              <w:t>数量</w:t>
            </w:r>
          </w:p>
        </w:tc>
        <w:tc>
          <w:tcPr>
            <w:tcW w:w="3527" w:type="dxa"/>
            <w:vAlign w:val="center"/>
          </w:tcPr>
          <w:p>
            <w:pPr>
              <w:pStyle w:val="325"/>
              <w:tabs>
                <w:tab w:val="right" w:leader="dot" w:pos="9070"/>
              </w:tabs>
              <w:adjustRightInd w:val="0"/>
              <w:snapToGrid w:val="0"/>
              <w:jc w:val="center"/>
              <w:rPr>
                <w:rFonts w:eastAsiaTheme="minorEastAsia"/>
                <w:b/>
                <w:sz w:val="21"/>
                <w:szCs w:val="21"/>
              </w:rPr>
            </w:pPr>
            <w:r>
              <w:rPr>
                <w:rFonts w:eastAsiaTheme="minorEastAsia"/>
                <w:b/>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19" w:type="dxa"/>
            <w:vMerge w:val="restart"/>
            <w:vAlign w:val="center"/>
          </w:tcPr>
          <w:p>
            <w:pPr>
              <w:pStyle w:val="325"/>
              <w:tabs>
                <w:tab w:val="right" w:leader="dot" w:pos="9070"/>
              </w:tabs>
              <w:adjustRightInd w:val="0"/>
              <w:snapToGrid w:val="0"/>
              <w:jc w:val="center"/>
              <w:rPr>
                <w:rFonts w:eastAsiaTheme="minorEastAsia"/>
                <w:sz w:val="21"/>
                <w:szCs w:val="21"/>
              </w:rPr>
            </w:pPr>
            <w:r>
              <w:rPr>
                <w:rFonts w:eastAsiaTheme="minorEastAsia"/>
                <w:sz w:val="21"/>
                <w:szCs w:val="21"/>
              </w:rPr>
              <w:t>土方来源</w:t>
            </w:r>
          </w:p>
        </w:tc>
        <w:tc>
          <w:tcPr>
            <w:tcW w:w="3119" w:type="dxa"/>
            <w:vAlign w:val="center"/>
          </w:tcPr>
          <w:p>
            <w:pPr>
              <w:pStyle w:val="325"/>
              <w:tabs>
                <w:tab w:val="right" w:leader="dot" w:pos="9070"/>
              </w:tabs>
              <w:adjustRightInd w:val="0"/>
              <w:snapToGrid w:val="0"/>
              <w:jc w:val="center"/>
              <w:rPr>
                <w:rFonts w:eastAsiaTheme="minorEastAsia"/>
                <w:sz w:val="21"/>
                <w:szCs w:val="21"/>
              </w:rPr>
            </w:pPr>
            <w:r>
              <w:rPr>
                <w:rFonts w:eastAsiaTheme="minorEastAsia"/>
                <w:sz w:val="21"/>
                <w:szCs w:val="21"/>
              </w:rPr>
              <w:t>码头趸船基坑开挖土方</w:t>
            </w:r>
          </w:p>
        </w:tc>
        <w:tc>
          <w:tcPr>
            <w:tcW w:w="1275" w:type="dxa"/>
            <w:vAlign w:val="center"/>
          </w:tcPr>
          <w:p>
            <w:pPr>
              <w:pStyle w:val="325"/>
              <w:tabs>
                <w:tab w:val="right" w:leader="dot" w:pos="9070"/>
              </w:tabs>
              <w:adjustRightInd w:val="0"/>
              <w:snapToGrid w:val="0"/>
              <w:jc w:val="center"/>
              <w:rPr>
                <w:rFonts w:eastAsiaTheme="minorEastAsia"/>
                <w:sz w:val="21"/>
                <w:szCs w:val="21"/>
              </w:rPr>
            </w:pPr>
            <w:r>
              <w:rPr>
                <w:rFonts w:eastAsiaTheme="minorEastAsia"/>
                <w:sz w:val="21"/>
                <w:szCs w:val="21"/>
              </w:rPr>
              <w:t>0.055万m</w:t>
            </w:r>
            <w:r>
              <w:rPr>
                <w:rFonts w:eastAsiaTheme="minorEastAsia"/>
                <w:sz w:val="21"/>
                <w:szCs w:val="21"/>
                <w:vertAlign w:val="superscript"/>
              </w:rPr>
              <w:t>3</w:t>
            </w:r>
          </w:p>
        </w:tc>
        <w:tc>
          <w:tcPr>
            <w:tcW w:w="3527" w:type="dxa"/>
            <w:vAlign w:val="center"/>
          </w:tcPr>
          <w:p>
            <w:pPr>
              <w:pStyle w:val="325"/>
              <w:tabs>
                <w:tab w:val="right" w:leader="dot" w:pos="9070"/>
              </w:tabs>
              <w:adjustRightInd w:val="0"/>
              <w:snapToGrid w:val="0"/>
              <w:jc w:val="center"/>
              <w:rPr>
                <w:rFonts w:eastAsiaTheme="minorEastAsia"/>
                <w:sz w:val="21"/>
                <w:szCs w:val="21"/>
              </w:rPr>
            </w:pPr>
            <w:r>
              <w:rPr>
                <w:rFonts w:eastAsiaTheme="minorEastAsia"/>
                <w:sz w:val="21"/>
                <w:szCs w:val="21"/>
              </w:rPr>
              <w:t>水上方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19" w:type="dxa"/>
            <w:vMerge w:val="continue"/>
            <w:vAlign w:val="center"/>
          </w:tcPr>
          <w:p>
            <w:pPr>
              <w:pStyle w:val="325"/>
              <w:tabs>
                <w:tab w:val="right" w:leader="dot" w:pos="9070"/>
              </w:tabs>
              <w:adjustRightInd w:val="0"/>
              <w:snapToGrid w:val="0"/>
              <w:jc w:val="center"/>
              <w:rPr>
                <w:rFonts w:eastAsiaTheme="minorEastAsia"/>
                <w:sz w:val="21"/>
                <w:szCs w:val="21"/>
              </w:rPr>
            </w:pPr>
          </w:p>
        </w:tc>
        <w:tc>
          <w:tcPr>
            <w:tcW w:w="3119" w:type="dxa"/>
            <w:vAlign w:val="center"/>
          </w:tcPr>
          <w:p>
            <w:pPr>
              <w:pStyle w:val="325"/>
              <w:tabs>
                <w:tab w:val="right" w:leader="dot" w:pos="9070"/>
              </w:tabs>
              <w:adjustRightInd w:val="0"/>
              <w:snapToGrid w:val="0"/>
              <w:jc w:val="center"/>
              <w:rPr>
                <w:rFonts w:eastAsiaTheme="minorEastAsia"/>
                <w:sz w:val="21"/>
                <w:szCs w:val="21"/>
              </w:rPr>
            </w:pPr>
            <w:r>
              <w:rPr>
                <w:rFonts w:eastAsiaTheme="minorEastAsia"/>
                <w:sz w:val="21"/>
                <w:szCs w:val="21"/>
              </w:rPr>
              <w:t>转运站及皮带廊道桩基开挖土方</w:t>
            </w:r>
          </w:p>
        </w:tc>
        <w:tc>
          <w:tcPr>
            <w:tcW w:w="1275" w:type="dxa"/>
            <w:vAlign w:val="center"/>
          </w:tcPr>
          <w:p>
            <w:pPr>
              <w:pStyle w:val="325"/>
              <w:tabs>
                <w:tab w:val="right" w:leader="dot" w:pos="9070"/>
              </w:tabs>
              <w:adjustRightInd w:val="0"/>
              <w:snapToGrid w:val="0"/>
              <w:jc w:val="center"/>
              <w:rPr>
                <w:rFonts w:eastAsiaTheme="minorEastAsia"/>
                <w:sz w:val="21"/>
                <w:szCs w:val="21"/>
              </w:rPr>
            </w:pPr>
            <w:r>
              <w:rPr>
                <w:rFonts w:eastAsiaTheme="minorEastAsia"/>
                <w:sz w:val="21"/>
                <w:szCs w:val="21"/>
              </w:rPr>
              <w:t>0.345万m</w:t>
            </w:r>
            <w:r>
              <w:rPr>
                <w:rFonts w:eastAsiaTheme="minorEastAsia"/>
                <w:sz w:val="21"/>
                <w:szCs w:val="21"/>
                <w:vertAlign w:val="superscript"/>
              </w:rPr>
              <w:t>3</w:t>
            </w:r>
          </w:p>
        </w:tc>
        <w:tc>
          <w:tcPr>
            <w:tcW w:w="3527" w:type="dxa"/>
            <w:vAlign w:val="center"/>
          </w:tcPr>
          <w:p>
            <w:pPr>
              <w:pStyle w:val="325"/>
              <w:tabs>
                <w:tab w:val="right" w:leader="dot" w:pos="9070"/>
              </w:tabs>
              <w:adjustRightInd w:val="0"/>
              <w:snapToGrid w:val="0"/>
              <w:jc w:val="center"/>
              <w:rPr>
                <w:rFonts w:eastAsiaTheme="minorEastAsia"/>
                <w:sz w:val="21"/>
                <w:szCs w:val="21"/>
              </w:rPr>
            </w:pPr>
            <w:r>
              <w:rPr>
                <w:rFonts w:eastAsiaTheme="minorEastAsia"/>
                <w:sz w:val="21"/>
                <w:szCs w:val="21"/>
              </w:rPr>
              <w:t>水上方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19" w:type="dxa"/>
            <w:vMerge w:val="restart"/>
            <w:vAlign w:val="center"/>
          </w:tcPr>
          <w:p>
            <w:pPr>
              <w:pStyle w:val="325"/>
              <w:tabs>
                <w:tab w:val="right" w:leader="dot" w:pos="9070"/>
              </w:tabs>
              <w:adjustRightInd w:val="0"/>
              <w:snapToGrid w:val="0"/>
              <w:jc w:val="center"/>
              <w:rPr>
                <w:rFonts w:eastAsiaTheme="minorEastAsia"/>
                <w:sz w:val="21"/>
                <w:szCs w:val="21"/>
              </w:rPr>
            </w:pPr>
            <w:r>
              <w:rPr>
                <w:rFonts w:eastAsiaTheme="minorEastAsia"/>
                <w:sz w:val="21"/>
                <w:szCs w:val="21"/>
              </w:rPr>
              <w:t>土方去向</w:t>
            </w:r>
          </w:p>
        </w:tc>
        <w:tc>
          <w:tcPr>
            <w:tcW w:w="3119" w:type="dxa"/>
            <w:vAlign w:val="center"/>
          </w:tcPr>
          <w:p>
            <w:pPr>
              <w:pStyle w:val="325"/>
              <w:tabs>
                <w:tab w:val="right" w:leader="dot" w:pos="9070"/>
              </w:tabs>
              <w:adjustRightInd w:val="0"/>
              <w:snapToGrid w:val="0"/>
              <w:jc w:val="center"/>
              <w:rPr>
                <w:rFonts w:eastAsiaTheme="minorEastAsia"/>
                <w:sz w:val="21"/>
                <w:szCs w:val="21"/>
              </w:rPr>
            </w:pPr>
            <w:r>
              <w:rPr>
                <w:rFonts w:eastAsiaTheme="minorEastAsia"/>
                <w:sz w:val="21"/>
                <w:szCs w:val="21"/>
              </w:rPr>
              <w:t>利用方</w:t>
            </w:r>
          </w:p>
        </w:tc>
        <w:tc>
          <w:tcPr>
            <w:tcW w:w="1275" w:type="dxa"/>
            <w:vAlign w:val="center"/>
          </w:tcPr>
          <w:p>
            <w:pPr>
              <w:pStyle w:val="325"/>
              <w:tabs>
                <w:tab w:val="right" w:leader="dot" w:pos="9070"/>
              </w:tabs>
              <w:adjustRightInd w:val="0"/>
              <w:snapToGrid w:val="0"/>
              <w:jc w:val="center"/>
              <w:rPr>
                <w:rFonts w:eastAsiaTheme="minorEastAsia"/>
                <w:sz w:val="21"/>
                <w:szCs w:val="21"/>
              </w:rPr>
            </w:pPr>
            <w:r>
              <w:rPr>
                <w:rFonts w:eastAsiaTheme="minorEastAsia"/>
                <w:sz w:val="21"/>
                <w:szCs w:val="21"/>
              </w:rPr>
              <w:t>0</w:t>
            </w:r>
          </w:p>
        </w:tc>
        <w:tc>
          <w:tcPr>
            <w:tcW w:w="3527" w:type="dxa"/>
            <w:vAlign w:val="center"/>
          </w:tcPr>
          <w:p>
            <w:pPr>
              <w:pStyle w:val="325"/>
              <w:tabs>
                <w:tab w:val="right" w:leader="dot" w:pos="9070"/>
              </w:tabs>
              <w:adjustRightInd w:val="0"/>
              <w:snapToGrid w:val="0"/>
              <w:jc w:val="center"/>
              <w:rPr>
                <w:rFonts w:eastAsiaTheme="minorEastAsia"/>
                <w:sz w:val="21"/>
                <w:szCs w:val="21"/>
              </w:rPr>
            </w:pPr>
            <w:r>
              <w:rPr>
                <w:rFonts w:eastAsiaTheme="minor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19" w:type="dxa"/>
            <w:vMerge w:val="continue"/>
            <w:vAlign w:val="center"/>
          </w:tcPr>
          <w:p>
            <w:pPr>
              <w:pStyle w:val="325"/>
              <w:tabs>
                <w:tab w:val="right" w:leader="dot" w:pos="9070"/>
              </w:tabs>
              <w:adjustRightInd w:val="0"/>
              <w:snapToGrid w:val="0"/>
              <w:jc w:val="center"/>
              <w:rPr>
                <w:rFonts w:eastAsiaTheme="minorEastAsia"/>
                <w:sz w:val="21"/>
                <w:szCs w:val="21"/>
              </w:rPr>
            </w:pPr>
          </w:p>
        </w:tc>
        <w:tc>
          <w:tcPr>
            <w:tcW w:w="3119" w:type="dxa"/>
            <w:vAlign w:val="center"/>
          </w:tcPr>
          <w:p>
            <w:pPr>
              <w:pStyle w:val="325"/>
              <w:tabs>
                <w:tab w:val="right" w:leader="dot" w:pos="9070"/>
              </w:tabs>
              <w:adjustRightInd w:val="0"/>
              <w:snapToGrid w:val="0"/>
              <w:jc w:val="center"/>
              <w:rPr>
                <w:rFonts w:eastAsiaTheme="minorEastAsia"/>
                <w:sz w:val="21"/>
                <w:szCs w:val="21"/>
              </w:rPr>
            </w:pPr>
            <w:r>
              <w:rPr>
                <w:rFonts w:eastAsiaTheme="minorEastAsia"/>
                <w:sz w:val="21"/>
                <w:szCs w:val="21"/>
              </w:rPr>
              <w:t>多余方</w:t>
            </w:r>
          </w:p>
        </w:tc>
        <w:tc>
          <w:tcPr>
            <w:tcW w:w="1275" w:type="dxa"/>
            <w:vAlign w:val="center"/>
          </w:tcPr>
          <w:p>
            <w:pPr>
              <w:pStyle w:val="325"/>
              <w:tabs>
                <w:tab w:val="right" w:leader="dot" w:pos="9070"/>
              </w:tabs>
              <w:adjustRightInd w:val="0"/>
              <w:snapToGrid w:val="0"/>
              <w:jc w:val="center"/>
              <w:rPr>
                <w:rFonts w:eastAsiaTheme="minorEastAsia"/>
                <w:sz w:val="21"/>
                <w:szCs w:val="21"/>
              </w:rPr>
            </w:pPr>
            <w:r>
              <w:rPr>
                <w:rFonts w:eastAsiaTheme="minorEastAsia"/>
                <w:sz w:val="21"/>
                <w:szCs w:val="21"/>
              </w:rPr>
              <w:t>0.4万m</w:t>
            </w:r>
            <w:r>
              <w:rPr>
                <w:rFonts w:eastAsiaTheme="minorEastAsia"/>
                <w:sz w:val="21"/>
                <w:szCs w:val="21"/>
                <w:vertAlign w:val="superscript"/>
              </w:rPr>
              <w:t>3</w:t>
            </w:r>
          </w:p>
        </w:tc>
        <w:tc>
          <w:tcPr>
            <w:tcW w:w="3527" w:type="dxa"/>
            <w:vAlign w:val="center"/>
          </w:tcPr>
          <w:p>
            <w:pPr>
              <w:pStyle w:val="325"/>
              <w:tabs>
                <w:tab w:val="right" w:leader="dot" w:pos="9070"/>
              </w:tabs>
              <w:adjustRightInd w:val="0"/>
              <w:snapToGrid w:val="0"/>
              <w:jc w:val="center"/>
              <w:rPr>
                <w:rFonts w:eastAsiaTheme="minorEastAsia"/>
                <w:sz w:val="21"/>
                <w:szCs w:val="21"/>
              </w:rPr>
            </w:pPr>
            <w:r>
              <w:rPr>
                <w:rFonts w:eastAsiaTheme="minorEastAsia"/>
                <w:sz w:val="21"/>
                <w:szCs w:val="21"/>
              </w:rPr>
              <w:t>全部运输到后方厂区用作回填用土</w:t>
            </w:r>
          </w:p>
        </w:tc>
      </w:tr>
    </w:tbl>
    <w:p>
      <w:pPr>
        <w:pStyle w:val="325"/>
        <w:tabs>
          <w:tab w:val="right" w:leader="dot" w:pos="9070"/>
        </w:tabs>
        <w:adjustRightInd w:val="0"/>
        <w:snapToGrid w:val="0"/>
        <w:spacing w:line="360" w:lineRule="auto"/>
        <w:ind w:firstLine="480" w:firstLineChars="200"/>
        <w:jc w:val="both"/>
        <w:rPr>
          <w:rFonts w:eastAsiaTheme="minorEastAsia"/>
          <w:sz w:val="24"/>
          <w:szCs w:val="24"/>
        </w:rPr>
      </w:pPr>
    </w:p>
    <w:p>
      <w:pPr>
        <w:pStyle w:val="325"/>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2、临时工程</w:t>
      </w:r>
    </w:p>
    <w:p>
      <w:pPr>
        <w:adjustRightInd w:val="0"/>
        <w:snapToGrid w:val="0"/>
        <w:spacing w:line="360" w:lineRule="auto"/>
        <w:ind w:firstLine="480" w:firstLineChars="202"/>
        <w:rPr>
          <w:rFonts w:ascii="Times New Roman" w:hAnsi="Times New Roman"/>
          <w:spacing w:val="-1"/>
          <w:sz w:val="24"/>
          <w:szCs w:val="24"/>
        </w:rPr>
      </w:pPr>
      <w:r>
        <w:rPr>
          <w:rFonts w:ascii="Times New Roman" w:hAnsi="Times New Roman"/>
          <w:spacing w:val="-1"/>
          <w:sz w:val="24"/>
          <w:szCs w:val="24"/>
        </w:rPr>
        <w:t>本项目不设置取土场和弃渣场，仅在后方码头大院处设置临时用地约1000m</w:t>
      </w:r>
      <w:r>
        <w:rPr>
          <w:rFonts w:ascii="Times New Roman" w:hAnsi="Times New Roman"/>
          <w:spacing w:val="-1"/>
          <w:sz w:val="24"/>
          <w:szCs w:val="24"/>
          <w:vertAlign w:val="superscript"/>
        </w:rPr>
        <w:t>2</w:t>
      </w:r>
      <w:r>
        <w:rPr>
          <w:rFonts w:ascii="Times New Roman" w:hAnsi="Times New Roman"/>
          <w:spacing w:val="-1"/>
          <w:sz w:val="24"/>
          <w:szCs w:val="24"/>
        </w:rPr>
        <w:t>，主要用作建筑材料堆放及施工营地。</w:t>
      </w:r>
    </w:p>
    <w:p>
      <w:pPr>
        <w:pStyle w:val="3"/>
        <w:ind w:left="578" w:hanging="578"/>
        <w:rPr>
          <w:rFonts w:hint="default" w:ascii="Times New Roman" w:hAnsi="Times New Roman" w:cs="Times New Roman" w:eastAsiaTheme="minorEastAsia"/>
          <w:b/>
          <w:bCs w:val="0"/>
          <w:lang w:val="zh-CN"/>
        </w:rPr>
      </w:pPr>
      <w:bookmarkStart w:id="39" w:name="_Toc7064"/>
      <w:bookmarkStart w:id="40" w:name="_Toc21161"/>
      <w:r>
        <w:rPr>
          <w:rFonts w:hint="default" w:ascii="Times New Roman" w:hAnsi="Times New Roman" w:cs="Times New Roman" w:eastAsiaTheme="minorEastAsia"/>
          <w:b/>
          <w:bCs w:val="0"/>
          <w:lang w:val="zh-CN"/>
        </w:rPr>
        <w:t>施工工艺流程及施工方法</w:t>
      </w:r>
      <w:bookmarkEnd w:id="39"/>
      <w:bookmarkEnd w:id="40"/>
    </w:p>
    <w:p>
      <w:pPr>
        <w:pStyle w:val="4"/>
        <w:ind w:left="578" w:hanging="578"/>
        <w:rPr>
          <w:rFonts w:hint="default" w:ascii="Times New Roman" w:hAnsi="Times New Roman" w:cs="Times New Roman" w:eastAsiaTheme="minorEastAsia"/>
          <w:lang w:val="zh-CN" w:eastAsia="zh-CN"/>
        </w:rPr>
      </w:pPr>
      <w:r>
        <w:rPr>
          <w:rFonts w:hint="default" w:ascii="Times New Roman" w:hAnsi="Times New Roman" w:cs="Times New Roman" w:eastAsiaTheme="minorEastAsia"/>
          <w:lang w:val="zh-CN" w:eastAsia="zh-CN"/>
        </w:rPr>
        <w:t>施工总体思路</w:t>
      </w:r>
    </w:p>
    <w:p>
      <w:pPr>
        <w:adjustRightInd w:val="0"/>
        <w:snapToGrid w:val="0"/>
        <w:spacing w:line="360" w:lineRule="auto"/>
        <w:ind w:firstLine="482" w:firstLineChars="200"/>
        <w:rPr>
          <w:rFonts w:hint="default" w:ascii="Times New Roman" w:hAnsi="Times New Roman" w:cs="Times New Roman"/>
          <w:b/>
          <w:bCs/>
          <w:color w:val="FF0000"/>
          <w:sz w:val="24"/>
          <w:szCs w:val="24"/>
          <w:u w:val="single"/>
          <w:lang w:val="zh-CN"/>
        </w:rPr>
      </w:pPr>
      <w:r>
        <w:rPr>
          <w:rFonts w:hint="default" w:ascii="Times New Roman" w:hAnsi="Times New Roman" w:cs="Times New Roman"/>
          <w:b/>
          <w:bCs/>
          <w:color w:val="FF0000"/>
          <w:sz w:val="24"/>
          <w:szCs w:val="24"/>
          <w:u w:val="single"/>
          <w:lang w:val="en-US" w:eastAsia="zh-CN"/>
        </w:rPr>
        <w:t>1、</w:t>
      </w:r>
      <w:r>
        <w:rPr>
          <w:rFonts w:hint="default" w:ascii="Times New Roman" w:hAnsi="Times New Roman" w:cs="Times New Roman"/>
          <w:b/>
          <w:bCs/>
          <w:color w:val="FF0000"/>
          <w:sz w:val="24"/>
          <w:szCs w:val="24"/>
          <w:u w:val="single"/>
          <w:lang w:val="zh-CN"/>
        </w:rPr>
        <w:t>总体施工部署</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en-US" w:eastAsia="zh-CN"/>
        </w:rPr>
        <w:t>根据</w:t>
      </w:r>
      <w:r>
        <w:rPr>
          <w:rFonts w:hint="default" w:ascii="Times New Roman" w:hAnsi="Times New Roman" w:cs="Times New Roman"/>
          <w:color w:val="FF0000"/>
          <w:sz w:val="24"/>
          <w:szCs w:val="24"/>
          <w:u w:val="single"/>
          <w:lang w:val="zh-CN"/>
        </w:rPr>
        <w:t>本项目工程地理位置、气象、水文、地形、地貌及工程泥沙、工程地质、地震等自然条件，并综合考虑</w:t>
      </w:r>
      <w:r>
        <w:rPr>
          <w:rFonts w:hint="eastAsia" w:ascii="Times New Roman" w:hAnsi="Times New Roman" w:cs="Times New Roman"/>
          <w:color w:val="FF0000"/>
          <w:sz w:val="24"/>
          <w:szCs w:val="24"/>
          <w:u w:val="single"/>
          <w:lang w:val="zh-CN"/>
        </w:rPr>
        <w:t>本项目</w:t>
      </w:r>
      <w:r>
        <w:rPr>
          <w:rFonts w:hint="default" w:ascii="Times New Roman" w:hAnsi="Times New Roman" w:cs="Times New Roman"/>
          <w:color w:val="FF0000"/>
          <w:sz w:val="24"/>
          <w:szCs w:val="24"/>
          <w:u w:val="single"/>
          <w:lang w:val="zh-CN"/>
        </w:rPr>
        <w:t>特点、工期要求、外部依托条件及周边关系等因素，结合在岳阳</w:t>
      </w:r>
      <w:r>
        <w:rPr>
          <w:rFonts w:hint="eastAsia" w:ascii="Times New Roman" w:hAnsi="Times New Roman" w:cs="Times New Roman"/>
          <w:color w:val="FF0000"/>
          <w:sz w:val="24"/>
          <w:szCs w:val="24"/>
          <w:u w:val="single"/>
          <w:lang w:val="zh-CN"/>
        </w:rPr>
        <w:t>城陵矶</w:t>
      </w:r>
      <w:r>
        <w:rPr>
          <w:rFonts w:hint="default" w:ascii="Times New Roman" w:hAnsi="Times New Roman" w:cs="Times New Roman"/>
          <w:color w:val="FF0000"/>
          <w:sz w:val="24"/>
          <w:szCs w:val="24"/>
          <w:u w:val="single"/>
          <w:lang w:val="zh-CN"/>
        </w:rPr>
        <w:t>长江岸线的高桩码头施工经验，对本</w:t>
      </w:r>
      <w:r>
        <w:rPr>
          <w:rFonts w:hint="default" w:ascii="Times New Roman" w:hAnsi="Times New Roman" w:cs="Times New Roman"/>
          <w:color w:val="FF0000"/>
          <w:sz w:val="24"/>
          <w:szCs w:val="24"/>
          <w:u w:val="single"/>
          <w:lang w:val="en-US" w:eastAsia="zh-CN"/>
        </w:rPr>
        <w:t>项目</w:t>
      </w:r>
      <w:r>
        <w:rPr>
          <w:rFonts w:hint="default" w:ascii="Times New Roman" w:hAnsi="Times New Roman" w:cs="Times New Roman"/>
          <w:color w:val="FF0000"/>
          <w:sz w:val="24"/>
          <w:szCs w:val="24"/>
          <w:u w:val="single"/>
          <w:lang w:val="zh-CN"/>
        </w:rPr>
        <w:t>的施工总体顺序设想如下：</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en-US" w:eastAsia="zh-CN"/>
        </w:rPr>
        <w:t xml:space="preserve">⑴ </w:t>
      </w:r>
      <w:r>
        <w:rPr>
          <w:rFonts w:hint="default" w:ascii="Times New Roman" w:hAnsi="Times New Roman" w:cs="Times New Roman"/>
          <w:color w:val="FF0000"/>
          <w:sz w:val="24"/>
          <w:szCs w:val="24"/>
          <w:u w:val="single"/>
          <w:lang w:val="zh-CN"/>
        </w:rPr>
        <w:t>考虑到</w:t>
      </w:r>
      <w:r>
        <w:rPr>
          <w:rFonts w:hint="eastAsia" w:ascii="Times New Roman" w:hAnsi="Times New Roman" w:cs="Times New Roman"/>
          <w:color w:val="FF0000"/>
          <w:sz w:val="24"/>
          <w:szCs w:val="24"/>
          <w:u w:val="single"/>
          <w:lang w:val="zh-CN"/>
        </w:rPr>
        <w:t>岳阳</w:t>
      </w:r>
      <w:r>
        <w:rPr>
          <w:rFonts w:hint="default" w:ascii="Times New Roman" w:hAnsi="Times New Roman" w:cs="Times New Roman"/>
          <w:color w:val="FF0000"/>
          <w:sz w:val="24"/>
          <w:szCs w:val="24"/>
          <w:u w:val="single"/>
          <w:lang w:val="zh-CN"/>
        </w:rPr>
        <w:t>地区长江洪枯水位差较大，季节性变化明显，码头结构设计底高程、打入钢管桩桩顶高程与设计低水位接近，须在第一个枯水位季节完成码头桩基与底部承台施工。因此，我们将抓住第一个枯水期，首先进行引桥灌注桩、固定联桥、</w:t>
      </w:r>
      <w:r>
        <w:rPr>
          <w:rFonts w:hint="eastAsia" w:ascii="Times New Roman" w:hAnsi="Times New Roman" w:cs="Times New Roman"/>
          <w:color w:val="FF0000"/>
          <w:sz w:val="24"/>
          <w:szCs w:val="24"/>
          <w:u w:val="single"/>
          <w:lang w:val="en-US" w:eastAsia="zh-CN"/>
        </w:rPr>
        <w:t>2</w:t>
      </w:r>
      <w:r>
        <w:rPr>
          <w:rFonts w:hint="default" w:ascii="Times New Roman" w:hAnsi="Times New Roman" w:cs="Times New Roman"/>
          <w:color w:val="FF0000"/>
          <w:sz w:val="24"/>
          <w:szCs w:val="24"/>
          <w:u w:val="single"/>
          <w:lang w:val="zh-CN"/>
        </w:rPr>
        <w:t>#泊位转角平台PHC桩施工与预应力空心板预制，并在第一个洪水期到来之前将引桥、固定联桥、转角平台上部结构完成，形成施工通道。同时将泊位水域所有PHC桩、钢管桩沉桩完成，紧接着通过紧凑流水施工并加大人、机、料集中投入，抢在第一个洪水期到来之前将靠船墩、系靠船墩、系缆墩底部承台以及</w:t>
      </w:r>
      <w:r>
        <w:rPr>
          <w:rFonts w:hint="eastAsia" w:ascii="Times New Roman" w:hAnsi="Times New Roman" w:cs="Times New Roman"/>
          <w:color w:val="FF0000"/>
          <w:sz w:val="24"/>
          <w:szCs w:val="24"/>
          <w:u w:val="single"/>
          <w:lang w:val="zh-CN"/>
        </w:rPr>
        <w:t>承台</w:t>
      </w:r>
      <w:r>
        <w:rPr>
          <w:rFonts w:hint="default" w:ascii="Times New Roman" w:hAnsi="Times New Roman" w:cs="Times New Roman"/>
          <w:color w:val="FF0000"/>
          <w:sz w:val="24"/>
          <w:szCs w:val="24"/>
          <w:u w:val="single"/>
          <w:lang w:val="zh-CN"/>
        </w:rPr>
        <w:t>浇筑完成。</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en-US" w:eastAsia="zh-CN"/>
        </w:rPr>
        <w:t xml:space="preserve">⑵ </w:t>
      </w:r>
      <w:r>
        <w:rPr>
          <w:rFonts w:hint="default" w:ascii="Times New Roman" w:hAnsi="Times New Roman" w:cs="Times New Roman"/>
          <w:color w:val="FF0000"/>
          <w:sz w:val="24"/>
          <w:szCs w:val="24"/>
          <w:u w:val="single"/>
          <w:lang w:val="zh-CN"/>
        </w:rPr>
        <w:t>先前施工完成的码头系靠船各墩台底层平台露出水面时，马上开始各墩台框架及顶部面层施工，同时穿插进行码头橡胶护弦、爬梯、系船柱等附属设施安装，尽早完成水工主体结构。</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en-US" w:eastAsia="zh-CN"/>
        </w:rPr>
        <w:t xml:space="preserve">⑶ </w:t>
      </w:r>
      <w:r>
        <w:rPr>
          <w:rFonts w:hint="default" w:ascii="Times New Roman" w:hAnsi="Times New Roman" w:cs="Times New Roman"/>
          <w:color w:val="FF0000"/>
          <w:sz w:val="24"/>
          <w:szCs w:val="24"/>
          <w:u w:val="single"/>
          <w:lang w:val="zh-CN"/>
        </w:rPr>
        <w:t>引桥、</w:t>
      </w:r>
      <w:r>
        <w:rPr>
          <w:rFonts w:hint="eastAsia" w:ascii="Times New Roman" w:hAnsi="Times New Roman" w:cs="Times New Roman"/>
          <w:color w:val="FF0000"/>
          <w:sz w:val="24"/>
          <w:szCs w:val="24"/>
          <w:u w:val="single"/>
          <w:lang w:val="zh-CN"/>
        </w:rPr>
        <w:t>承</w:t>
      </w:r>
      <w:r>
        <w:rPr>
          <w:rFonts w:hint="default" w:ascii="Times New Roman" w:hAnsi="Times New Roman" w:cs="Times New Roman"/>
          <w:color w:val="FF0000"/>
          <w:sz w:val="24"/>
          <w:szCs w:val="24"/>
          <w:u w:val="single"/>
          <w:lang w:val="zh-CN"/>
        </w:rPr>
        <w:t>台与码头水工主体完成后再进行工艺设备、给排水、消防、供电照明、通信、控制等施工，避免过多交叉作业。</w:t>
      </w:r>
    </w:p>
    <w:p>
      <w:pPr>
        <w:adjustRightInd w:val="0"/>
        <w:snapToGrid w:val="0"/>
        <w:spacing w:line="360" w:lineRule="auto"/>
        <w:ind w:firstLine="482" w:firstLineChars="200"/>
        <w:rPr>
          <w:rFonts w:hint="default" w:ascii="Times New Roman" w:hAnsi="Times New Roman" w:cs="Times New Roman"/>
          <w:b/>
          <w:bCs/>
          <w:color w:val="FF0000"/>
          <w:sz w:val="24"/>
          <w:szCs w:val="24"/>
          <w:u w:val="single"/>
          <w:lang w:val="en-US" w:eastAsia="zh-CN"/>
        </w:rPr>
      </w:pPr>
      <w:r>
        <w:rPr>
          <w:rFonts w:hint="eastAsia" w:ascii="Times New Roman" w:hAnsi="Times New Roman" w:cs="Times New Roman"/>
          <w:b/>
          <w:bCs/>
          <w:color w:val="FF0000"/>
          <w:sz w:val="24"/>
          <w:szCs w:val="24"/>
          <w:u w:val="single"/>
          <w:lang w:val="en-US" w:eastAsia="zh-CN"/>
        </w:rPr>
        <w:t>2、</w:t>
      </w:r>
      <w:r>
        <w:rPr>
          <w:rFonts w:hint="default" w:ascii="Times New Roman" w:hAnsi="Times New Roman" w:cs="Times New Roman"/>
          <w:b/>
          <w:bCs/>
          <w:color w:val="FF0000"/>
          <w:sz w:val="24"/>
          <w:szCs w:val="24"/>
          <w:u w:val="single"/>
          <w:lang w:val="en-US" w:eastAsia="zh-CN"/>
        </w:rPr>
        <w:t>拆除原2#码头</w:t>
      </w:r>
    </w:p>
    <w:p>
      <w:pPr>
        <w:adjustRightInd w:val="0"/>
        <w:snapToGrid w:val="0"/>
        <w:spacing w:line="360" w:lineRule="auto"/>
        <w:ind w:firstLine="480" w:firstLineChars="200"/>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color w:val="FF0000"/>
          <w:sz w:val="24"/>
          <w:szCs w:val="24"/>
          <w:u w:val="single"/>
          <w:lang w:val="en-US" w:eastAsia="zh-CN"/>
        </w:rPr>
        <w:t>做好施工准备，按照从上而下的顺序逐步拆除现有的2#码头水工建设设施，拆除后的建筑垃圾与总厂区固体废物一同交由环卫部门处置。</w:t>
      </w:r>
    </w:p>
    <w:p>
      <w:pPr>
        <w:adjustRightInd w:val="0"/>
        <w:snapToGrid w:val="0"/>
        <w:spacing w:line="360" w:lineRule="auto"/>
        <w:ind w:firstLine="482" w:firstLineChars="200"/>
        <w:rPr>
          <w:rFonts w:hint="default" w:ascii="Times New Roman" w:hAnsi="Times New Roman" w:cs="Times New Roman"/>
          <w:b/>
          <w:bCs/>
          <w:color w:val="FF0000"/>
          <w:sz w:val="24"/>
          <w:szCs w:val="24"/>
          <w:u w:val="single"/>
          <w:lang w:val="zh-CN"/>
        </w:rPr>
      </w:pPr>
      <w:r>
        <w:rPr>
          <w:rFonts w:hint="eastAsia" w:ascii="Times New Roman" w:hAnsi="Times New Roman" w:cs="Times New Roman"/>
          <w:b/>
          <w:bCs/>
          <w:color w:val="FF0000"/>
          <w:sz w:val="24"/>
          <w:szCs w:val="24"/>
          <w:u w:val="single"/>
          <w:lang w:val="en-US" w:eastAsia="zh-CN"/>
        </w:rPr>
        <w:t>3</w:t>
      </w:r>
      <w:r>
        <w:rPr>
          <w:rFonts w:hint="default" w:ascii="Times New Roman" w:hAnsi="Times New Roman" w:cs="Times New Roman"/>
          <w:b/>
          <w:bCs/>
          <w:color w:val="FF0000"/>
          <w:sz w:val="24"/>
          <w:szCs w:val="24"/>
          <w:u w:val="single"/>
          <w:lang w:val="en-US" w:eastAsia="zh-CN"/>
        </w:rPr>
        <w:t>、</w:t>
      </w:r>
      <w:r>
        <w:rPr>
          <w:rFonts w:hint="default" w:ascii="Times New Roman" w:hAnsi="Times New Roman" w:cs="Times New Roman"/>
          <w:b/>
          <w:bCs/>
          <w:color w:val="FF0000"/>
          <w:sz w:val="24"/>
          <w:szCs w:val="24"/>
          <w:u w:val="single"/>
          <w:lang w:val="zh-CN"/>
        </w:rPr>
        <w:t>预制管桩施工</w:t>
      </w:r>
    </w:p>
    <w:p>
      <w:pPr>
        <w:adjustRightInd w:val="0"/>
        <w:snapToGrid w:val="0"/>
        <w:spacing w:line="360" w:lineRule="auto"/>
        <w:ind w:firstLine="480" w:firstLineChars="200"/>
        <w:rPr>
          <w:rFonts w:hint="default" w:ascii="Times New Roman" w:hAnsi="Times New Roman" w:eastAsia="宋体" w:cs="Times New Roman"/>
          <w:color w:val="FF0000"/>
          <w:sz w:val="24"/>
          <w:szCs w:val="24"/>
          <w:u w:val="single"/>
        </w:rPr>
      </w:pPr>
      <w:r>
        <w:rPr>
          <w:rFonts w:hint="default" w:ascii="Times New Roman" w:hAnsi="Times New Roman" w:cs="Times New Roman"/>
          <w:color w:val="FF0000"/>
          <w:sz w:val="24"/>
          <w:szCs w:val="24"/>
          <w:u w:val="single"/>
          <w:lang w:val="zh-CN"/>
        </w:rPr>
        <w:t>本</w:t>
      </w:r>
      <w:r>
        <w:rPr>
          <w:rFonts w:hint="default" w:ascii="Times New Roman" w:hAnsi="Times New Roman" w:cs="Times New Roman"/>
          <w:color w:val="FF0000"/>
          <w:sz w:val="24"/>
          <w:szCs w:val="24"/>
          <w:u w:val="single"/>
          <w:lang w:val="en-US" w:eastAsia="zh-CN"/>
        </w:rPr>
        <w:t>项目</w:t>
      </w:r>
      <w:r>
        <w:rPr>
          <w:rFonts w:hint="default" w:ascii="Times New Roman" w:hAnsi="Times New Roman" w:cs="Times New Roman"/>
          <w:color w:val="FF0000"/>
          <w:sz w:val="24"/>
          <w:szCs w:val="24"/>
          <w:u w:val="single"/>
          <w:lang w:val="zh-CN"/>
        </w:rPr>
        <w:t>所需的直径1000mm钢管桩、PHC桩分别委托专业的管桩厂制作生产，钢管桩防腐在工厂完成，钢管桩、PHC桩根据设计桩长整桩预制，根据打桩进度与顺序，通过运输船将钢管桩分两批次运抵施工现场水域、PHC桩一次运抵现场水域。租赁打桩船提前进场抛锚做打桩准备，打桩前进行水下地形、高程测量，摸清是否有沉桩障碍物，若有，则采取有效措施予以清除。水上沉桩先打靠近岸边的PHC桩、再打系靠船墩钢管桩。PHC桩沉桩顺序依次为：泊位引桥前两排与转角平台PHC桩→</w:t>
      </w:r>
      <w:r>
        <w:rPr>
          <w:rFonts w:hint="eastAsia" w:ascii="Times New Roman" w:hAnsi="Times New Roman" w:cs="Times New Roman"/>
          <w:color w:val="FF0000"/>
          <w:sz w:val="24"/>
          <w:szCs w:val="24"/>
          <w:u w:val="single"/>
          <w:lang w:val="zh-CN"/>
        </w:rPr>
        <w:t>承台</w:t>
      </w:r>
      <w:r>
        <w:rPr>
          <w:rFonts w:hint="default" w:ascii="Times New Roman" w:hAnsi="Times New Roman" w:cs="Times New Roman"/>
          <w:color w:val="FF0000"/>
          <w:sz w:val="24"/>
          <w:szCs w:val="24"/>
          <w:u w:val="single"/>
          <w:lang w:val="zh-CN"/>
        </w:rPr>
        <w:t>PHC桩→固定联桥PHC桩；钢管桩沉桩顺序为：从最下游系缆墩往最上</w:t>
      </w:r>
      <w:r>
        <w:rPr>
          <w:rFonts w:hint="default" w:ascii="Times New Roman" w:hAnsi="Times New Roman" w:eastAsia="宋体" w:cs="Times New Roman"/>
          <w:color w:val="FF0000"/>
          <w:sz w:val="24"/>
          <w:szCs w:val="24"/>
          <w:u w:val="single"/>
        </w:rPr>
        <w:t>游系缆墩依次施打，过程中可以根据打桩船抛锚情况、现场工况、工期安排等适当调整沉桩顺序。</w:t>
      </w:r>
    </w:p>
    <w:p>
      <w:pPr>
        <w:adjustRightInd w:val="0"/>
        <w:snapToGrid w:val="0"/>
        <w:spacing w:line="360" w:lineRule="auto"/>
        <w:ind w:firstLine="482" w:firstLineChars="200"/>
        <w:rPr>
          <w:rFonts w:hint="default" w:ascii="Times New Roman" w:hAnsi="Times New Roman" w:cs="Times New Roman"/>
          <w:b/>
          <w:bCs/>
          <w:color w:val="FF0000"/>
          <w:sz w:val="24"/>
          <w:szCs w:val="24"/>
          <w:u w:val="single"/>
          <w:lang w:val="zh-CN"/>
        </w:rPr>
      </w:pPr>
      <w:r>
        <w:rPr>
          <w:rFonts w:hint="eastAsia" w:ascii="Times New Roman" w:hAnsi="Times New Roman" w:cs="Times New Roman"/>
          <w:b/>
          <w:bCs/>
          <w:color w:val="FF0000"/>
          <w:sz w:val="24"/>
          <w:szCs w:val="24"/>
          <w:u w:val="single"/>
          <w:lang w:val="en-US" w:eastAsia="zh-CN"/>
        </w:rPr>
        <w:t>4</w:t>
      </w:r>
      <w:r>
        <w:rPr>
          <w:rFonts w:hint="default" w:ascii="Times New Roman" w:hAnsi="Times New Roman" w:cs="Times New Roman"/>
          <w:b/>
          <w:bCs/>
          <w:color w:val="FF0000"/>
          <w:sz w:val="24"/>
          <w:szCs w:val="24"/>
          <w:u w:val="single"/>
          <w:lang w:val="en-US" w:eastAsia="zh-CN"/>
        </w:rPr>
        <w:t>、</w:t>
      </w:r>
      <w:r>
        <w:rPr>
          <w:rFonts w:hint="default" w:ascii="Times New Roman" w:hAnsi="Times New Roman" w:cs="Times New Roman"/>
          <w:b/>
          <w:bCs/>
          <w:color w:val="FF0000"/>
          <w:sz w:val="24"/>
          <w:szCs w:val="24"/>
          <w:u w:val="single"/>
          <w:lang w:val="zh-CN"/>
        </w:rPr>
        <w:t>预制构件施工</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本</w:t>
      </w:r>
      <w:r>
        <w:rPr>
          <w:rFonts w:hint="default" w:ascii="Times New Roman" w:hAnsi="Times New Roman" w:cs="Times New Roman"/>
          <w:color w:val="FF0000"/>
          <w:sz w:val="24"/>
          <w:szCs w:val="24"/>
          <w:u w:val="single"/>
          <w:lang w:val="en-US" w:eastAsia="zh-CN"/>
        </w:rPr>
        <w:t>项目</w:t>
      </w:r>
      <w:r>
        <w:rPr>
          <w:rFonts w:hint="default" w:ascii="Times New Roman" w:hAnsi="Times New Roman" w:cs="Times New Roman"/>
          <w:color w:val="FF0000"/>
          <w:sz w:val="24"/>
          <w:szCs w:val="24"/>
          <w:u w:val="single"/>
          <w:lang w:val="zh-CN"/>
        </w:rPr>
        <w:t>预制构件为引桥、固定联桥预应力空心板</w:t>
      </w:r>
      <w:r>
        <w:rPr>
          <w:rFonts w:hint="eastAsia" w:ascii="Times New Roman" w:hAnsi="Times New Roman" w:cs="Times New Roman"/>
          <w:color w:val="FF0000"/>
          <w:sz w:val="24"/>
          <w:szCs w:val="24"/>
          <w:u w:val="single"/>
          <w:lang w:val="zh-CN"/>
        </w:rPr>
        <w:t>、</w:t>
      </w:r>
      <w:r>
        <w:rPr>
          <w:rFonts w:hint="default" w:ascii="Times New Roman" w:hAnsi="Times New Roman" w:cs="Times New Roman"/>
          <w:color w:val="FF0000"/>
          <w:sz w:val="24"/>
          <w:szCs w:val="24"/>
          <w:u w:val="single"/>
          <w:lang w:val="zh-CN"/>
        </w:rPr>
        <w:t>靠船构件。构件在设在现场预制场预制，龙门吊转运堆存与装车，构件预制进度满足安装进度要求。空心板由炮车运输至架梁区域，150t履带吊吊装就位，靠构经由临时码头出运，船吊水上安装。</w:t>
      </w:r>
    </w:p>
    <w:p>
      <w:pPr>
        <w:adjustRightInd w:val="0"/>
        <w:snapToGrid w:val="0"/>
        <w:spacing w:line="360" w:lineRule="auto"/>
        <w:ind w:firstLine="482" w:firstLineChars="200"/>
        <w:rPr>
          <w:rFonts w:hint="default" w:ascii="Times New Roman" w:hAnsi="Times New Roman" w:cs="Times New Roman"/>
          <w:b/>
          <w:bCs/>
          <w:color w:val="FF0000"/>
          <w:sz w:val="24"/>
          <w:szCs w:val="24"/>
          <w:u w:val="single"/>
          <w:lang w:val="zh-CN"/>
        </w:rPr>
      </w:pPr>
      <w:r>
        <w:rPr>
          <w:rFonts w:hint="eastAsia" w:ascii="Times New Roman" w:hAnsi="Times New Roman" w:cs="Times New Roman"/>
          <w:b/>
          <w:bCs/>
          <w:color w:val="FF0000"/>
          <w:sz w:val="24"/>
          <w:szCs w:val="24"/>
          <w:u w:val="single"/>
          <w:lang w:val="en-US" w:eastAsia="zh-CN"/>
        </w:rPr>
        <w:t>5</w:t>
      </w:r>
      <w:r>
        <w:rPr>
          <w:rFonts w:hint="default" w:ascii="Times New Roman" w:hAnsi="Times New Roman" w:cs="Times New Roman"/>
          <w:b/>
          <w:bCs/>
          <w:color w:val="FF0000"/>
          <w:sz w:val="24"/>
          <w:szCs w:val="24"/>
          <w:u w:val="single"/>
          <w:lang w:val="en-US" w:eastAsia="zh-CN"/>
        </w:rPr>
        <w:t>、</w:t>
      </w:r>
      <w:r>
        <w:rPr>
          <w:rFonts w:hint="default" w:ascii="Times New Roman" w:hAnsi="Times New Roman" w:cs="Times New Roman"/>
          <w:b/>
          <w:bCs/>
          <w:color w:val="FF0000"/>
          <w:sz w:val="24"/>
          <w:szCs w:val="24"/>
          <w:u w:val="single"/>
          <w:lang w:val="zh-CN"/>
        </w:rPr>
        <w:t>灌注桩施工</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本</w:t>
      </w:r>
      <w:r>
        <w:rPr>
          <w:rFonts w:hint="default" w:ascii="Times New Roman" w:hAnsi="Times New Roman" w:cs="Times New Roman"/>
          <w:color w:val="FF0000"/>
          <w:sz w:val="24"/>
          <w:szCs w:val="24"/>
          <w:u w:val="single"/>
          <w:lang w:val="en-US" w:eastAsia="zh-CN"/>
        </w:rPr>
        <w:t>项目</w:t>
      </w:r>
      <w:r>
        <w:rPr>
          <w:rFonts w:hint="default" w:ascii="Times New Roman" w:hAnsi="Times New Roman" w:cs="Times New Roman"/>
          <w:color w:val="FF0000"/>
          <w:sz w:val="24"/>
          <w:szCs w:val="24"/>
          <w:u w:val="single"/>
          <w:lang w:val="zh-CN"/>
        </w:rPr>
        <w:t>引桥接岸部分基础为灌注桩。计划投入2台GPS10回旋钻机钻孔，泥浆护壁，反循环清孔；钢筋笼在现场钢筋加工区制作，平板车运到现场，25t汽车吊安放；导管法浇注水下混凝土。</w:t>
      </w:r>
    </w:p>
    <w:p>
      <w:pPr>
        <w:adjustRightInd w:val="0"/>
        <w:snapToGrid w:val="0"/>
        <w:spacing w:line="360" w:lineRule="auto"/>
        <w:ind w:firstLine="482" w:firstLineChars="200"/>
        <w:rPr>
          <w:rFonts w:hint="default" w:ascii="Times New Roman" w:hAnsi="Times New Roman" w:cs="Times New Roman"/>
          <w:b/>
          <w:bCs/>
          <w:color w:val="FF0000"/>
          <w:sz w:val="24"/>
          <w:szCs w:val="24"/>
          <w:u w:val="single"/>
          <w:lang w:val="zh-CN"/>
        </w:rPr>
      </w:pPr>
      <w:r>
        <w:rPr>
          <w:rFonts w:hint="eastAsia" w:ascii="Times New Roman" w:hAnsi="Times New Roman" w:cs="Times New Roman"/>
          <w:b/>
          <w:bCs/>
          <w:color w:val="FF0000"/>
          <w:sz w:val="24"/>
          <w:szCs w:val="24"/>
          <w:u w:val="single"/>
          <w:lang w:val="en-US" w:eastAsia="zh-CN"/>
        </w:rPr>
        <w:t>6</w:t>
      </w:r>
      <w:r>
        <w:rPr>
          <w:rFonts w:hint="default" w:ascii="Times New Roman" w:hAnsi="Times New Roman" w:cs="Times New Roman"/>
          <w:b/>
          <w:bCs/>
          <w:color w:val="FF0000"/>
          <w:sz w:val="24"/>
          <w:szCs w:val="24"/>
          <w:u w:val="single"/>
          <w:lang w:val="en-US" w:eastAsia="zh-CN"/>
        </w:rPr>
        <w:t>、</w:t>
      </w:r>
      <w:r>
        <w:rPr>
          <w:rFonts w:hint="default" w:ascii="Times New Roman" w:hAnsi="Times New Roman" w:cs="Times New Roman"/>
          <w:b/>
          <w:bCs/>
          <w:color w:val="FF0000"/>
          <w:sz w:val="24"/>
          <w:szCs w:val="24"/>
          <w:u w:val="single"/>
          <w:lang w:val="zh-CN"/>
        </w:rPr>
        <w:t>承台施工</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沉桩完成后，根据承台底标高要求安装钢抱箍作为承台底模承重牛腿，抱箍牛腿上架设45a工字钢作为承重主梁，次梁为16a工字钢间隔0.5m布置，再在其上间隔0.3m铺设10cm×10cm木方，然后满铺竹胶板底模。在铺好底模后在其上绑扎承台钢筋，支侧模（采用定型钢模板）。混凝土浇筑采用拖泵泵送入模，分层浇筑，搭设临时钢栈桥作为泵管通道。承重型钢及下料好的钢筋由临时码头通过驳船运输至前方，浮吊安装或者吊上平台。</w:t>
      </w:r>
    </w:p>
    <w:p>
      <w:pPr>
        <w:adjustRightInd w:val="0"/>
        <w:snapToGrid w:val="0"/>
        <w:spacing w:line="360" w:lineRule="auto"/>
        <w:ind w:firstLine="482" w:firstLineChars="200"/>
        <w:rPr>
          <w:rFonts w:hint="default" w:ascii="Times New Roman" w:hAnsi="Times New Roman" w:cs="Times New Roman"/>
          <w:color w:val="FF0000"/>
          <w:sz w:val="24"/>
          <w:szCs w:val="24"/>
          <w:u w:val="single"/>
          <w:lang w:val="zh-CN"/>
        </w:rPr>
      </w:pPr>
      <w:r>
        <w:rPr>
          <w:rFonts w:hint="eastAsia" w:ascii="Times New Roman" w:hAnsi="Times New Roman" w:cs="Times New Roman"/>
          <w:b/>
          <w:bCs/>
          <w:color w:val="FF0000"/>
          <w:sz w:val="24"/>
          <w:szCs w:val="24"/>
          <w:u w:val="single"/>
          <w:lang w:val="en-US" w:eastAsia="zh-CN"/>
        </w:rPr>
        <w:t>7</w:t>
      </w:r>
      <w:r>
        <w:rPr>
          <w:rFonts w:hint="default" w:ascii="Times New Roman" w:hAnsi="Times New Roman" w:cs="Times New Roman"/>
          <w:b/>
          <w:bCs/>
          <w:color w:val="FF0000"/>
          <w:sz w:val="24"/>
          <w:szCs w:val="24"/>
          <w:u w:val="single"/>
          <w:lang w:val="en-US" w:eastAsia="zh-CN"/>
        </w:rPr>
        <w:t>、</w:t>
      </w:r>
      <w:r>
        <w:rPr>
          <w:rFonts w:hint="default" w:ascii="Times New Roman" w:hAnsi="Times New Roman" w:cs="Times New Roman"/>
          <w:b/>
          <w:bCs/>
          <w:color w:val="FF0000"/>
          <w:sz w:val="24"/>
          <w:szCs w:val="24"/>
          <w:u w:val="single"/>
          <w:lang w:val="zh-CN"/>
        </w:rPr>
        <w:t>框架及上承台施工</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各墩台底部承台施工完成后搭设脚手架施工框架柱与联系梁，脚手架同时作为联系梁底模承重支架以及顶部平台底模满堂支架，框架采用木模，顶部平台侧模采用定型钢模板。混凝土同样采用拖泵接泵管由搭设的临时泵管通道泵送入模，每层框架立柱与联系梁为一个混凝土浇筑批，顶部平台可根据现场情况分层浇筑。</w:t>
      </w:r>
    </w:p>
    <w:p>
      <w:pPr>
        <w:adjustRightInd w:val="0"/>
        <w:snapToGrid w:val="0"/>
        <w:spacing w:line="360" w:lineRule="auto"/>
        <w:ind w:firstLine="482" w:firstLineChars="200"/>
        <w:rPr>
          <w:rFonts w:hint="default" w:ascii="Times New Roman" w:hAnsi="Times New Roman" w:cs="Times New Roman"/>
          <w:color w:val="FF0000"/>
          <w:sz w:val="24"/>
          <w:szCs w:val="24"/>
          <w:u w:val="single"/>
          <w:lang w:val="zh-CN"/>
        </w:rPr>
      </w:pPr>
      <w:r>
        <w:rPr>
          <w:rFonts w:hint="eastAsia" w:ascii="Times New Roman" w:hAnsi="Times New Roman" w:cs="Times New Roman"/>
          <w:b/>
          <w:bCs/>
          <w:color w:val="FF0000"/>
          <w:sz w:val="24"/>
          <w:szCs w:val="24"/>
          <w:u w:val="single"/>
          <w:lang w:val="en-US" w:eastAsia="zh-CN"/>
        </w:rPr>
        <w:t>8</w:t>
      </w:r>
      <w:r>
        <w:rPr>
          <w:rFonts w:hint="default" w:ascii="Times New Roman" w:hAnsi="Times New Roman" w:cs="Times New Roman"/>
          <w:b/>
          <w:bCs/>
          <w:color w:val="FF0000"/>
          <w:sz w:val="24"/>
          <w:szCs w:val="24"/>
          <w:u w:val="single"/>
          <w:lang w:val="en-US" w:eastAsia="zh-CN"/>
        </w:rPr>
        <w:t>、</w:t>
      </w:r>
      <w:r>
        <w:rPr>
          <w:rFonts w:hint="default" w:ascii="Times New Roman" w:hAnsi="Times New Roman" w:cs="Times New Roman"/>
          <w:b/>
          <w:bCs/>
          <w:color w:val="FF0000"/>
          <w:sz w:val="24"/>
          <w:szCs w:val="24"/>
          <w:u w:val="single"/>
          <w:lang w:val="zh-CN"/>
        </w:rPr>
        <w:t>码头附属设施安装</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橡胶护舷、系船柱通过水上运输前沿，船吊进行水上吊装；钢爬梯材料在陆上加工厂下好料，通过引桥平台或者水上运输至安装点，进行现场焊接安装。</w:t>
      </w:r>
    </w:p>
    <w:p>
      <w:pPr>
        <w:adjustRightInd w:val="0"/>
        <w:snapToGrid w:val="0"/>
        <w:spacing w:line="360" w:lineRule="auto"/>
        <w:ind w:firstLine="482" w:firstLineChars="200"/>
        <w:rPr>
          <w:rFonts w:hint="default" w:ascii="Times New Roman" w:hAnsi="Times New Roman" w:cs="Times New Roman"/>
          <w:b/>
          <w:bCs/>
          <w:color w:val="FF0000"/>
          <w:sz w:val="24"/>
          <w:szCs w:val="24"/>
          <w:u w:val="single"/>
          <w:lang w:val="zh-CN"/>
        </w:rPr>
      </w:pPr>
      <w:r>
        <w:rPr>
          <w:rFonts w:hint="eastAsia" w:ascii="Times New Roman" w:hAnsi="Times New Roman" w:cs="Times New Roman"/>
          <w:b/>
          <w:bCs/>
          <w:color w:val="FF0000"/>
          <w:sz w:val="24"/>
          <w:szCs w:val="24"/>
          <w:u w:val="single"/>
          <w:lang w:val="en-US" w:eastAsia="zh-CN"/>
        </w:rPr>
        <w:t>9</w:t>
      </w:r>
      <w:r>
        <w:rPr>
          <w:rFonts w:hint="default" w:ascii="Times New Roman" w:hAnsi="Times New Roman" w:cs="Times New Roman"/>
          <w:b/>
          <w:bCs/>
          <w:color w:val="FF0000"/>
          <w:sz w:val="24"/>
          <w:szCs w:val="24"/>
          <w:u w:val="single"/>
          <w:lang w:val="en-US" w:eastAsia="zh-CN"/>
        </w:rPr>
        <w:t>、</w:t>
      </w:r>
      <w:r>
        <w:rPr>
          <w:rFonts w:hint="eastAsia" w:ascii="Times New Roman" w:hAnsi="Times New Roman" w:cs="Times New Roman"/>
          <w:b/>
          <w:bCs/>
          <w:color w:val="FF0000"/>
          <w:sz w:val="24"/>
          <w:szCs w:val="24"/>
          <w:u w:val="single"/>
          <w:lang w:val="zh-CN"/>
        </w:rPr>
        <w:t>钢引</w:t>
      </w:r>
      <w:r>
        <w:rPr>
          <w:rFonts w:hint="default" w:ascii="Times New Roman" w:hAnsi="Times New Roman" w:cs="Times New Roman"/>
          <w:b/>
          <w:bCs/>
          <w:color w:val="FF0000"/>
          <w:sz w:val="24"/>
          <w:szCs w:val="24"/>
          <w:u w:val="single"/>
          <w:lang w:val="zh-CN"/>
        </w:rPr>
        <w:t>桥安装</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在陆上钢结构制作区完成整体拼装及节点防腐，通过炮车运输至临时码头，浮吊吊上驳船运输至安装区域，整体吊装就位。</w:t>
      </w:r>
    </w:p>
    <w:p>
      <w:pPr>
        <w:adjustRightInd w:val="0"/>
        <w:snapToGrid w:val="0"/>
        <w:spacing w:line="360" w:lineRule="auto"/>
        <w:ind w:firstLine="482" w:firstLineChars="200"/>
        <w:rPr>
          <w:rFonts w:hint="default" w:ascii="Times New Roman" w:hAnsi="Times New Roman" w:cs="Times New Roman"/>
          <w:b/>
          <w:bCs/>
          <w:color w:val="FF0000"/>
          <w:sz w:val="24"/>
          <w:szCs w:val="24"/>
          <w:u w:val="single"/>
          <w:lang w:val="zh-CN"/>
        </w:rPr>
      </w:pPr>
      <w:r>
        <w:rPr>
          <w:rFonts w:hint="eastAsia" w:ascii="Times New Roman" w:hAnsi="Times New Roman" w:cs="Times New Roman"/>
          <w:b/>
          <w:bCs/>
          <w:color w:val="FF0000"/>
          <w:sz w:val="24"/>
          <w:szCs w:val="24"/>
          <w:u w:val="single"/>
          <w:lang w:val="en-US" w:eastAsia="zh-CN"/>
        </w:rPr>
        <w:t>10</w:t>
      </w:r>
      <w:r>
        <w:rPr>
          <w:rFonts w:hint="default" w:ascii="Times New Roman" w:hAnsi="Times New Roman" w:cs="Times New Roman"/>
          <w:b/>
          <w:bCs/>
          <w:color w:val="FF0000"/>
          <w:sz w:val="24"/>
          <w:szCs w:val="24"/>
          <w:u w:val="single"/>
          <w:lang w:val="en-US" w:eastAsia="zh-CN"/>
        </w:rPr>
        <w:t>、</w:t>
      </w:r>
      <w:r>
        <w:rPr>
          <w:rFonts w:hint="default" w:ascii="Times New Roman" w:hAnsi="Times New Roman" w:cs="Times New Roman"/>
          <w:b/>
          <w:bCs/>
          <w:color w:val="FF0000"/>
          <w:sz w:val="24"/>
          <w:szCs w:val="24"/>
          <w:u w:val="single"/>
          <w:lang w:val="zh-CN"/>
        </w:rPr>
        <w:t>上部安装工程</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工艺设备、给排水、消防、控制、通信等上部安装工程施工待水工结构基本完成后分别进行施工，采购的成套设备或者施工材料经进场验收合格后运至安装现场，按规范进行安装与调试。</w:t>
      </w:r>
    </w:p>
    <w:p>
      <w:pPr>
        <w:pStyle w:val="4"/>
        <w:ind w:left="578" w:hanging="578"/>
        <w:rPr>
          <w:rFonts w:hint="default" w:ascii="Times New Roman" w:hAnsi="Times New Roman" w:cs="Times New Roman" w:eastAsiaTheme="minorEastAsia"/>
          <w:lang w:val="zh-CN" w:eastAsia="zh-CN"/>
        </w:rPr>
      </w:pPr>
      <w:r>
        <w:rPr>
          <w:rFonts w:hint="default" w:ascii="Times New Roman" w:hAnsi="Times New Roman" w:cs="Times New Roman" w:eastAsiaTheme="minorEastAsia"/>
          <w:lang w:val="zh-CN" w:eastAsia="zh-CN"/>
        </w:rPr>
        <w:t>总体施工工艺流程</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总体施工工艺流程见下图。</w:t>
      </w:r>
    </w:p>
    <w:p>
      <w:pPr>
        <w:pStyle w:val="325"/>
        <w:tabs>
          <w:tab w:val="right" w:leader="dot" w:pos="9070"/>
        </w:tabs>
        <w:adjustRightInd w:val="0"/>
        <w:snapToGrid w:val="0"/>
        <w:spacing w:line="360" w:lineRule="auto"/>
        <w:jc w:val="both"/>
        <w:rPr>
          <w:rFonts w:hint="eastAsia" w:eastAsia="宋体"/>
          <w:sz w:val="24"/>
          <w:lang w:eastAsia="zh-CN"/>
        </w:rPr>
      </w:pPr>
      <w:r>
        <w:rPr>
          <w:rFonts w:hint="eastAsia" w:eastAsia="宋体"/>
          <w:sz w:val="24"/>
          <w:lang w:eastAsia="zh-CN"/>
        </w:rPr>
        <w:drawing>
          <wp:inline distT="0" distB="0" distL="114300" distR="114300">
            <wp:extent cx="5759450" cy="4441825"/>
            <wp:effectExtent l="0" t="0" r="12700" b="15875"/>
            <wp:docPr id="18" name="图片 18" descr="[Z~O3BRDB8SE70TW252U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Z~O3BRDB8SE70TW252U_(5"/>
                    <pic:cNvPicPr>
                      <a:picLocks noChangeAspect="1"/>
                    </pic:cNvPicPr>
                  </pic:nvPicPr>
                  <pic:blipFill>
                    <a:blip r:embed="rId29"/>
                    <a:stretch>
                      <a:fillRect/>
                    </a:stretch>
                  </pic:blipFill>
                  <pic:spPr>
                    <a:xfrm>
                      <a:off x="0" y="0"/>
                      <a:ext cx="5759450" cy="4441825"/>
                    </a:xfrm>
                    <a:prstGeom prst="rect">
                      <a:avLst/>
                    </a:prstGeom>
                  </pic:spPr>
                </pic:pic>
              </a:graphicData>
            </a:graphic>
          </wp:inline>
        </w:drawing>
      </w:r>
    </w:p>
    <w:p>
      <w:pPr>
        <w:pStyle w:val="325"/>
        <w:tabs>
          <w:tab w:val="right" w:leader="dot" w:pos="9070"/>
        </w:tabs>
        <w:adjustRightInd w:val="0"/>
        <w:snapToGrid w:val="0"/>
        <w:spacing w:line="360" w:lineRule="auto"/>
        <w:jc w:val="center"/>
        <w:rPr>
          <w:sz w:val="24"/>
        </w:rPr>
      </w:pPr>
      <w:r>
        <w:rPr>
          <w:rFonts w:hint="default" w:ascii="Times New Roman" w:hAnsi="Times New Roman" w:eastAsia="宋体" w:cs="Times New Roman"/>
          <w:b/>
          <w:bCs/>
          <w:color w:val="FF0000"/>
          <w:sz w:val="24"/>
          <w:szCs w:val="24"/>
          <w:u w:val="single"/>
        </w:rPr>
        <w:t>图</w:t>
      </w:r>
      <w:r>
        <w:rPr>
          <w:rFonts w:hint="default" w:ascii="Times New Roman" w:hAnsi="Times New Roman" w:eastAsia="宋体" w:cs="Times New Roman"/>
          <w:b/>
          <w:bCs/>
          <w:color w:val="FF0000"/>
          <w:sz w:val="24"/>
          <w:szCs w:val="24"/>
          <w:u w:val="single"/>
          <w:lang w:val="en-US" w:eastAsia="zh-CN"/>
        </w:rPr>
        <w:t>3.</w:t>
      </w:r>
      <w:r>
        <w:rPr>
          <w:rFonts w:hint="eastAsia" w:cs="Times New Roman"/>
          <w:b/>
          <w:bCs/>
          <w:color w:val="FF0000"/>
          <w:sz w:val="24"/>
          <w:szCs w:val="24"/>
          <w:u w:val="single"/>
          <w:lang w:val="en-US" w:eastAsia="zh-CN"/>
        </w:rPr>
        <w:t>3</w:t>
      </w:r>
      <w:r>
        <w:rPr>
          <w:rFonts w:hint="default" w:ascii="Times New Roman" w:hAnsi="Times New Roman" w:eastAsia="宋体" w:cs="Times New Roman"/>
          <w:b/>
          <w:bCs/>
          <w:color w:val="FF0000"/>
          <w:sz w:val="24"/>
          <w:szCs w:val="24"/>
          <w:u w:val="single"/>
          <w:lang w:val="en-US" w:eastAsia="zh-CN"/>
        </w:rPr>
        <w:t xml:space="preserve">-1 </w:t>
      </w:r>
      <w:r>
        <w:rPr>
          <w:rFonts w:hint="default" w:ascii="Times New Roman" w:hAnsi="Times New Roman" w:eastAsia="宋体" w:cs="Times New Roman"/>
          <w:b/>
          <w:bCs/>
          <w:color w:val="FF0000"/>
          <w:sz w:val="24"/>
          <w:szCs w:val="24"/>
          <w:u w:val="single"/>
        </w:rPr>
        <w:t xml:space="preserve"> 总体施工工艺流程图</w:t>
      </w:r>
    </w:p>
    <w:p>
      <w:pPr>
        <w:pStyle w:val="4"/>
        <w:ind w:left="578" w:hanging="578"/>
        <w:rPr>
          <w:rFonts w:hint="default" w:ascii="Times New Roman" w:hAnsi="Times New Roman" w:cs="Times New Roman" w:eastAsiaTheme="minorEastAsia"/>
          <w:lang w:val="zh-CN" w:eastAsia="zh-CN"/>
        </w:rPr>
      </w:pPr>
      <w:r>
        <w:rPr>
          <w:rFonts w:hint="default" w:ascii="Times New Roman" w:hAnsi="Times New Roman" w:cs="Times New Roman" w:eastAsiaTheme="minorEastAsia"/>
          <w:lang w:val="zh-CN" w:eastAsia="zh-CN"/>
        </w:rPr>
        <w:t>主要项目施工方法</w:t>
      </w:r>
    </w:p>
    <w:p>
      <w:pPr>
        <w:pStyle w:val="5"/>
        <w:ind w:left="578" w:hanging="578"/>
        <w:rPr>
          <w:rFonts w:hint="default" w:ascii="Times New Roman" w:hAnsi="Times New Roman" w:cs="Times New Roman" w:eastAsiaTheme="minorEastAsia"/>
          <w:lang w:val="zh-CN"/>
        </w:rPr>
      </w:pPr>
      <w:r>
        <w:rPr>
          <w:rFonts w:hint="default" w:ascii="Times New Roman" w:hAnsi="Times New Roman" w:cs="Times New Roman" w:eastAsiaTheme="minorEastAsia"/>
          <w:lang w:val="zh-CN"/>
        </w:rPr>
        <w:t>桩基施工</w:t>
      </w:r>
    </w:p>
    <w:p>
      <w:pPr>
        <w:adjustRightInd w:val="0"/>
        <w:snapToGrid w:val="0"/>
        <w:spacing w:line="360" w:lineRule="auto"/>
        <w:ind w:firstLine="482" w:firstLineChars="200"/>
        <w:rPr>
          <w:rFonts w:hint="default" w:ascii="Times New Roman" w:hAnsi="Times New Roman" w:cs="Times New Roman"/>
          <w:b/>
          <w:bCs/>
          <w:color w:val="FF0000"/>
          <w:sz w:val="24"/>
          <w:szCs w:val="24"/>
          <w:u w:val="single"/>
          <w:lang w:val="zh-CN"/>
        </w:rPr>
      </w:pPr>
      <w:r>
        <w:rPr>
          <w:rFonts w:hint="default" w:ascii="Times New Roman" w:hAnsi="Times New Roman" w:cs="Times New Roman"/>
          <w:b/>
          <w:bCs/>
          <w:color w:val="FF0000"/>
          <w:sz w:val="24"/>
          <w:szCs w:val="24"/>
          <w:u w:val="single"/>
          <w:lang w:val="en-US" w:eastAsia="zh-CN"/>
        </w:rPr>
        <w:t>1、</w:t>
      </w:r>
      <w:r>
        <w:rPr>
          <w:rFonts w:hint="default" w:ascii="Times New Roman" w:hAnsi="Times New Roman" w:cs="Times New Roman"/>
          <w:b/>
          <w:bCs/>
          <w:color w:val="FF0000"/>
          <w:sz w:val="24"/>
          <w:szCs w:val="24"/>
          <w:u w:val="single"/>
          <w:lang w:val="zh-CN"/>
        </w:rPr>
        <w:t>预制管桩施工</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en-US" w:eastAsia="zh-CN"/>
        </w:rPr>
        <w:t xml:space="preserve">⑴ </w:t>
      </w:r>
      <w:r>
        <w:rPr>
          <w:rFonts w:hint="default" w:ascii="Times New Roman" w:hAnsi="Times New Roman" w:cs="Times New Roman"/>
          <w:color w:val="FF0000"/>
          <w:sz w:val="24"/>
          <w:szCs w:val="24"/>
          <w:u w:val="single"/>
          <w:lang w:val="zh-CN"/>
        </w:rPr>
        <w:t>制桩</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钢管桩、PHC桩分别在专业管桩预制厂生产，整桩预制，通过桩厂码头装船，水路运输至施工现场。</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制桩、防腐严格按照设计要求及《港口工程桩基规范》（JTS167-4-2012）执行。桩在场内的吊运、堆存、运输应符合设计及规范要求，管桩生产过程派专人驻厂监督，并邀请项目</w:t>
      </w:r>
      <w:r>
        <w:rPr>
          <w:rFonts w:hint="default" w:ascii="Times New Roman" w:hAnsi="Times New Roman" w:cs="Times New Roman"/>
          <w:color w:val="FF0000"/>
          <w:sz w:val="24"/>
          <w:szCs w:val="24"/>
          <w:u w:val="single"/>
          <w:lang w:val="en-US" w:eastAsia="zh-CN"/>
        </w:rPr>
        <w:t>建设单位或</w:t>
      </w:r>
      <w:r>
        <w:rPr>
          <w:rFonts w:hint="default" w:ascii="Times New Roman" w:hAnsi="Times New Roman" w:cs="Times New Roman"/>
          <w:color w:val="FF0000"/>
          <w:sz w:val="24"/>
          <w:szCs w:val="24"/>
          <w:u w:val="single"/>
          <w:lang w:val="zh-CN"/>
        </w:rPr>
        <w:t>监理工程师进行检查。</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en-US" w:eastAsia="zh-CN"/>
        </w:rPr>
        <w:t xml:space="preserve">⑵ </w:t>
      </w:r>
      <w:r>
        <w:rPr>
          <w:rFonts w:hint="default" w:ascii="Times New Roman" w:hAnsi="Times New Roman" w:cs="Times New Roman"/>
          <w:color w:val="FF0000"/>
          <w:sz w:val="24"/>
          <w:szCs w:val="24"/>
          <w:u w:val="single"/>
          <w:lang w:val="zh-CN"/>
        </w:rPr>
        <w:t>运输</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钢管桩计划根据沉桩进度分两个船次船运至现场，PHC桩也计划分两个船次运输至现场。</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管桩装卸、运输过程中采取措施注意保护涂层、外表不被损坏，若有损坏，则应按照设计、规范要求采取补涂、修补措施。管桩装船应根据现场沉桩顺序进行，船上堆放时按照设计、规范要求做好分层支垫，方便打桩时起吊；船上堆放应稳定，运输起航前采取加固措施，防止在运输过程中倒塌。</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en-US" w:eastAsia="zh-CN"/>
        </w:rPr>
        <w:t xml:space="preserve">⑶ </w:t>
      </w:r>
      <w:r>
        <w:rPr>
          <w:rFonts w:hint="default" w:ascii="Times New Roman" w:hAnsi="Times New Roman" w:cs="Times New Roman"/>
          <w:color w:val="FF0000"/>
          <w:sz w:val="24"/>
          <w:szCs w:val="24"/>
          <w:u w:val="single"/>
          <w:lang w:val="zh-CN"/>
        </w:rPr>
        <w:t>水上沉桩</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①</w:t>
      </w:r>
      <w:r>
        <w:rPr>
          <w:rFonts w:hint="default" w:ascii="Times New Roman" w:hAnsi="Times New Roman" w:cs="Times New Roman"/>
          <w:color w:val="FF0000"/>
          <w:sz w:val="24"/>
          <w:szCs w:val="24"/>
          <w:u w:val="single"/>
          <w:lang w:val="en-US" w:eastAsia="zh-CN"/>
        </w:rPr>
        <w:t xml:space="preserve"> </w:t>
      </w:r>
      <w:r>
        <w:rPr>
          <w:rFonts w:hint="default" w:ascii="Times New Roman" w:hAnsi="Times New Roman" w:cs="Times New Roman"/>
          <w:color w:val="FF0000"/>
          <w:sz w:val="24"/>
          <w:szCs w:val="24"/>
          <w:u w:val="single"/>
          <w:lang w:val="zh-CN"/>
        </w:rPr>
        <w:t>水上沉桩工艺流程</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水上钢管桩、PHC桩沉桩工艺流程如下：</w:t>
      </w:r>
    </w:p>
    <w:p>
      <w:pPr>
        <w:adjustRightInd w:val="0"/>
        <w:snapToGrid w:val="0"/>
        <w:spacing w:line="360" w:lineRule="auto"/>
        <w:jc w:val="center"/>
        <w:rPr>
          <w:rFonts w:hint="default" w:ascii="Times New Roman" w:hAnsi="Times New Roman" w:cs="Times New Roman"/>
          <w:color w:val="FF0000"/>
          <w:sz w:val="24"/>
          <w:szCs w:val="24"/>
          <w:u w:val="single"/>
          <w:lang w:val="zh-CN"/>
        </w:rPr>
      </w:pPr>
      <w:r>
        <w:rPr>
          <w:rFonts w:hint="default" w:ascii="Times New Roman" w:hAnsi="Times New Roman" w:cs="Times New Roman"/>
        </w:rPr>
        <w:drawing>
          <wp:inline distT="0" distB="0" distL="114300" distR="114300">
            <wp:extent cx="5196840" cy="4318635"/>
            <wp:effectExtent l="0" t="0" r="381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0"/>
                    <a:stretch>
                      <a:fillRect/>
                    </a:stretch>
                  </pic:blipFill>
                  <pic:spPr>
                    <a:xfrm>
                      <a:off x="0" y="0"/>
                      <a:ext cx="5196840" cy="43186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jc w:val="center"/>
        <w:textAlignment w:val="auto"/>
        <w:rPr>
          <w:rFonts w:hint="default" w:ascii="Times New Roman" w:hAnsi="Times New Roman" w:eastAsia="宋体" w:cs="Times New Roman"/>
          <w:b/>
          <w:bCs/>
          <w:color w:val="FF0000"/>
          <w:sz w:val="24"/>
          <w:szCs w:val="24"/>
          <w:u w:val="single"/>
        </w:rPr>
      </w:pPr>
      <w:r>
        <w:rPr>
          <w:rFonts w:hint="default" w:ascii="Times New Roman" w:hAnsi="Times New Roman" w:eastAsia="宋体" w:cs="Times New Roman"/>
          <w:b/>
          <w:bCs/>
          <w:color w:val="FF0000"/>
          <w:sz w:val="24"/>
          <w:szCs w:val="24"/>
          <w:u w:val="single"/>
        </w:rPr>
        <w:t>图</w:t>
      </w:r>
      <w:r>
        <w:rPr>
          <w:rFonts w:hint="default" w:ascii="Times New Roman" w:hAnsi="Times New Roman" w:cs="Times New Roman"/>
          <w:b/>
          <w:bCs/>
          <w:color w:val="FF0000"/>
          <w:sz w:val="24"/>
          <w:szCs w:val="24"/>
          <w:u w:val="single"/>
          <w:lang w:val="en-US" w:eastAsia="zh-CN"/>
        </w:rPr>
        <w:t>3.</w:t>
      </w:r>
      <w:r>
        <w:rPr>
          <w:rFonts w:hint="eastAsia" w:ascii="Times New Roman" w:hAnsi="Times New Roman" w:cs="Times New Roman"/>
          <w:b/>
          <w:bCs/>
          <w:color w:val="FF0000"/>
          <w:sz w:val="24"/>
          <w:szCs w:val="24"/>
          <w:u w:val="single"/>
          <w:lang w:val="en-US" w:eastAsia="zh-CN"/>
        </w:rPr>
        <w:t>3</w:t>
      </w:r>
      <w:r>
        <w:rPr>
          <w:rFonts w:hint="default" w:ascii="Times New Roman" w:hAnsi="Times New Roman" w:cs="Times New Roman"/>
          <w:b/>
          <w:bCs/>
          <w:color w:val="FF0000"/>
          <w:sz w:val="24"/>
          <w:szCs w:val="24"/>
          <w:u w:val="single"/>
          <w:lang w:val="en-US" w:eastAsia="zh-CN"/>
        </w:rPr>
        <w:t xml:space="preserve">-2 </w:t>
      </w:r>
      <w:r>
        <w:rPr>
          <w:rFonts w:hint="default" w:ascii="Times New Roman" w:hAnsi="Times New Roman" w:eastAsia="宋体" w:cs="Times New Roman"/>
          <w:b/>
          <w:bCs/>
          <w:color w:val="FF0000"/>
          <w:sz w:val="24"/>
          <w:szCs w:val="24"/>
          <w:u w:val="single"/>
        </w:rPr>
        <w:t xml:space="preserve"> 水上沉桩工艺流程图</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②</w:t>
      </w:r>
      <w:r>
        <w:rPr>
          <w:rFonts w:hint="default" w:ascii="Times New Roman" w:hAnsi="Times New Roman" w:cs="Times New Roman"/>
          <w:color w:val="FF0000"/>
          <w:sz w:val="24"/>
          <w:szCs w:val="24"/>
          <w:u w:val="single"/>
          <w:lang w:val="en-US" w:eastAsia="zh-CN"/>
        </w:rPr>
        <w:t xml:space="preserve"> </w:t>
      </w:r>
      <w:r>
        <w:rPr>
          <w:rFonts w:hint="default" w:ascii="Times New Roman" w:hAnsi="Times New Roman" w:cs="Times New Roman"/>
          <w:color w:val="FF0000"/>
          <w:sz w:val="24"/>
          <w:szCs w:val="24"/>
          <w:u w:val="single"/>
          <w:lang w:val="zh-CN"/>
        </w:rPr>
        <w:t>打桩船设备配置</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根据本</w:t>
      </w:r>
      <w:r>
        <w:rPr>
          <w:rFonts w:hint="default" w:ascii="Times New Roman" w:hAnsi="Times New Roman" w:cs="Times New Roman"/>
          <w:color w:val="FF0000"/>
          <w:sz w:val="24"/>
          <w:szCs w:val="24"/>
          <w:u w:val="single"/>
          <w:lang w:val="en-US" w:eastAsia="zh-CN"/>
        </w:rPr>
        <w:t>项目</w:t>
      </w:r>
      <w:r>
        <w:rPr>
          <w:rFonts w:hint="default" w:ascii="Times New Roman" w:hAnsi="Times New Roman" w:cs="Times New Roman"/>
          <w:color w:val="FF0000"/>
          <w:sz w:val="24"/>
          <w:szCs w:val="24"/>
          <w:u w:val="single"/>
          <w:lang w:val="zh-CN"/>
        </w:rPr>
        <w:t>的桩基桩身长度和现场施工条件以及设计要求选用性能良好的打桩船配D-138柴油锤沉桩，采用重锤轻打。</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③</w:t>
      </w:r>
      <w:r>
        <w:rPr>
          <w:rFonts w:hint="default" w:ascii="Times New Roman" w:hAnsi="Times New Roman" w:cs="Times New Roman"/>
          <w:color w:val="FF0000"/>
          <w:sz w:val="24"/>
          <w:szCs w:val="24"/>
          <w:u w:val="single"/>
          <w:lang w:val="en-US" w:eastAsia="zh-CN"/>
        </w:rPr>
        <w:t xml:space="preserve"> </w:t>
      </w:r>
      <w:r>
        <w:rPr>
          <w:rFonts w:hint="default" w:ascii="Times New Roman" w:hAnsi="Times New Roman" w:cs="Times New Roman"/>
          <w:color w:val="FF0000"/>
          <w:sz w:val="24"/>
          <w:szCs w:val="24"/>
          <w:u w:val="single"/>
          <w:lang w:val="zh-CN"/>
        </w:rPr>
        <w:t>水上沉桩施工方法</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en-US" w:eastAsia="zh-CN"/>
        </w:rPr>
        <w:t>A</w:t>
      </w:r>
      <w:r>
        <w:rPr>
          <w:rFonts w:hint="default" w:ascii="Times New Roman" w:hAnsi="Times New Roman" w:cs="Times New Roman"/>
          <w:color w:val="FF0000"/>
          <w:sz w:val="24"/>
          <w:szCs w:val="24"/>
          <w:u w:val="single"/>
          <w:lang w:val="zh-CN"/>
        </w:rPr>
        <w:t>、沉桩顺序</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水上沉桩先打靠近岸边的PHC桩、再打系靠船墩钢管桩。PHC桩沉桩顺序依次为：#</w:t>
      </w:r>
      <w:r>
        <w:rPr>
          <w:rFonts w:hint="eastAsia" w:ascii="Times New Roman" w:hAnsi="Times New Roman" w:cs="Times New Roman"/>
          <w:color w:val="FF0000"/>
          <w:sz w:val="24"/>
          <w:szCs w:val="24"/>
          <w:u w:val="single"/>
          <w:lang w:val="en-US" w:eastAsia="zh-CN"/>
        </w:rPr>
        <w:t>2</w:t>
      </w:r>
      <w:r>
        <w:rPr>
          <w:rFonts w:hint="default" w:ascii="Times New Roman" w:hAnsi="Times New Roman" w:cs="Times New Roman"/>
          <w:color w:val="FF0000"/>
          <w:sz w:val="24"/>
          <w:szCs w:val="24"/>
          <w:u w:val="single"/>
          <w:lang w:val="zh-CN"/>
        </w:rPr>
        <w:t>泊位引桥前两排与转角平台PHC桩→</w:t>
      </w:r>
      <w:r>
        <w:rPr>
          <w:rFonts w:hint="eastAsia" w:ascii="Times New Roman" w:hAnsi="Times New Roman" w:cs="Times New Roman"/>
          <w:color w:val="FF0000"/>
          <w:sz w:val="24"/>
          <w:szCs w:val="24"/>
          <w:u w:val="single"/>
          <w:lang w:val="zh-CN"/>
        </w:rPr>
        <w:t>承台</w:t>
      </w:r>
      <w:r>
        <w:rPr>
          <w:rFonts w:hint="default" w:ascii="Times New Roman" w:hAnsi="Times New Roman" w:cs="Times New Roman"/>
          <w:color w:val="FF0000"/>
          <w:sz w:val="24"/>
          <w:szCs w:val="24"/>
          <w:u w:val="single"/>
          <w:lang w:val="zh-CN"/>
        </w:rPr>
        <w:t>PHC桩→固定联桥PHC桩；钢管桩沉桩顺序为：从最下游系缆墩往最上游系缆墩依次施打，过程中可以根据打桩船抛锚情况、现场工况、工期安排等适当调整沉桩顺序。</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en-US" w:eastAsia="zh-CN"/>
        </w:rPr>
        <w:t>B</w:t>
      </w:r>
      <w:r>
        <w:rPr>
          <w:rFonts w:hint="default" w:ascii="Times New Roman" w:hAnsi="Times New Roman" w:cs="Times New Roman"/>
          <w:color w:val="FF0000"/>
          <w:sz w:val="24"/>
          <w:szCs w:val="24"/>
          <w:u w:val="single"/>
          <w:lang w:val="zh-CN"/>
        </w:rPr>
        <w:t>、施工基线布置</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打桩主要采用GPS定位技术，直接可以计算贯入度和控制标高，陆上设置测量控制基线，全站仪、经纬仪、水准仪进行复测校核。</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en-US" w:eastAsia="zh-CN"/>
        </w:rPr>
        <w:t>C</w:t>
      </w:r>
      <w:r>
        <w:rPr>
          <w:rFonts w:hint="default" w:ascii="Times New Roman" w:hAnsi="Times New Roman" w:cs="Times New Roman"/>
          <w:color w:val="FF0000"/>
          <w:sz w:val="24"/>
          <w:szCs w:val="24"/>
          <w:u w:val="single"/>
          <w:lang w:val="zh-CN"/>
        </w:rPr>
        <w:t>、沉桩控制标准</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沉桩定位主要采用GPS定位系统来控制，沉桩控制标准须满足设计要求，沉桩以标高控制为主，贯入度作为校核。</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en-US" w:eastAsia="zh-CN"/>
        </w:rPr>
        <w:t>D</w:t>
      </w:r>
      <w:r>
        <w:rPr>
          <w:rFonts w:hint="default" w:ascii="Times New Roman" w:hAnsi="Times New Roman" w:cs="Times New Roman"/>
          <w:color w:val="FF0000"/>
          <w:sz w:val="24"/>
          <w:szCs w:val="24"/>
          <w:u w:val="single"/>
          <w:lang w:val="zh-CN"/>
        </w:rPr>
        <w:t>、沉桩定位</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打桩船带缆采用八字锚，以保证打桩船定位准确、方便。为提高工效，确保沉桩质量，心缆和边缆锚碇的布设宜尽可能减少桩船的带缆次数，每次带缆能兼顾到更多的桩数，节省时间，提高工效。</w:t>
      </w:r>
    </w:p>
    <w:p>
      <w:pPr>
        <w:adjustRightInd w:val="0"/>
        <w:snapToGrid w:val="0"/>
        <w:spacing w:line="360" w:lineRule="auto"/>
        <w:ind w:firstLine="482" w:firstLineChars="200"/>
        <w:rPr>
          <w:rFonts w:hint="default" w:ascii="Times New Roman" w:hAnsi="Times New Roman" w:cs="Times New Roman"/>
          <w:b/>
          <w:bCs/>
          <w:color w:val="FF0000"/>
          <w:sz w:val="24"/>
          <w:szCs w:val="24"/>
          <w:u w:val="single"/>
          <w:lang w:val="zh-CN"/>
        </w:rPr>
      </w:pPr>
      <w:r>
        <w:rPr>
          <w:rFonts w:hint="default" w:ascii="Times New Roman" w:hAnsi="Times New Roman" w:cs="Times New Roman"/>
          <w:b/>
          <w:bCs/>
          <w:color w:val="FF0000"/>
          <w:sz w:val="24"/>
          <w:szCs w:val="24"/>
          <w:u w:val="single"/>
          <w:lang w:val="en-US" w:eastAsia="zh-CN"/>
        </w:rPr>
        <w:t>2、</w:t>
      </w:r>
      <w:r>
        <w:rPr>
          <w:rFonts w:hint="default" w:ascii="Times New Roman" w:hAnsi="Times New Roman" w:cs="Times New Roman"/>
          <w:b/>
          <w:bCs/>
          <w:color w:val="FF0000"/>
          <w:sz w:val="24"/>
          <w:szCs w:val="24"/>
          <w:u w:val="single"/>
          <w:lang w:val="zh-CN"/>
        </w:rPr>
        <w:t>灌注桩施工</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施工期产生灌注桩桩基钻渣量约为0.05</w:t>
      </w:r>
      <w:r>
        <w:rPr>
          <w:rFonts w:hint="eastAsia" w:ascii="Times New Roman" w:hAnsi="Times New Roman" w:cs="Times New Roman"/>
          <w:color w:val="FF0000"/>
          <w:sz w:val="24"/>
          <w:szCs w:val="24"/>
          <w:u w:val="single"/>
          <w:lang w:val="en-US" w:eastAsia="zh-CN"/>
        </w:rPr>
        <w:t>5</w:t>
      </w:r>
      <w:r>
        <w:rPr>
          <w:rFonts w:hint="default" w:ascii="Times New Roman" w:hAnsi="Times New Roman" w:cs="Times New Roman"/>
          <w:color w:val="FF0000"/>
          <w:sz w:val="24"/>
          <w:szCs w:val="24"/>
          <w:u w:val="single"/>
          <w:lang w:val="zh-CN"/>
        </w:rPr>
        <w:t>万m</w:t>
      </w:r>
      <w:r>
        <w:rPr>
          <w:rFonts w:hint="default" w:ascii="Times New Roman" w:hAnsi="Times New Roman" w:cs="Times New Roman"/>
          <w:color w:val="FF0000"/>
          <w:sz w:val="24"/>
          <w:szCs w:val="24"/>
          <w:u w:val="single"/>
          <w:vertAlign w:val="superscript"/>
          <w:lang w:val="zh-CN"/>
        </w:rPr>
        <w:t>3</w:t>
      </w:r>
      <w:r>
        <w:rPr>
          <w:rFonts w:hint="default" w:ascii="Times New Roman" w:hAnsi="Times New Roman" w:cs="Times New Roman"/>
          <w:color w:val="FF0000"/>
          <w:sz w:val="24"/>
          <w:szCs w:val="24"/>
          <w:u w:val="single"/>
          <w:lang w:val="zh-CN"/>
        </w:rPr>
        <w:t>。</w:t>
      </w:r>
      <w:r>
        <w:rPr>
          <w:rFonts w:hint="default" w:ascii="Times New Roman" w:hAnsi="Times New Roman" w:cs="Times New Roman"/>
          <w:color w:val="FF0000"/>
          <w:sz w:val="24"/>
          <w:szCs w:val="24"/>
          <w:u w:val="single"/>
          <w:lang w:val="en-US" w:eastAsia="zh-CN"/>
        </w:rPr>
        <w:t>该</w:t>
      </w:r>
      <w:r>
        <w:rPr>
          <w:rFonts w:hint="default" w:ascii="Times New Roman" w:hAnsi="Times New Roman" w:cs="Times New Roman"/>
          <w:color w:val="FF0000"/>
          <w:sz w:val="24"/>
          <w:szCs w:val="24"/>
          <w:u w:val="single"/>
          <w:lang w:val="zh-CN" w:eastAsia="zh-CN"/>
        </w:rPr>
        <w:t>桩基</w:t>
      </w:r>
      <w:r>
        <w:rPr>
          <w:rFonts w:hint="default" w:ascii="Times New Roman" w:hAnsi="Times New Roman" w:cs="Times New Roman"/>
          <w:color w:val="FF0000"/>
          <w:sz w:val="24"/>
          <w:szCs w:val="24"/>
          <w:u w:val="single"/>
          <w:lang w:val="zh-CN"/>
        </w:rPr>
        <w:t>钻渣</w:t>
      </w:r>
      <w:r>
        <w:rPr>
          <w:rFonts w:hint="default" w:ascii="Times New Roman" w:hAnsi="Times New Roman" w:cs="Times New Roman"/>
          <w:color w:val="FF0000"/>
          <w:sz w:val="24"/>
          <w:szCs w:val="24"/>
          <w:u w:val="single"/>
          <w:lang w:val="en-US" w:eastAsia="zh-CN"/>
        </w:rPr>
        <w:t>托运至</w:t>
      </w:r>
      <w:r>
        <w:rPr>
          <w:rFonts w:hint="eastAsia" w:ascii="Times New Roman" w:hAnsi="Times New Roman" w:cs="Times New Roman"/>
          <w:color w:val="FF0000"/>
          <w:sz w:val="24"/>
          <w:szCs w:val="24"/>
          <w:u w:val="single"/>
          <w:lang w:val="en-US" w:eastAsia="zh-CN"/>
        </w:rPr>
        <w:t>后方临时</w:t>
      </w:r>
      <w:r>
        <w:rPr>
          <w:rFonts w:hint="default" w:ascii="Times New Roman" w:hAnsi="Times New Roman" w:cs="Times New Roman"/>
          <w:color w:val="FF0000"/>
          <w:sz w:val="24"/>
          <w:szCs w:val="24"/>
          <w:u w:val="single"/>
          <w:lang w:val="en-US" w:eastAsia="zh-CN"/>
        </w:rPr>
        <w:t>用地范围干化后，</w:t>
      </w:r>
      <w:r>
        <w:rPr>
          <w:rFonts w:hint="eastAsia" w:ascii="Times New Roman" w:hAnsi="Times New Roman" w:cs="Times New Roman"/>
          <w:color w:val="FF0000"/>
          <w:sz w:val="24"/>
          <w:szCs w:val="24"/>
          <w:u w:val="single"/>
          <w:lang w:val="en-US" w:eastAsia="zh-CN"/>
        </w:rPr>
        <w:t>交由环卫部门处理</w:t>
      </w:r>
      <w:r>
        <w:rPr>
          <w:rFonts w:hint="default" w:ascii="Times New Roman" w:hAnsi="Times New Roman" w:cs="Times New Roman"/>
          <w:color w:val="FF0000"/>
          <w:sz w:val="24"/>
          <w:szCs w:val="24"/>
          <w:u w:val="single"/>
          <w:lang w:val="zh-CN"/>
        </w:rPr>
        <w:t>。</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en-US" w:eastAsia="zh-CN"/>
        </w:rPr>
        <w:t xml:space="preserve">⑴ </w:t>
      </w:r>
      <w:r>
        <w:rPr>
          <w:rFonts w:hint="default" w:ascii="Times New Roman" w:hAnsi="Times New Roman" w:cs="Times New Roman"/>
          <w:color w:val="FF0000"/>
          <w:sz w:val="24"/>
          <w:szCs w:val="24"/>
          <w:u w:val="single"/>
          <w:lang w:val="zh-CN"/>
        </w:rPr>
        <w:t>施工工艺流程</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本</w:t>
      </w:r>
      <w:r>
        <w:rPr>
          <w:rFonts w:hint="default" w:ascii="Times New Roman" w:hAnsi="Times New Roman" w:cs="Times New Roman"/>
          <w:color w:val="FF0000"/>
          <w:sz w:val="24"/>
          <w:szCs w:val="24"/>
          <w:u w:val="single"/>
          <w:lang w:val="en-US" w:eastAsia="zh-CN"/>
        </w:rPr>
        <w:t>项目</w:t>
      </w:r>
      <w:r>
        <w:rPr>
          <w:rFonts w:hint="default" w:ascii="Times New Roman" w:hAnsi="Times New Roman" w:cs="Times New Roman"/>
          <w:color w:val="FF0000"/>
          <w:sz w:val="24"/>
          <w:szCs w:val="24"/>
          <w:u w:val="single"/>
          <w:lang w:val="zh-CN"/>
        </w:rPr>
        <w:t>灌注桩施工工艺流程如下：</w:t>
      </w:r>
    </w:p>
    <w:p>
      <w:pPr>
        <w:adjustRightInd w:val="0"/>
        <w:snapToGrid w:val="0"/>
        <w:spacing w:line="360" w:lineRule="auto"/>
        <w:rPr>
          <w:rFonts w:hint="default" w:ascii="Times New Roman" w:hAnsi="Times New Roman" w:cs="Times New Roman"/>
          <w:color w:val="FF0000"/>
          <w:sz w:val="24"/>
          <w:szCs w:val="24"/>
          <w:u w:val="single"/>
          <w:lang w:val="zh-CN"/>
        </w:rPr>
      </w:pPr>
      <w:r>
        <w:rPr>
          <w:rFonts w:hint="default" w:ascii="Times New Roman" w:hAnsi="Times New Roman" w:cs="Times New Roman"/>
        </w:rPr>
        <w:drawing>
          <wp:inline distT="0" distB="0" distL="114300" distR="114300">
            <wp:extent cx="5747385" cy="3230880"/>
            <wp:effectExtent l="0" t="0" r="5715"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1"/>
                    <a:stretch>
                      <a:fillRect/>
                    </a:stretch>
                  </pic:blipFill>
                  <pic:spPr>
                    <a:xfrm>
                      <a:off x="0" y="0"/>
                      <a:ext cx="5747385" cy="32308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jc w:val="center"/>
        <w:textAlignment w:val="auto"/>
        <w:rPr>
          <w:rFonts w:hint="default" w:ascii="Times New Roman" w:hAnsi="Times New Roman" w:eastAsia="宋体" w:cs="Times New Roman"/>
          <w:b/>
          <w:bCs/>
          <w:color w:val="FF0000"/>
          <w:sz w:val="24"/>
          <w:szCs w:val="24"/>
          <w:u w:val="single"/>
          <w:lang w:val="zh-CN"/>
        </w:rPr>
      </w:pPr>
      <w:r>
        <w:rPr>
          <w:rFonts w:hint="default" w:ascii="Times New Roman" w:hAnsi="Times New Roman" w:eastAsia="宋体" w:cs="Times New Roman"/>
          <w:b/>
          <w:bCs/>
          <w:color w:val="FF0000"/>
          <w:sz w:val="24"/>
          <w:szCs w:val="24"/>
          <w:u w:val="single"/>
          <w:lang w:val="zh-CN"/>
        </w:rPr>
        <w:t>图</w:t>
      </w:r>
      <w:r>
        <w:rPr>
          <w:rFonts w:hint="default" w:ascii="Times New Roman" w:hAnsi="Times New Roman" w:cs="Times New Roman"/>
          <w:b/>
          <w:bCs/>
          <w:color w:val="FF0000"/>
          <w:sz w:val="24"/>
          <w:szCs w:val="24"/>
          <w:u w:val="single"/>
          <w:lang w:val="en-US" w:eastAsia="zh-CN"/>
        </w:rPr>
        <w:t>3.</w:t>
      </w:r>
      <w:r>
        <w:rPr>
          <w:rFonts w:hint="eastAsia" w:ascii="Times New Roman" w:hAnsi="Times New Roman" w:cs="Times New Roman"/>
          <w:b/>
          <w:bCs/>
          <w:color w:val="FF0000"/>
          <w:sz w:val="24"/>
          <w:szCs w:val="24"/>
          <w:u w:val="single"/>
          <w:lang w:val="en-US" w:eastAsia="zh-CN"/>
        </w:rPr>
        <w:t>3</w:t>
      </w:r>
      <w:r>
        <w:rPr>
          <w:rFonts w:hint="default" w:ascii="Times New Roman" w:hAnsi="Times New Roman" w:cs="Times New Roman"/>
          <w:b/>
          <w:bCs/>
          <w:color w:val="FF0000"/>
          <w:sz w:val="24"/>
          <w:szCs w:val="24"/>
          <w:u w:val="single"/>
          <w:lang w:val="en-US" w:eastAsia="zh-CN"/>
        </w:rPr>
        <w:t xml:space="preserve">-3 </w:t>
      </w:r>
      <w:r>
        <w:rPr>
          <w:rFonts w:hint="default" w:ascii="Times New Roman" w:hAnsi="Times New Roman" w:eastAsia="宋体" w:cs="Times New Roman"/>
          <w:b/>
          <w:bCs/>
          <w:color w:val="FF0000"/>
          <w:sz w:val="24"/>
          <w:szCs w:val="24"/>
          <w:u w:val="single"/>
          <w:lang w:val="zh-CN"/>
        </w:rPr>
        <w:t xml:space="preserve"> 灌注桩施工工艺流程图</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en-US" w:eastAsia="zh-CN"/>
        </w:rPr>
        <w:t xml:space="preserve">⑵ </w:t>
      </w:r>
      <w:r>
        <w:rPr>
          <w:rFonts w:hint="default" w:ascii="Times New Roman" w:hAnsi="Times New Roman" w:cs="Times New Roman"/>
          <w:color w:val="FF0000"/>
          <w:sz w:val="24"/>
          <w:szCs w:val="24"/>
          <w:u w:val="single"/>
          <w:lang w:val="zh-CN"/>
        </w:rPr>
        <w:t>施工方法</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①</w:t>
      </w:r>
      <w:r>
        <w:rPr>
          <w:rFonts w:hint="default" w:ascii="Times New Roman" w:hAnsi="Times New Roman" w:cs="Times New Roman"/>
          <w:color w:val="FF0000"/>
          <w:sz w:val="24"/>
          <w:szCs w:val="24"/>
          <w:u w:val="single"/>
          <w:lang w:val="en-US" w:eastAsia="zh-CN"/>
        </w:rPr>
        <w:t xml:space="preserve"> </w:t>
      </w:r>
      <w:r>
        <w:rPr>
          <w:rFonts w:hint="default" w:ascii="Times New Roman" w:hAnsi="Times New Roman" w:cs="Times New Roman"/>
          <w:color w:val="FF0000"/>
          <w:sz w:val="24"/>
          <w:szCs w:val="24"/>
          <w:u w:val="single"/>
          <w:lang w:val="zh-CN"/>
        </w:rPr>
        <w:t>施工平台</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首先将引桥靠近转角平台后方大堤斜坡段桩位处浆砌块石护面拆除，沿引桥轴线方向靠下游侧区域10m范围内进行分层回填至约+25m标高位置，具体填筑标高视当时长江水位变化趋势而定。同时沿固定联桥后沿约3m处开始填筑宽度约为15m的上部结构施工通道，填土上层3m用压路机进行分层碾压密实，并与预制场临时道路顺接，后面将用过预应力空心板运输通道以及履带吊安装时吊机站位场地。</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②</w:t>
      </w:r>
      <w:r>
        <w:rPr>
          <w:rFonts w:hint="default" w:ascii="Times New Roman" w:hAnsi="Times New Roman" w:cs="Times New Roman"/>
          <w:color w:val="FF0000"/>
          <w:sz w:val="24"/>
          <w:szCs w:val="24"/>
          <w:u w:val="single"/>
          <w:lang w:val="en-US" w:eastAsia="zh-CN"/>
        </w:rPr>
        <w:t xml:space="preserve"> </w:t>
      </w:r>
      <w:r>
        <w:rPr>
          <w:rFonts w:hint="default" w:ascii="Times New Roman" w:hAnsi="Times New Roman" w:cs="Times New Roman"/>
          <w:color w:val="FF0000"/>
          <w:sz w:val="24"/>
          <w:szCs w:val="24"/>
          <w:u w:val="single"/>
          <w:lang w:val="zh-CN"/>
        </w:rPr>
        <w:t>钢护筒埋设</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测量首先进行桩位放样，做好桩中心位置标记。钢护筒按测量位置就位，测量报验后开始用振动锤振沉，时刻观察振沉过程，及时调整校正桩位以及垂直度。引桥岸坡上埋设护筒，先移除岸坡上护面层，平整钻机站位场地，测量测设桩位，开挖埋设护筒。护筒顶面高出地面0.3m，护筒埋设深度根据现场土质、水位情况具体定并不少于2m，填筑平台内施工的灌注桩护筒埋深应穿透回填土层并深入原泥面至少2m，护筒周边1m范围内夯填粘性土，至护筒底部0.5m深度。</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③</w:t>
      </w:r>
      <w:r>
        <w:rPr>
          <w:rFonts w:hint="default" w:ascii="Times New Roman" w:hAnsi="Times New Roman" w:cs="Times New Roman"/>
          <w:color w:val="FF0000"/>
          <w:sz w:val="24"/>
          <w:szCs w:val="24"/>
          <w:u w:val="single"/>
          <w:lang w:val="en-US" w:eastAsia="zh-CN"/>
        </w:rPr>
        <w:t xml:space="preserve"> </w:t>
      </w:r>
      <w:r>
        <w:rPr>
          <w:rFonts w:hint="default" w:ascii="Times New Roman" w:hAnsi="Times New Roman" w:cs="Times New Roman"/>
          <w:color w:val="FF0000"/>
          <w:sz w:val="24"/>
          <w:szCs w:val="24"/>
          <w:u w:val="single"/>
          <w:lang w:val="zh-CN"/>
        </w:rPr>
        <w:t>钻机就位</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根据地层地质情况，钻机选用反循环回旋钻机，配尖底鱼尾式和圆笼式钻头。钻机运到灌注桩施工平台，吊机拼装就位，垫平对中后固定牢靠，保证钻孔过程中不发生移位、偏斜。回旋钻机顶部的起吊滑轮轮缘与转盘中心的连线应垂直，与孔位中心偏差不超过20mm。</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④</w:t>
      </w:r>
      <w:r>
        <w:rPr>
          <w:rFonts w:hint="default" w:ascii="Times New Roman" w:hAnsi="Times New Roman" w:cs="Times New Roman"/>
          <w:color w:val="FF0000"/>
          <w:sz w:val="24"/>
          <w:szCs w:val="24"/>
          <w:u w:val="single"/>
          <w:lang w:val="en-US" w:eastAsia="zh-CN"/>
        </w:rPr>
        <w:t xml:space="preserve"> </w:t>
      </w:r>
      <w:r>
        <w:rPr>
          <w:rFonts w:hint="default" w:ascii="Times New Roman" w:hAnsi="Times New Roman" w:cs="Times New Roman"/>
          <w:color w:val="FF0000"/>
          <w:sz w:val="24"/>
          <w:szCs w:val="24"/>
          <w:u w:val="single"/>
          <w:lang w:val="zh-CN"/>
        </w:rPr>
        <w:t>泥浆配置及泥浆池的设置</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护壁泥浆由水、黏土或膨润土、添加剂组成，各组分性能指标满足规范要求并能配制出所需合格泥浆。泥浆池在灌注桩就近位置开挖，做好防渗措施如黏土夯实并铺设塑料膜，泥浆池的容积满足循环泥浆量需要，泥浆排放须经过沉淀处理符合环保要求后方能排放，弃渣</w:t>
      </w:r>
      <w:r>
        <w:rPr>
          <w:rFonts w:hint="eastAsia" w:ascii="Times New Roman" w:hAnsi="Times New Roman" w:cs="Times New Roman"/>
          <w:color w:val="FF0000"/>
          <w:sz w:val="24"/>
          <w:szCs w:val="24"/>
          <w:u w:val="single"/>
          <w:lang w:val="en-US" w:eastAsia="zh-CN"/>
        </w:rPr>
        <w:t>量较少，交由地当地环保部门处理</w:t>
      </w:r>
      <w:r>
        <w:rPr>
          <w:rFonts w:hint="default" w:ascii="Times New Roman" w:hAnsi="Times New Roman" w:cs="Times New Roman"/>
          <w:color w:val="FF0000"/>
          <w:sz w:val="24"/>
          <w:szCs w:val="24"/>
          <w:u w:val="single"/>
          <w:lang w:val="zh-CN"/>
        </w:rPr>
        <w:t>。</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⑤</w:t>
      </w:r>
      <w:r>
        <w:rPr>
          <w:rFonts w:hint="default" w:ascii="Times New Roman" w:hAnsi="Times New Roman" w:cs="Times New Roman"/>
          <w:color w:val="FF0000"/>
          <w:sz w:val="24"/>
          <w:szCs w:val="24"/>
          <w:u w:val="single"/>
          <w:lang w:val="en-US" w:eastAsia="zh-CN"/>
        </w:rPr>
        <w:t xml:space="preserve"> </w:t>
      </w:r>
      <w:r>
        <w:rPr>
          <w:rFonts w:hint="default" w:ascii="Times New Roman" w:hAnsi="Times New Roman" w:cs="Times New Roman"/>
          <w:color w:val="FF0000"/>
          <w:sz w:val="24"/>
          <w:szCs w:val="24"/>
          <w:u w:val="single"/>
          <w:lang w:val="zh-CN"/>
        </w:rPr>
        <w:t>成孔</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钻机就位后，调平底座及支架的垂直度，定位后将钻机锁定，防止钻机在钻孔过程中发生移动确保钻机运行时不产生偏移和下沉。钻孔过程要及时反循环泵进行清渣。回旋钻钻进过程中保持足够的钻压力，采用扶正器导向，保证成孔的垂直度。钻进成孔过程中应保持孔内液面高于孔外水位1.5~2m。钻孔应连续进行，当遇到特殊情况需停钻时应提出钻头，并采取孔壁稳定的措施。开钻一个台班后，重新复核桩位，确保桩位在规范允许范围之内。在土层变化处应捞取土样，判断土层，并与地质剖面图对照，作好详细记录。</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⑥</w:t>
      </w:r>
      <w:r>
        <w:rPr>
          <w:rFonts w:hint="default" w:ascii="Times New Roman" w:hAnsi="Times New Roman" w:cs="Times New Roman"/>
          <w:color w:val="FF0000"/>
          <w:sz w:val="24"/>
          <w:szCs w:val="24"/>
          <w:u w:val="single"/>
          <w:lang w:val="en-US" w:eastAsia="zh-CN"/>
        </w:rPr>
        <w:t xml:space="preserve"> </w:t>
      </w:r>
      <w:r>
        <w:rPr>
          <w:rFonts w:hint="default" w:ascii="Times New Roman" w:hAnsi="Times New Roman" w:cs="Times New Roman"/>
          <w:color w:val="FF0000"/>
          <w:sz w:val="24"/>
          <w:szCs w:val="24"/>
          <w:u w:val="single"/>
          <w:lang w:val="zh-CN"/>
        </w:rPr>
        <w:t>终孔、清孔及验收</w:t>
      </w:r>
    </w:p>
    <w:p>
      <w:pPr>
        <w:adjustRightInd w:val="0"/>
        <w:snapToGrid w:val="0"/>
        <w:spacing w:line="360" w:lineRule="auto"/>
        <w:ind w:firstLine="480" w:firstLineChars="200"/>
        <w:rPr>
          <w:rFonts w:hint="default" w:ascii="Times New Roman" w:hAnsi="Times New Roman" w:eastAsia="宋体" w:cs="Times New Roman"/>
          <w:color w:val="FF0000"/>
          <w:sz w:val="20"/>
          <w:szCs w:val="24"/>
          <w:u w:val="single"/>
        </w:rPr>
      </w:pPr>
      <w:r>
        <w:rPr>
          <w:rFonts w:hint="default" w:ascii="Times New Roman" w:hAnsi="Times New Roman" w:cs="Times New Roman"/>
          <w:color w:val="FF0000"/>
          <w:sz w:val="24"/>
          <w:szCs w:val="24"/>
          <w:u w:val="single"/>
          <w:lang w:val="zh-CN"/>
        </w:rPr>
        <w:t>当成孔标高达到设计要求，经验收确定终孔后，进行孔径及标高测量，桩位偏</w:t>
      </w:r>
      <w:r>
        <w:rPr>
          <w:rFonts w:hint="default" w:ascii="Times New Roman" w:hAnsi="Times New Roman" w:eastAsia="宋体" w:cs="Times New Roman"/>
          <w:color w:val="FF0000"/>
          <w:sz w:val="24"/>
          <w:szCs w:val="24"/>
          <w:u w:val="single"/>
        </w:rPr>
        <w:t>差复测，符合设计标准后立即进行清孔。采用反循环方法清孔。反循环清孔时，将反循环泵泵口靠近孔底。孔顶注入清水，反循环泵将孔底沉渣和泥将抽出。直至将孔内的泥浆换出，孔底沉渣达到设计要求。反循环抽出的泥浆抽放到泥浆沉淀池，经处理符合环保标准后排放，沉渣清运至</w:t>
      </w:r>
      <w:r>
        <w:rPr>
          <w:rFonts w:hint="eastAsia" w:ascii="Times New Roman" w:hAnsi="Times New Roman" w:cs="Times New Roman"/>
          <w:color w:val="FF0000"/>
          <w:sz w:val="24"/>
          <w:szCs w:val="24"/>
          <w:u w:val="single"/>
          <w:lang w:eastAsia="zh-CN"/>
        </w:rPr>
        <w:t>后方陆域</w:t>
      </w:r>
      <w:r>
        <w:rPr>
          <w:rFonts w:hint="default" w:ascii="Times New Roman" w:hAnsi="Times New Roman" w:eastAsia="宋体" w:cs="Times New Roman"/>
          <w:color w:val="FF0000"/>
          <w:sz w:val="24"/>
          <w:szCs w:val="24"/>
          <w:u w:val="single"/>
        </w:rPr>
        <w:t>。</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⑦</w:t>
      </w:r>
      <w:r>
        <w:rPr>
          <w:rFonts w:hint="default" w:ascii="Times New Roman" w:hAnsi="Times New Roman" w:cs="Times New Roman"/>
          <w:color w:val="FF0000"/>
          <w:sz w:val="24"/>
          <w:szCs w:val="24"/>
          <w:u w:val="single"/>
          <w:lang w:val="en-US" w:eastAsia="zh-CN"/>
        </w:rPr>
        <w:t xml:space="preserve"> </w:t>
      </w:r>
      <w:r>
        <w:rPr>
          <w:rFonts w:hint="default" w:ascii="Times New Roman" w:hAnsi="Times New Roman" w:cs="Times New Roman"/>
          <w:color w:val="FF0000"/>
          <w:sz w:val="24"/>
          <w:szCs w:val="24"/>
          <w:u w:val="single"/>
          <w:lang w:val="zh-CN"/>
        </w:rPr>
        <w:t>钢筋笼的制作、安放</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en-US" w:eastAsia="zh-CN"/>
        </w:rPr>
        <w:t>i、</w:t>
      </w:r>
      <w:r>
        <w:rPr>
          <w:rFonts w:hint="default" w:ascii="Times New Roman" w:hAnsi="Times New Roman" w:cs="Times New Roman"/>
          <w:color w:val="FF0000"/>
          <w:sz w:val="24"/>
          <w:szCs w:val="24"/>
          <w:u w:val="single"/>
          <w:lang w:val="zh-CN"/>
        </w:rPr>
        <w:t>钢筋笼制作</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钢筋进场后按类别、批次进行取样、送检、验收。钢筋笼按12m长度分段制作，主筋连接采用镦粗直螺纹套筒连接。加劲环筋弯制成型后焊接成圆，在加劲环上按设计间距画好刻度标记，主筋与加劲环点焊固定，以保证钢筋笼的整体刚度，吊装时不会变形。钢筋笼在钢筋加工厂设置的固定台座上进行，制作时按照桩长设计长度先水平预拼。螺旋箍筋在专用钢筋弯曲机上卷制成型，按设计间距缠绕在主筋笼外周，扎丝绑扎牢固。钢筋笼制作完成后进行加工段编号，拆解吊运至堆放区存放。</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ii、钢筋笼安放</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将制作好的钢筋笼按安装顺序分段运至安装位置，采用25t汽车吊分段吊装。每段钢筋笼下放后在孔口位置用两根槽钢扁担将钢筋笼担搁在孔口，待次段钢筋笼吊装对接完成后抽出槽钢继续下放，如此反复直至整根桩的钢筋笼下放完成，同时将声测管进行焊接对接，要求对接严密，不得漏水。安装完成后应将钢筋笼固定牢固，位置正确，防止混凝土浇注时钢筋笼上浮。</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⑧</w:t>
      </w:r>
      <w:r>
        <w:rPr>
          <w:rFonts w:hint="default" w:ascii="Times New Roman" w:hAnsi="Times New Roman" w:cs="Times New Roman"/>
          <w:color w:val="FF0000"/>
          <w:sz w:val="24"/>
          <w:szCs w:val="24"/>
          <w:u w:val="single"/>
          <w:lang w:val="en-US" w:eastAsia="zh-CN"/>
        </w:rPr>
        <w:t xml:space="preserve"> </w:t>
      </w:r>
      <w:r>
        <w:rPr>
          <w:rFonts w:hint="default" w:ascii="Times New Roman" w:hAnsi="Times New Roman" w:cs="Times New Roman"/>
          <w:color w:val="FF0000"/>
          <w:sz w:val="24"/>
          <w:szCs w:val="24"/>
          <w:u w:val="single"/>
          <w:lang w:val="zh-CN"/>
        </w:rPr>
        <w:t>二次清孔</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钢筋笼和声测管安装完毕后，下导管，利用导管再次清孔，清孔反循环抽浆法。清孔时护筒内保持原有水位，清孔结束后，及时检查沉渣厚度，合格后浇筑水下混凝土。</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⑨</w:t>
      </w:r>
      <w:r>
        <w:rPr>
          <w:rFonts w:hint="default" w:ascii="Times New Roman" w:hAnsi="Times New Roman" w:cs="Times New Roman"/>
          <w:color w:val="FF0000"/>
          <w:sz w:val="24"/>
          <w:szCs w:val="24"/>
          <w:u w:val="single"/>
          <w:lang w:val="en-US" w:eastAsia="zh-CN"/>
        </w:rPr>
        <w:t xml:space="preserve"> </w:t>
      </w:r>
      <w:r>
        <w:rPr>
          <w:rFonts w:hint="default" w:ascii="Times New Roman" w:hAnsi="Times New Roman" w:cs="Times New Roman"/>
          <w:color w:val="FF0000"/>
          <w:sz w:val="24"/>
          <w:szCs w:val="24"/>
          <w:u w:val="single"/>
          <w:lang w:val="zh-CN"/>
        </w:rPr>
        <w:t>灌注水下混凝土</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浇筑水下混凝土用导管法施工，主要设备有刚性金属导管、承料漏斗、提升机具等。导管由内径200</w:t>
      </w:r>
      <w:r>
        <w:rPr>
          <w:rFonts w:hint="default" w:ascii="Times New Roman" w:hAnsi="Times New Roman" w:cs="Times New Roman"/>
          <w:color w:val="FF0000"/>
          <w:sz w:val="24"/>
          <w:szCs w:val="24"/>
          <w:u w:val="single"/>
          <w:lang w:val="en-US" w:eastAsia="zh-CN"/>
        </w:rPr>
        <w:t>~</w:t>
      </w:r>
      <w:r>
        <w:rPr>
          <w:rFonts w:hint="default" w:ascii="Times New Roman" w:hAnsi="Times New Roman" w:cs="Times New Roman"/>
          <w:color w:val="FF0000"/>
          <w:sz w:val="24"/>
          <w:szCs w:val="24"/>
          <w:u w:val="single"/>
          <w:lang w:val="zh-CN"/>
        </w:rPr>
        <w:t>300mm的无缝钢管分若干节组成，各节导管间通过快速接头加止水胶皮垫圈连接，以防漏水。导管在使用前必须进行水密承压试验，经压力试验强度和密封性均达到施工要求后方可使用。导管底口距离孔底30~50cm。</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混凝土由商混站连续供应，由混凝土罐车从商品混凝土搅拌站运输到现场。现场由汽车泵输送至料斗中。</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混凝土浇注满孔后应继续灌注，直至翻出的混凝土质地新鲜，不含泥沙、泥浆，确保桩顶凿除后混凝土质量。孔顶10m范围内混凝土用振捣棒振捣密实。</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灌注混凝土时为防止排出的泥浆污染环境，及时用排浆泵将泥浆抽出，抽放到至泥浆池，经处理符合环保要求后方能排放。</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⑩</w:t>
      </w:r>
      <w:r>
        <w:rPr>
          <w:rFonts w:hint="default" w:ascii="Times New Roman" w:hAnsi="Times New Roman" w:cs="Times New Roman"/>
          <w:color w:val="FF0000"/>
          <w:sz w:val="24"/>
          <w:szCs w:val="24"/>
          <w:u w:val="single"/>
          <w:lang w:val="en-US" w:eastAsia="zh-CN"/>
        </w:rPr>
        <w:t xml:space="preserve"> </w:t>
      </w:r>
      <w:r>
        <w:rPr>
          <w:rFonts w:hint="default" w:ascii="Times New Roman" w:hAnsi="Times New Roman" w:cs="Times New Roman"/>
          <w:color w:val="FF0000"/>
          <w:sz w:val="24"/>
          <w:szCs w:val="24"/>
          <w:u w:val="single"/>
          <w:lang w:val="zh-CN"/>
        </w:rPr>
        <w:t>护筒拔除与养护</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靠近大堤侧滩涂陆地的灌注桩浇注完成后用回旋钻提升架将护筒缓慢拔除，避免严重扰动新浇的混凝土，否则可用振捣棒再次进行适当振捣。回填平台区域灌注桩浇筑完成后护筒保留，以保证回填土挖除后桩身外观质量。混凝土初凝后即用土工布或者麻袋予以覆盖并洒水养护。</w:t>
      </w:r>
    </w:p>
    <w:p>
      <w:pPr>
        <w:pStyle w:val="5"/>
        <w:ind w:left="578" w:hanging="578"/>
        <w:rPr>
          <w:rFonts w:hint="default" w:ascii="Times New Roman" w:hAnsi="Times New Roman" w:cs="Times New Roman" w:eastAsiaTheme="minorEastAsia"/>
          <w:lang w:val="zh-CN"/>
        </w:rPr>
      </w:pPr>
      <w:r>
        <w:rPr>
          <w:rFonts w:hint="default" w:ascii="Times New Roman" w:hAnsi="Times New Roman" w:cs="Times New Roman" w:eastAsiaTheme="minorEastAsia"/>
          <w:lang w:val="zh-CN"/>
        </w:rPr>
        <w:t>混凝土预制构件预制</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本</w:t>
      </w:r>
      <w:r>
        <w:rPr>
          <w:rFonts w:hint="default" w:ascii="Times New Roman" w:hAnsi="Times New Roman" w:cs="Times New Roman"/>
          <w:color w:val="FF0000"/>
          <w:sz w:val="24"/>
          <w:szCs w:val="24"/>
          <w:u w:val="single"/>
          <w:lang w:val="en-US" w:eastAsia="zh-CN"/>
        </w:rPr>
        <w:t>项目</w:t>
      </w:r>
      <w:r>
        <w:rPr>
          <w:rFonts w:hint="default" w:ascii="Times New Roman" w:hAnsi="Times New Roman" w:cs="Times New Roman"/>
          <w:color w:val="FF0000"/>
          <w:sz w:val="24"/>
          <w:szCs w:val="24"/>
          <w:u w:val="single"/>
          <w:lang w:val="zh-CN"/>
        </w:rPr>
        <w:t>预制预应力混凝土构件有引桥、固定联桥后张法预应力空心板。预制构件在临时预制场进行预制。</w:t>
      </w:r>
    </w:p>
    <w:p>
      <w:pPr>
        <w:adjustRightInd w:val="0"/>
        <w:snapToGrid w:val="0"/>
        <w:spacing w:line="360" w:lineRule="auto"/>
        <w:ind w:firstLine="482" w:firstLineChars="200"/>
        <w:rPr>
          <w:rFonts w:hint="default" w:ascii="Times New Roman" w:hAnsi="Times New Roman" w:cs="Times New Roman"/>
          <w:b/>
          <w:bCs/>
          <w:color w:val="FF0000"/>
          <w:sz w:val="24"/>
          <w:szCs w:val="24"/>
          <w:u w:val="single"/>
          <w:lang w:val="zh-CN"/>
        </w:rPr>
      </w:pPr>
      <w:r>
        <w:rPr>
          <w:rFonts w:hint="default" w:ascii="Times New Roman" w:hAnsi="Times New Roman" w:cs="Times New Roman"/>
          <w:b/>
          <w:bCs/>
          <w:color w:val="FF0000"/>
          <w:sz w:val="24"/>
          <w:szCs w:val="24"/>
          <w:u w:val="single"/>
          <w:lang w:val="en-US" w:eastAsia="zh-CN"/>
        </w:rPr>
        <w:t>1、</w:t>
      </w:r>
      <w:r>
        <w:rPr>
          <w:rFonts w:hint="default" w:ascii="Times New Roman" w:hAnsi="Times New Roman" w:cs="Times New Roman"/>
          <w:b/>
          <w:bCs/>
          <w:color w:val="FF0000"/>
          <w:sz w:val="24"/>
          <w:szCs w:val="24"/>
          <w:u w:val="single"/>
          <w:lang w:val="zh-CN"/>
        </w:rPr>
        <w:t>预应力空心板预制</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后张法预应力空心板数量为108块，计划在60天内完成预制，拟投入4套模板14个混凝土底胎模台座，胎模应坚固、无沉陷，并考虑利于排水，防止由于排水不畅造成地基下沉。台座须设反拱度，以消除预应力张拉时引起的梁板起拱，预拱度采用圆曲线设定。台座每隔0.5m设模板拉杆预留孔，台座与侧模接合部位座贴上黑色橡胶垫，防止漏浆。在安装钢筋前将底模清理并适量均匀地涂上脱模剂。</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预应力空心板施工工艺流程图如下：</w:t>
      </w:r>
    </w:p>
    <w:p>
      <w:pPr>
        <w:adjustRightInd w:val="0"/>
        <w:snapToGrid w:val="0"/>
        <w:spacing w:line="360" w:lineRule="auto"/>
        <w:jc w:val="center"/>
        <w:rPr>
          <w:rFonts w:hint="default" w:ascii="Times New Roman" w:hAnsi="Times New Roman" w:cs="Times New Roman"/>
          <w:sz w:val="24"/>
          <w:szCs w:val="24"/>
          <w:lang w:val="zh-CN"/>
        </w:rPr>
      </w:pPr>
      <w:r>
        <w:rPr>
          <w:rFonts w:hint="default" w:ascii="Times New Roman" w:hAnsi="Times New Roman" w:cs="Times New Roman"/>
        </w:rPr>
        <w:drawing>
          <wp:inline distT="0" distB="0" distL="114300" distR="114300">
            <wp:extent cx="4147185" cy="5877560"/>
            <wp:effectExtent l="0" t="0" r="5715"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2"/>
                    <a:stretch>
                      <a:fillRect/>
                    </a:stretch>
                  </pic:blipFill>
                  <pic:spPr>
                    <a:xfrm>
                      <a:off x="0" y="0"/>
                      <a:ext cx="4147185" cy="58775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jc w:val="center"/>
        <w:textAlignment w:val="auto"/>
        <w:rPr>
          <w:rFonts w:hint="default" w:ascii="Times New Roman" w:hAnsi="Times New Roman" w:eastAsia="宋体" w:cs="Times New Roman"/>
          <w:b/>
          <w:bCs/>
          <w:color w:val="FF0000"/>
          <w:sz w:val="24"/>
          <w:szCs w:val="24"/>
          <w:u w:val="single"/>
          <w:lang w:val="zh-CN"/>
        </w:rPr>
      </w:pPr>
      <w:r>
        <w:rPr>
          <w:rFonts w:hint="default" w:ascii="Times New Roman" w:hAnsi="Times New Roman" w:eastAsia="宋体" w:cs="Times New Roman"/>
          <w:b/>
          <w:bCs/>
          <w:color w:val="FF0000"/>
          <w:sz w:val="24"/>
          <w:szCs w:val="24"/>
          <w:u w:val="single"/>
          <w:lang w:val="zh-CN"/>
        </w:rPr>
        <w:t>图</w:t>
      </w:r>
      <w:r>
        <w:rPr>
          <w:rFonts w:hint="default" w:ascii="Times New Roman" w:hAnsi="Times New Roman" w:cs="Times New Roman"/>
          <w:b/>
          <w:bCs/>
          <w:color w:val="FF0000"/>
          <w:sz w:val="24"/>
          <w:szCs w:val="24"/>
          <w:u w:val="single"/>
          <w:lang w:val="en-US" w:eastAsia="zh-CN"/>
        </w:rPr>
        <w:t>3.</w:t>
      </w:r>
      <w:r>
        <w:rPr>
          <w:rFonts w:hint="eastAsia" w:ascii="Times New Roman" w:hAnsi="Times New Roman" w:cs="Times New Roman"/>
          <w:b/>
          <w:bCs/>
          <w:color w:val="FF0000"/>
          <w:sz w:val="24"/>
          <w:szCs w:val="24"/>
          <w:u w:val="single"/>
          <w:lang w:val="en-US" w:eastAsia="zh-CN"/>
        </w:rPr>
        <w:t>3</w:t>
      </w:r>
      <w:r>
        <w:rPr>
          <w:rFonts w:hint="default" w:ascii="Times New Roman" w:hAnsi="Times New Roman" w:cs="Times New Roman"/>
          <w:b/>
          <w:bCs/>
          <w:color w:val="FF0000"/>
          <w:sz w:val="24"/>
          <w:szCs w:val="24"/>
          <w:u w:val="single"/>
          <w:lang w:val="en-US" w:eastAsia="zh-CN"/>
        </w:rPr>
        <w:t>-</w:t>
      </w:r>
      <w:r>
        <w:rPr>
          <w:rFonts w:hint="eastAsia" w:ascii="Times New Roman" w:hAnsi="Times New Roman" w:cs="Times New Roman"/>
          <w:b/>
          <w:bCs/>
          <w:color w:val="FF0000"/>
          <w:sz w:val="24"/>
          <w:szCs w:val="24"/>
          <w:u w:val="single"/>
          <w:lang w:val="en-US" w:eastAsia="zh-CN"/>
        </w:rPr>
        <w:t>4</w:t>
      </w:r>
      <w:r>
        <w:rPr>
          <w:rFonts w:hint="default" w:ascii="Times New Roman" w:hAnsi="Times New Roman" w:cs="Times New Roman"/>
          <w:b/>
          <w:bCs/>
          <w:color w:val="FF0000"/>
          <w:sz w:val="24"/>
          <w:szCs w:val="24"/>
          <w:u w:val="single"/>
          <w:lang w:val="en-US" w:eastAsia="zh-CN"/>
        </w:rPr>
        <w:t xml:space="preserve"> </w:t>
      </w:r>
      <w:r>
        <w:rPr>
          <w:rFonts w:hint="default" w:ascii="Times New Roman" w:hAnsi="Times New Roman" w:eastAsia="宋体" w:cs="Times New Roman"/>
          <w:b/>
          <w:bCs/>
          <w:color w:val="FF0000"/>
          <w:sz w:val="24"/>
          <w:szCs w:val="24"/>
          <w:u w:val="single"/>
          <w:lang w:val="zh-CN"/>
        </w:rPr>
        <w:t xml:space="preserve"> 后张法预应力空心板施工工艺流程图</w:t>
      </w:r>
    </w:p>
    <w:p>
      <w:pPr>
        <w:adjustRightInd w:val="0"/>
        <w:snapToGrid w:val="0"/>
        <w:spacing w:line="360" w:lineRule="auto"/>
        <w:ind w:firstLine="482"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b/>
          <w:bCs/>
          <w:color w:val="FF0000"/>
          <w:sz w:val="24"/>
          <w:szCs w:val="24"/>
          <w:u w:val="single"/>
          <w:lang w:val="en-US" w:eastAsia="zh-CN"/>
        </w:rPr>
        <w:t>2、</w:t>
      </w:r>
      <w:r>
        <w:rPr>
          <w:rFonts w:hint="default" w:ascii="Times New Roman" w:hAnsi="Times New Roman" w:cs="Times New Roman"/>
          <w:b/>
          <w:bCs/>
          <w:color w:val="FF0000"/>
          <w:sz w:val="24"/>
          <w:szCs w:val="24"/>
          <w:u w:val="single"/>
          <w:lang w:val="zh-CN"/>
        </w:rPr>
        <w:t>靠船构件预制</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靠船构件为普通钢筋混凝土预制构件，采用卧制，预制工艺比较简单：</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底模铺设→钢筋绑扎→橡胶护舷预埋件定位安装→模板安装、加固→混凝土浇筑→养护→吊运至存放区。</w:t>
      </w:r>
    </w:p>
    <w:p>
      <w:pPr>
        <w:pStyle w:val="5"/>
        <w:ind w:left="578" w:hanging="578"/>
        <w:rPr>
          <w:rFonts w:hint="default" w:ascii="Times New Roman" w:hAnsi="Times New Roman" w:cs="Times New Roman" w:eastAsiaTheme="minorEastAsia"/>
          <w:lang w:val="zh-CN"/>
        </w:rPr>
      </w:pPr>
      <w:r>
        <w:rPr>
          <w:rFonts w:hint="default" w:ascii="Times New Roman" w:hAnsi="Times New Roman" w:cs="Times New Roman" w:eastAsiaTheme="minorEastAsia"/>
          <w:lang w:val="zh-CN"/>
        </w:rPr>
        <w:t>现浇承台施工</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cs="Times New Roman"/>
          <w:color w:val="FF0000"/>
          <w:sz w:val="24"/>
          <w:szCs w:val="24"/>
          <w:u w:val="single"/>
          <w:lang w:val="zh-CN"/>
        </w:rPr>
        <w:t>本项目码头现浇</w:t>
      </w:r>
      <w:r>
        <w:rPr>
          <w:rFonts w:hint="eastAsia" w:ascii="Times New Roman" w:hAnsi="Times New Roman" w:cs="Times New Roman"/>
          <w:color w:val="FF0000"/>
          <w:sz w:val="24"/>
          <w:szCs w:val="24"/>
          <w:u w:val="single"/>
          <w:lang w:val="zh-CN"/>
        </w:rPr>
        <w:t>承</w:t>
      </w:r>
      <w:r>
        <w:rPr>
          <w:rFonts w:hint="default" w:ascii="Times New Roman" w:hAnsi="Times New Roman" w:cs="Times New Roman"/>
          <w:color w:val="FF0000"/>
          <w:sz w:val="24"/>
          <w:szCs w:val="24"/>
          <w:u w:val="single"/>
          <w:lang w:val="zh-CN"/>
        </w:rPr>
        <w:t>台施工主要工艺流程如下。</w:t>
      </w:r>
    </w:p>
    <w:p>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cs="Times New Roman"/>
        </w:rPr>
        <w:drawing>
          <wp:inline distT="0" distB="0" distL="114300" distR="114300">
            <wp:extent cx="3428365" cy="4001135"/>
            <wp:effectExtent l="0" t="0" r="635" b="18415"/>
            <wp:docPr id="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pic:cNvPicPr>
                      <a:picLocks noChangeAspect="1"/>
                    </pic:cNvPicPr>
                  </pic:nvPicPr>
                  <pic:blipFill>
                    <a:blip r:embed="rId33"/>
                    <a:stretch>
                      <a:fillRect/>
                    </a:stretch>
                  </pic:blipFill>
                  <pic:spPr>
                    <a:xfrm>
                      <a:off x="0" y="0"/>
                      <a:ext cx="3428365" cy="40011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jc w:val="center"/>
        <w:textAlignment w:val="auto"/>
        <w:rPr>
          <w:rFonts w:hint="default" w:ascii="Times New Roman" w:hAnsi="Times New Roman" w:eastAsia="宋体" w:cs="Times New Roman"/>
          <w:b/>
          <w:bCs/>
          <w:color w:val="FF0000"/>
          <w:sz w:val="24"/>
          <w:szCs w:val="24"/>
          <w:u w:val="single"/>
          <w:lang w:val="zh-CN"/>
        </w:rPr>
      </w:pPr>
      <w:r>
        <w:rPr>
          <w:rFonts w:hint="default" w:ascii="Times New Roman" w:hAnsi="Times New Roman" w:eastAsia="宋体" w:cs="Times New Roman"/>
          <w:b/>
          <w:bCs/>
          <w:color w:val="FF0000"/>
          <w:sz w:val="24"/>
          <w:szCs w:val="24"/>
          <w:u w:val="single"/>
          <w:lang w:val="zh-CN"/>
        </w:rPr>
        <w:t>图</w:t>
      </w:r>
      <w:r>
        <w:rPr>
          <w:rFonts w:hint="default" w:ascii="Times New Roman" w:hAnsi="Times New Roman" w:cs="Times New Roman"/>
          <w:b/>
          <w:bCs/>
          <w:color w:val="FF0000"/>
          <w:sz w:val="24"/>
          <w:szCs w:val="24"/>
          <w:u w:val="single"/>
          <w:lang w:val="en-US" w:eastAsia="zh-CN"/>
        </w:rPr>
        <w:t>3.</w:t>
      </w:r>
      <w:r>
        <w:rPr>
          <w:rFonts w:hint="eastAsia" w:ascii="Times New Roman" w:hAnsi="Times New Roman" w:cs="Times New Roman"/>
          <w:b/>
          <w:bCs/>
          <w:color w:val="FF0000"/>
          <w:sz w:val="24"/>
          <w:szCs w:val="24"/>
          <w:u w:val="single"/>
          <w:lang w:val="en-US" w:eastAsia="zh-CN"/>
        </w:rPr>
        <w:t>3</w:t>
      </w:r>
      <w:r>
        <w:rPr>
          <w:rFonts w:hint="default" w:ascii="Times New Roman" w:hAnsi="Times New Roman" w:cs="Times New Roman"/>
          <w:b/>
          <w:bCs/>
          <w:color w:val="FF0000"/>
          <w:sz w:val="24"/>
          <w:szCs w:val="24"/>
          <w:u w:val="single"/>
          <w:lang w:val="en-US" w:eastAsia="zh-CN"/>
        </w:rPr>
        <w:t>-</w:t>
      </w:r>
      <w:r>
        <w:rPr>
          <w:rFonts w:hint="eastAsia" w:ascii="Times New Roman" w:hAnsi="Times New Roman" w:cs="Times New Roman"/>
          <w:b/>
          <w:bCs/>
          <w:color w:val="FF0000"/>
          <w:sz w:val="24"/>
          <w:szCs w:val="24"/>
          <w:u w:val="single"/>
          <w:lang w:val="en-US" w:eastAsia="zh-CN"/>
        </w:rPr>
        <w:t>5</w:t>
      </w:r>
      <w:r>
        <w:rPr>
          <w:rFonts w:hint="default" w:ascii="Times New Roman" w:hAnsi="Times New Roman" w:cs="Times New Roman"/>
          <w:b/>
          <w:bCs/>
          <w:color w:val="FF0000"/>
          <w:sz w:val="24"/>
          <w:szCs w:val="24"/>
          <w:u w:val="single"/>
          <w:lang w:val="en-US" w:eastAsia="zh-CN"/>
        </w:rPr>
        <w:t xml:space="preserve"> </w:t>
      </w:r>
      <w:r>
        <w:rPr>
          <w:rFonts w:hint="default" w:ascii="Times New Roman" w:hAnsi="Times New Roman" w:eastAsia="宋体" w:cs="Times New Roman"/>
          <w:b/>
          <w:bCs/>
          <w:color w:val="FF0000"/>
          <w:sz w:val="24"/>
          <w:szCs w:val="24"/>
          <w:u w:val="single"/>
          <w:lang w:val="zh-CN"/>
        </w:rPr>
        <w:t xml:space="preserve"> 现浇系靠船墩台主要工艺流程图</w:t>
      </w:r>
    </w:p>
    <w:p>
      <w:pPr>
        <w:pStyle w:val="5"/>
        <w:ind w:left="578" w:hanging="578"/>
        <w:rPr>
          <w:rFonts w:hint="default" w:ascii="Times New Roman" w:hAnsi="Times New Roman" w:cs="Times New Roman" w:eastAsiaTheme="minorEastAsia"/>
          <w:lang w:val="zh-CN"/>
        </w:rPr>
      </w:pPr>
      <w:r>
        <w:rPr>
          <w:rFonts w:hint="default" w:ascii="Times New Roman" w:hAnsi="Times New Roman" w:cs="Times New Roman" w:eastAsiaTheme="minorEastAsia"/>
          <w:lang w:val="zh-CN"/>
        </w:rPr>
        <w:t>引桥、固定联桥上部结构施工</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引桥灌注桩浇筑顶标高与原地面相同，根据地表坡面标高不同而不同，根据引桥设计标高需要进行接桩，引桥上部结构施工顺序为：接桩至横梁底部→施工横梁→安装预应力空心板→面层施工。固定联桥桩基为打入的PHC桩，直接进行夹桩搭设承重平台即可施工横梁。</w:t>
      </w:r>
    </w:p>
    <w:p>
      <w:pPr>
        <w:adjustRightInd w:val="0"/>
        <w:snapToGrid w:val="0"/>
        <w:spacing w:line="360" w:lineRule="auto"/>
        <w:ind w:firstLine="482" w:firstLineChars="200"/>
        <w:rPr>
          <w:rFonts w:hint="default" w:ascii="Times New Roman" w:hAnsi="Times New Roman" w:cs="Times New Roman"/>
          <w:b/>
          <w:bCs/>
          <w:color w:val="FF0000"/>
          <w:sz w:val="24"/>
          <w:szCs w:val="24"/>
          <w:u w:val="single"/>
          <w:lang w:val="zh-CN"/>
        </w:rPr>
      </w:pPr>
      <w:r>
        <w:rPr>
          <w:rFonts w:hint="default" w:ascii="Times New Roman" w:hAnsi="Times New Roman" w:cs="Times New Roman"/>
          <w:b/>
          <w:bCs/>
          <w:color w:val="FF0000"/>
          <w:sz w:val="24"/>
          <w:szCs w:val="24"/>
          <w:u w:val="single"/>
          <w:lang w:val="en-US" w:eastAsia="zh-CN"/>
        </w:rPr>
        <w:t>1、</w:t>
      </w:r>
      <w:r>
        <w:rPr>
          <w:rFonts w:hint="default" w:ascii="Times New Roman" w:hAnsi="Times New Roman" w:cs="Times New Roman"/>
          <w:b/>
          <w:bCs/>
          <w:color w:val="FF0000"/>
          <w:sz w:val="24"/>
          <w:szCs w:val="24"/>
          <w:u w:val="single"/>
          <w:lang w:val="zh-CN"/>
        </w:rPr>
        <w:t>接桩</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接桩工艺流程为：清理灌注桩桩头→钢筋笼加工、安装→定型钢模板安装→混凝土浇筑。</w:t>
      </w:r>
    </w:p>
    <w:p>
      <w:pPr>
        <w:adjustRightInd w:val="0"/>
        <w:snapToGrid w:val="0"/>
        <w:spacing w:line="360" w:lineRule="auto"/>
        <w:ind w:firstLine="482"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b/>
          <w:bCs/>
          <w:color w:val="FF0000"/>
          <w:sz w:val="24"/>
          <w:szCs w:val="24"/>
          <w:u w:val="single"/>
          <w:lang w:val="en-US" w:eastAsia="zh-CN"/>
        </w:rPr>
        <w:t>2、</w:t>
      </w:r>
      <w:r>
        <w:rPr>
          <w:rFonts w:hint="default" w:ascii="Times New Roman" w:hAnsi="Times New Roman" w:cs="Times New Roman"/>
          <w:b/>
          <w:bCs/>
          <w:color w:val="FF0000"/>
          <w:sz w:val="24"/>
          <w:szCs w:val="24"/>
          <w:u w:val="single"/>
          <w:lang w:val="zh-CN"/>
        </w:rPr>
        <w:t>横梁施工</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横梁施工工艺流程为：底模支承结构搭设→铺设底模→钢筋加工、安装→侧模安装→混凝土浇筑→模板及支承结构拆除。</w:t>
      </w:r>
    </w:p>
    <w:p>
      <w:pPr>
        <w:adjustRightInd w:val="0"/>
        <w:snapToGrid w:val="0"/>
        <w:spacing w:line="360" w:lineRule="auto"/>
        <w:ind w:firstLine="482" w:firstLineChars="200"/>
        <w:rPr>
          <w:rFonts w:hint="default" w:ascii="Times New Roman" w:hAnsi="Times New Roman" w:cs="Times New Roman"/>
          <w:b/>
          <w:bCs/>
          <w:color w:val="FF0000"/>
          <w:sz w:val="24"/>
          <w:szCs w:val="24"/>
          <w:u w:val="single"/>
          <w:lang w:val="zh-CN"/>
        </w:rPr>
      </w:pPr>
      <w:r>
        <w:rPr>
          <w:rFonts w:hint="default" w:ascii="Times New Roman" w:hAnsi="Times New Roman" w:cs="Times New Roman"/>
          <w:b/>
          <w:bCs/>
          <w:color w:val="FF0000"/>
          <w:sz w:val="24"/>
          <w:szCs w:val="24"/>
          <w:u w:val="single"/>
          <w:lang w:val="en-US" w:eastAsia="zh-CN"/>
        </w:rPr>
        <w:t>3、</w:t>
      </w:r>
      <w:r>
        <w:rPr>
          <w:rFonts w:hint="default" w:ascii="Times New Roman" w:hAnsi="Times New Roman" w:cs="Times New Roman"/>
          <w:b/>
          <w:bCs/>
          <w:color w:val="FF0000"/>
          <w:sz w:val="24"/>
          <w:szCs w:val="24"/>
          <w:u w:val="single"/>
          <w:lang w:val="zh-CN"/>
        </w:rPr>
        <w:t>预应力空心板安装</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预应力空心板的安装流程如下：</w:t>
      </w:r>
    </w:p>
    <w:p>
      <w:pPr>
        <w:adjustRightInd w:val="0"/>
        <w:snapToGrid w:val="0"/>
        <w:spacing w:line="240" w:lineRule="auto"/>
        <w:jc w:val="center"/>
        <w:rPr>
          <w:rFonts w:hint="default" w:ascii="Times New Roman" w:hAnsi="Times New Roman" w:cs="Times New Roman"/>
          <w:color w:val="FF0000"/>
          <w:sz w:val="24"/>
          <w:szCs w:val="24"/>
          <w:u w:val="single"/>
          <w:lang w:val="en-US" w:eastAsia="zh-CN"/>
        </w:rPr>
      </w:pPr>
      <w:r>
        <w:rPr>
          <w:rFonts w:hint="default" w:ascii="Times New Roman" w:hAnsi="Times New Roman" w:cs="Times New Roman"/>
        </w:rPr>
        <w:drawing>
          <wp:inline distT="0" distB="0" distL="114300" distR="114300">
            <wp:extent cx="3635375" cy="3125470"/>
            <wp:effectExtent l="0" t="0" r="3175" b="17780"/>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1"/>
                    </pic:cNvPicPr>
                  </pic:nvPicPr>
                  <pic:blipFill>
                    <a:blip r:embed="rId34"/>
                    <a:stretch>
                      <a:fillRect/>
                    </a:stretch>
                  </pic:blipFill>
                  <pic:spPr>
                    <a:xfrm>
                      <a:off x="0" y="0"/>
                      <a:ext cx="3635375" cy="31254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jc w:val="center"/>
        <w:textAlignment w:val="auto"/>
        <w:rPr>
          <w:rFonts w:hint="default" w:ascii="Times New Roman" w:hAnsi="Times New Roman" w:eastAsia="宋体" w:cs="Times New Roman"/>
          <w:b/>
          <w:bCs/>
          <w:color w:val="FF0000"/>
          <w:sz w:val="24"/>
          <w:szCs w:val="24"/>
          <w:u w:val="single"/>
          <w:lang w:val="zh-CN"/>
        </w:rPr>
      </w:pPr>
      <w:r>
        <w:rPr>
          <w:rFonts w:hint="default" w:ascii="Times New Roman" w:hAnsi="Times New Roman" w:eastAsia="宋体" w:cs="Times New Roman"/>
          <w:b/>
          <w:bCs/>
          <w:color w:val="FF0000"/>
          <w:sz w:val="24"/>
          <w:szCs w:val="24"/>
          <w:u w:val="single"/>
          <w:lang w:val="zh-CN"/>
        </w:rPr>
        <w:t>图</w:t>
      </w:r>
      <w:r>
        <w:rPr>
          <w:rFonts w:hint="default" w:ascii="Times New Roman" w:hAnsi="Times New Roman" w:cs="Times New Roman"/>
          <w:b/>
          <w:bCs/>
          <w:color w:val="FF0000"/>
          <w:sz w:val="24"/>
          <w:szCs w:val="24"/>
          <w:u w:val="single"/>
          <w:lang w:val="en-US" w:eastAsia="zh-CN"/>
        </w:rPr>
        <w:t>3</w:t>
      </w:r>
      <w:r>
        <w:rPr>
          <w:rFonts w:hint="eastAsia" w:ascii="Times New Roman" w:hAnsi="Times New Roman" w:cs="Times New Roman"/>
          <w:b/>
          <w:bCs/>
          <w:color w:val="FF0000"/>
          <w:sz w:val="24"/>
          <w:szCs w:val="24"/>
          <w:u w:val="single"/>
          <w:lang w:val="en-US" w:eastAsia="zh-CN"/>
        </w:rPr>
        <w:t>.3</w:t>
      </w:r>
      <w:r>
        <w:rPr>
          <w:rFonts w:hint="default" w:ascii="Times New Roman" w:hAnsi="Times New Roman" w:cs="Times New Roman"/>
          <w:b/>
          <w:bCs/>
          <w:color w:val="FF0000"/>
          <w:sz w:val="24"/>
          <w:szCs w:val="24"/>
          <w:u w:val="single"/>
          <w:lang w:val="en-US" w:eastAsia="zh-CN"/>
        </w:rPr>
        <w:t>-</w:t>
      </w:r>
      <w:r>
        <w:rPr>
          <w:rFonts w:hint="eastAsia" w:ascii="Times New Roman" w:hAnsi="Times New Roman" w:cs="Times New Roman"/>
          <w:b/>
          <w:bCs/>
          <w:color w:val="FF0000"/>
          <w:sz w:val="24"/>
          <w:szCs w:val="24"/>
          <w:u w:val="single"/>
          <w:lang w:val="en-US" w:eastAsia="zh-CN"/>
        </w:rPr>
        <w:t>6</w:t>
      </w:r>
      <w:r>
        <w:rPr>
          <w:rFonts w:hint="default" w:ascii="Times New Roman" w:hAnsi="Times New Roman" w:cs="Times New Roman"/>
          <w:b/>
          <w:bCs/>
          <w:color w:val="FF0000"/>
          <w:sz w:val="24"/>
          <w:szCs w:val="24"/>
          <w:u w:val="single"/>
          <w:lang w:val="en-US" w:eastAsia="zh-CN"/>
        </w:rPr>
        <w:t xml:space="preserve"> </w:t>
      </w:r>
      <w:r>
        <w:rPr>
          <w:rFonts w:hint="default" w:ascii="Times New Roman" w:hAnsi="Times New Roman" w:eastAsia="宋体" w:cs="Times New Roman"/>
          <w:b/>
          <w:bCs/>
          <w:color w:val="FF0000"/>
          <w:sz w:val="24"/>
          <w:szCs w:val="24"/>
          <w:u w:val="single"/>
          <w:lang w:val="zh-CN"/>
        </w:rPr>
        <w:t xml:space="preserve"> 预应力空心板安装流程图</w:t>
      </w:r>
    </w:p>
    <w:p>
      <w:pPr>
        <w:adjustRightInd w:val="0"/>
        <w:snapToGrid w:val="0"/>
        <w:spacing w:line="360" w:lineRule="auto"/>
        <w:ind w:firstLine="482" w:firstLineChars="200"/>
        <w:rPr>
          <w:rFonts w:hint="default" w:ascii="Times New Roman" w:hAnsi="Times New Roman" w:cs="Times New Roman"/>
          <w:b/>
          <w:bCs/>
          <w:color w:val="FF0000"/>
          <w:sz w:val="24"/>
          <w:szCs w:val="24"/>
          <w:u w:val="single"/>
          <w:lang w:val="zh-CN"/>
        </w:rPr>
      </w:pPr>
      <w:r>
        <w:rPr>
          <w:rFonts w:hint="default" w:ascii="Times New Roman" w:hAnsi="Times New Roman" w:cs="Times New Roman"/>
          <w:b/>
          <w:bCs/>
          <w:color w:val="FF0000"/>
          <w:sz w:val="24"/>
          <w:szCs w:val="24"/>
          <w:u w:val="single"/>
          <w:lang w:val="en-US" w:eastAsia="zh-CN"/>
        </w:rPr>
        <w:t>4、</w:t>
      </w:r>
      <w:r>
        <w:rPr>
          <w:rFonts w:hint="default" w:ascii="Times New Roman" w:hAnsi="Times New Roman" w:cs="Times New Roman"/>
          <w:b/>
          <w:bCs/>
          <w:color w:val="FF0000"/>
          <w:sz w:val="24"/>
          <w:szCs w:val="24"/>
          <w:u w:val="single"/>
          <w:lang w:val="zh-CN"/>
        </w:rPr>
        <w:t>面层施工</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引桥、固定联桥面层施工工艺如下：</w:t>
      </w:r>
    </w:p>
    <w:p>
      <w:pPr>
        <w:adjustRightInd w:val="0"/>
        <w:snapToGrid w:val="0"/>
        <w:spacing w:line="240" w:lineRule="auto"/>
        <w:jc w:val="center"/>
        <w:rPr>
          <w:rFonts w:hint="default" w:ascii="Times New Roman" w:hAnsi="Times New Roman" w:cs="Times New Roman"/>
          <w:color w:val="FF0000"/>
          <w:sz w:val="24"/>
          <w:szCs w:val="24"/>
          <w:u w:val="single"/>
          <w:lang w:val="en-US" w:eastAsia="zh-CN"/>
        </w:rPr>
      </w:pPr>
      <w:r>
        <w:rPr>
          <w:rFonts w:hint="default" w:ascii="Times New Roman" w:hAnsi="Times New Roman" w:cs="Times New Roman"/>
        </w:rPr>
        <w:drawing>
          <wp:inline distT="0" distB="0" distL="114300" distR="114300">
            <wp:extent cx="2512060" cy="3312160"/>
            <wp:effectExtent l="0" t="0" r="2540" b="254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35"/>
                    <a:stretch>
                      <a:fillRect/>
                    </a:stretch>
                  </pic:blipFill>
                  <pic:spPr>
                    <a:xfrm>
                      <a:off x="0" y="0"/>
                      <a:ext cx="2512060" cy="33121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jc w:val="center"/>
        <w:textAlignment w:val="auto"/>
        <w:rPr>
          <w:rFonts w:hint="default" w:ascii="Times New Roman" w:hAnsi="Times New Roman" w:cs="Times New Roman"/>
          <w:color w:val="FF0000"/>
          <w:sz w:val="24"/>
          <w:szCs w:val="24"/>
          <w:u w:val="single"/>
          <w:lang w:val="en-US" w:eastAsia="zh-CN"/>
        </w:rPr>
      </w:pPr>
      <w:r>
        <w:rPr>
          <w:rFonts w:hint="default" w:ascii="Times New Roman" w:hAnsi="Times New Roman" w:eastAsia="宋体" w:cs="Times New Roman"/>
          <w:b/>
          <w:bCs/>
          <w:color w:val="FF0000"/>
          <w:sz w:val="24"/>
          <w:szCs w:val="24"/>
          <w:u w:val="single"/>
          <w:lang w:val="zh-CN"/>
        </w:rPr>
        <w:t>图</w:t>
      </w:r>
      <w:r>
        <w:rPr>
          <w:rFonts w:hint="default" w:ascii="Times New Roman" w:hAnsi="Times New Roman" w:cs="Times New Roman"/>
          <w:b/>
          <w:bCs/>
          <w:color w:val="FF0000"/>
          <w:sz w:val="24"/>
          <w:szCs w:val="24"/>
          <w:u w:val="single"/>
          <w:lang w:val="en-US" w:eastAsia="zh-CN"/>
        </w:rPr>
        <w:t>3.</w:t>
      </w:r>
      <w:r>
        <w:rPr>
          <w:rFonts w:hint="eastAsia" w:ascii="Times New Roman" w:hAnsi="Times New Roman" w:cs="Times New Roman"/>
          <w:b/>
          <w:bCs/>
          <w:color w:val="FF0000"/>
          <w:sz w:val="24"/>
          <w:szCs w:val="24"/>
          <w:u w:val="single"/>
          <w:lang w:val="en-US" w:eastAsia="zh-CN"/>
        </w:rPr>
        <w:t>3</w:t>
      </w:r>
      <w:r>
        <w:rPr>
          <w:rFonts w:hint="default" w:ascii="Times New Roman" w:hAnsi="Times New Roman" w:cs="Times New Roman"/>
          <w:b/>
          <w:bCs/>
          <w:color w:val="FF0000"/>
          <w:sz w:val="24"/>
          <w:szCs w:val="24"/>
          <w:u w:val="single"/>
          <w:lang w:val="en-US" w:eastAsia="zh-CN"/>
        </w:rPr>
        <w:t>-</w:t>
      </w:r>
      <w:r>
        <w:rPr>
          <w:rFonts w:hint="eastAsia" w:ascii="Times New Roman" w:hAnsi="Times New Roman" w:cs="Times New Roman"/>
          <w:b/>
          <w:bCs/>
          <w:color w:val="FF0000"/>
          <w:sz w:val="24"/>
          <w:szCs w:val="24"/>
          <w:u w:val="single"/>
          <w:lang w:val="en-US" w:eastAsia="zh-CN"/>
        </w:rPr>
        <w:t>7</w:t>
      </w:r>
      <w:r>
        <w:rPr>
          <w:rFonts w:hint="default" w:ascii="Times New Roman" w:hAnsi="Times New Roman" w:cs="Times New Roman"/>
          <w:b/>
          <w:bCs/>
          <w:color w:val="FF0000"/>
          <w:sz w:val="24"/>
          <w:szCs w:val="24"/>
          <w:u w:val="single"/>
          <w:lang w:val="en-US" w:eastAsia="zh-CN"/>
        </w:rPr>
        <w:t xml:space="preserve"> </w:t>
      </w:r>
      <w:r>
        <w:rPr>
          <w:rFonts w:hint="default" w:ascii="Times New Roman" w:hAnsi="Times New Roman" w:eastAsia="宋体" w:cs="Times New Roman"/>
          <w:b/>
          <w:bCs/>
          <w:color w:val="FF0000"/>
          <w:sz w:val="24"/>
          <w:szCs w:val="24"/>
          <w:u w:val="single"/>
          <w:lang w:val="zh-CN"/>
        </w:rPr>
        <w:t xml:space="preserve"> 面层施工流程图</w:t>
      </w:r>
    </w:p>
    <w:p>
      <w:pPr>
        <w:pStyle w:val="5"/>
        <w:ind w:left="578" w:hanging="578"/>
        <w:rPr>
          <w:rFonts w:hint="default" w:ascii="Times New Roman" w:hAnsi="Times New Roman" w:cs="Times New Roman" w:eastAsiaTheme="minorEastAsia"/>
          <w:lang w:val="zh-CN"/>
        </w:rPr>
      </w:pPr>
      <w:r>
        <w:rPr>
          <w:rFonts w:hint="default" w:ascii="Times New Roman" w:hAnsi="Times New Roman" w:cs="Times New Roman" w:eastAsiaTheme="minorEastAsia"/>
          <w:lang w:val="zh-CN"/>
        </w:rPr>
        <w:t>码头附属设施施工</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本</w:t>
      </w:r>
      <w:r>
        <w:rPr>
          <w:rFonts w:hint="default" w:ascii="Times New Roman" w:hAnsi="Times New Roman" w:cs="Times New Roman"/>
          <w:color w:val="FF0000"/>
          <w:sz w:val="24"/>
          <w:szCs w:val="24"/>
          <w:u w:val="single"/>
          <w:lang w:val="en-US" w:eastAsia="zh-CN"/>
        </w:rPr>
        <w:t>项目</w:t>
      </w:r>
      <w:r>
        <w:rPr>
          <w:rFonts w:hint="default" w:ascii="Times New Roman" w:hAnsi="Times New Roman" w:cs="Times New Roman"/>
          <w:color w:val="FF0000"/>
          <w:sz w:val="24"/>
          <w:szCs w:val="24"/>
          <w:u w:val="single"/>
          <w:lang w:val="zh-CN"/>
        </w:rPr>
        <w:t>附属设施包括橡胶护舷、系船柱、铁爬梯、栏杆等。</w:t>
      </w:r>
    </w:p>
    <w:p>
      <w:pPr>
        <w:adjustRightInd w:val="0"/>
        <w:snapToGrid w:val="0"/>
        <w:spacing w:line="360" w:lineRule="auto"/>
        <w:ind w:firstLine="480" w:firstLineChars="200"/>
        <w:rPr>
          <w:rFonts w:hint="default" w:ascii="Times New Roman" w:hAnsi="Times New Roman" w:cs="Times New Roman"/>
          <w:color w:val="FF0000"/>
          <w:sz w:val="24"/>
          <w:szCs w:val="24"/>
          <w:u w:val="single"/>
          <w:lang w:val="zh-CN"/>
        </w:rPr>
      </w:pPr>
      <w:r>
        <w:rPr>
          <w:rFonts w:hint="default" w:ascii="Times New Roman" w:hAnsi="Times New Roman" w:cs="Times New Roman"/>
          <w:color w:val="FF0000"/>
          <w:sz w:val="24"/>
          <w:szCs w:val="24"/>
          <w:u w:val="single"/>
          <w:lang w:val="zh-CN"/>
        </w:rPr>
        <w:t>橡胶护舷的预埋件螺栓安装在靠船构件、靠船横梁和立柱上，竖向橡胶护舷型式为DA-A500H，水平向为DA-A300H。系船柱为550KN。橡胶护舷及系船柱采用汽车吊从材料、设备库区吊装到平板车，陆上运输至临时码头，船吊转吊至甲板上，运到安装运至进行水上吊装。铁爬梯、栏杆由专业厂家定制，然后运输到现场人工进行拼装、节点防腐。</w:t>
      </w:r>
    </w:p>
    <w:p>
      <w:pPr>
        <w:pStyle w:val="5"/>
        <w:ind w:left="578" w:hanging="578"/>
        <w:rPr>
          <w:rFonts w:hint="default" w:ascii="Times New Roman" w:hAnsi="Times New Roman" w:cs="Times New Roman" w:eastAsiaTheme="minorEastAsia"/>
          <w:lang w:val="zh-CN"/>
        </w:rPr>
      </w:pPr>
      <w:r>
        <w:rPr>
          <w:rFonts w:hint="default" w:ascii="Times New Roman" w:hAnsi="Times New Roman" w:cs="Times New Roman" w:eastAsiaTheme="minorEastAsia"/>
          <w:lang w:val="zh-CN"/>
        </w:rPr>
        <w:t>码头上部安装工程</w:t>
      </w:r>
    </w:p>
    <w:p>
      <w:pPr>
        <w:pStyle w:val="325"/>
        <w:tabs>
          <w:tab w:val="right" w:leader="dot" w:pos="9070"/>
        </w:tabs>
        <w:adjustRightInd w:val="0"/>
        <w:snapToGrid w:val="0"/>
        <w:spacing w:line="360" w:lineRule="auto"/>
        <w:ind w:firstLine="480" w:firstLineChars="200"/>
        <w:jc w:val="both"/>
        <w:rPr>
          <w:sz w:val="24"/>
        </w:rPr>
      </w:pPr>
      <w:r>
        <w:rPr>
          <w:rFonts w:hint="default" w:ascii="Times New Roman" w:hAnsi="Times New Roman" w:cs="Times New Roman"/>
          <w:color w:val="FF0000"/>
          <w:sz w:val="24"/>
          <w:szCs w:val="24"/>
          <w:u w:val="single"/>
          <w:lang w:val="zh-CN"/>
        </w:rPr>
        <w:t>本</w:t>
      </w:r>
      <w:r>
        <w:rPr>
          <w:rFonts w:hint="default" w:ascii="Times New Roman" w:hAnsi="Times New Roman" w:cs="Times New Roman"/>
          <w:color w:val="FF0000"/>
          <w:sz w:val="24"/>
          <w:szCs w:val="24"/>
          <w:u w:val="single"/>
          <w:lang w:val="en-US" w:eastAsia="zh-CN"/>
        </w:rPr>
        <w:t>项目</w:t>
      </w:r>
      <w:r>
        <w:rPr>
          <w:rFonts w:hint="default" w:ascii="Times New Roman" w:hAnsi="Times New Roman" w:cs="Times New Roman"/>
          <w:color w:val="FF0000"/>
          <w:sz w:val="24"/>
          <w:szCs w:val="24"/>
          <w:u w:val="single"/>
          <w:lang w:val="zh-CN"/>
        </w:rPr>
        <w:t>上部安装工程主要包括以下内容：</w:t>
      </w:r>
      <w:r>
        <w:rPr>
          <w:rFonts w:hint="default" w:ascii="Times New Roman" w:hAnsi="Times New Roman" w:cs="Times New Roman"/>
          <w:color w:val="FF0000"/>
          <w:sz w:val="24"/>
          <w:szCs w:val="24"/>
          <w:u w:val="single"/>
          <w:lang w:val="en-US" w:eastAsia="zh-CN"/>
        </w:rPr>
        <w:t xml:space="preserve">⑴ </w:t>
      </w:r>
      <w:r>
        <w:rPr>
          <w:rFonts w:hint="default" w:ascii="Times New Roman" w:hAnsi="Times New Roman" w:cs="Times New Roman"/>
          <w:color w:val="FF0000"/>
          <w:sz w:val="24"/>
          <w:szCs w:val="24"/>
          <w:u w:val="single"/>
          <w:lang w:val="zh-CN"/>
        </w:rPr>
        <w:t>工艺、消防、给排水、动力系统管道安装；</w:t>
      </w:r>
      <w:r>
        <w:rPr>
          <w:rFonts w:hint="default" w:ascii="Times New Roman" w:hAnsi="Times New Roman" w:cs="Times New Roman"/>
          <w:color w:val="FF0000"/>
          <w:sz w:val="24"/>
          <w:szCs w:val="24"/>
          <w:u w:val="single"/>
          <w:lang w:val="en-US" w:eastAsia="zh-CN"/>
        </w:rPr>
        <w:t xml:space="preserve">⑵ </w:t>
      </w:r>
      <w:r>
        <w:rPr>
          <w:rFonts w:hint="default" w:ascii="Times New Roman" w:hAnsi="Times New Roman" w:cs="Times New Roman"/>
          <w:color w:val="FF0000"/>
          <w:sz w:val="24"/>
          <w:szCs w:val="24"/>
          <w:u w:val="single"/>
          <w:lang w:val="zh-CN"/>
        </w:rPr>
        <w:t>码头设备安装；</w:t>
      </w:r>
      <w:r>
        <w:rPr>
          <w:rFonts w:hint="default" w:ascii="Times New Roman" w:hAnsi="Times New Roman" w:cs="Times New Roman"/>
          <w:color w:val="FF0000"/>
          <w:sz w:val="24"/>
          <w:szCs w:val="24"/>
          <w:u w:val="single"/>
          <w:lang w:val="en-US" w:eastAsia="zh-CN"/>
        </w:rPr>
        <w:t xml:space="preserve">⑶ </w:t>
      </w:r>
      <w:r>
        <w:rPr>
          <w:rFonts w:hint="default" w:ascii="Times New Roman" w:hAnsi="Times New Roman" w:cs="Times New Roman"/>
          <w:color w:val="FF0000"/>
          <w:sz w:val="24"/>
          <w:szCs w:val="24"/>
          <w:u w:val="single"/>
          <w:lang w:val="zh-CN"/>
        </w:rPr>
        <w:t>电气系统安装；</w:t>
      </w:r>
      <w:r>
        <w:rPr>
          <w:rFonts w:hint="default" w:ascii="Times New Roman" w:hAnsi="Times New Roman" w:cs="Times New Roman"/>
          <w:color w:val="FF0000"/>
          <w:sz w:val="24"/>
          <w:szCs w:val="24"/>
          <w:u w:val="single"/>
          <w:lang w:val="en-US" w:eastAsia="zh-CN"/>
        </w:rPr>
        <w:t xml:space="preserve">⑷ </w:t>
      </w:r>
      <w:r>
        <w:rPr>
          <w:rFonts w:hint="default" w:ascii="Times New Roman" w:hAnsi="Times New Roman" w:cs="Times New Roman"/>
          <w:color w:val="FF0000"/>
          <w:sz w:val="24"/>
          <w:szCs w:val="24"/>
          <w:u w:val="single"/>
          <w:lang w:val="zh-CN"/>
        </w:rPr>
        <w:t>控制和通信系统安装；</w:t>
      </w:r>
      <w:r>
        <w:rPr>
          <w:rFonts w:hint="default" w:ascii="Times New Roman" w:hAnsi="Times New Roman" w:cs="Times New Roman"/>
          <w:color w:val="FF0000"/>
          <w:sz w:val="24"/>
          <w:szCs w:val="24"/>
          <w:u w:val="single"/>
          <w:lang w:val="en-US" w:eastAsia="zh-CN"/>
        </w:rPr>
        <w:t xml:space="preserve">⑸ </w:t>
      </w:r>
      <w:r>
        <w:rPr>
          <w:rFonts w:hint="default" w:ascii="Times New Roman" w:hAnsi="Times New Roman" w:cs="Times New Roman"/>
          <w:color w:val="FF0000"/>
          <w:sz w:val="24"/>
          <w:szCs w:val="24"/>
          <w:u w:val="single"/>
          <w:lang w:val="zh-CN"/>
        </w:rPr>
        <w:t>暖通系统安装；</w:t>
      </w:r>
      <w:r>
        <w:rPr>
          <w:rFonts w:hint="default" w:ascii="Times New Roman" w:hAnsi="Times New Roman" w:cs="Times New Roman"/>
          <w:color w:val="FF0000"/>
          <w:sz w:val="24"/>
          <w:szCs w:val="24"/>
          <w:u w:val="single"/>
          <w:lang w:val="en-US" w:eastAsia="zh-CN"/>
        </w:rPr>
        <w:t xml:space="preserve">⑹ </w:t>
      </w:r>
      <w:r>
        <w:rPr>
          <w:rFonts w:hint="default" w:ascii="Times New Roman" w:hAnsi="Times New Roman" w:cs="Times New Roman"/>
          <w:color w:val="FF0000"/>
          <w:sz w:val="24"/>
          <w:szCs w:val="24"/>
          <w:u w:val="single"/>
          <w:lang w:val="zh-CN"/>
        </w:rPr>
        <w:t>系统调试、单机试车和联动试车。</w:t>
      </w:r>
    </w:p>
    <w:p>
      <w:pPr>
        <w:pStyle w:val="3"/>
        <w:rPr>
          <w:rFonts w:ascii="Times New Roman" w:hAnsi="Times New Roman" w:eastAsiaTheme="minorEastAsia"/>
          <w:b/>
        </w:rPr>
      </w:pPr>
      <w:bookmarkStart w:id="41" w:name="_Toc4188"/>
      <w:r>
        <w:rPr>
          <w:rFonts w:ascii="Times New Roman" w:hAnsi="Times New Roman" w:eastAsiaTheme="minorEastAsia"/>
          <w:b/>
        </w:rPr>
        <w:t>工程分析</w:t>
      </w:r>
      <w:bookmarkEnd w:id="41"/>
    </w:p>
    <w:p>
      <w:pPr>
        <w:pStyle w:val="4"/>
        <w:rPr>
          <w:rFonts w:eastAsiaTheme="minorEastAsia"/>
        </w:rPr>
      </w:pPr>
      <w:r>
        <w:rPr>
          <w:rFonts w:eastAsiaTheme="minorEastAsia"/>
        </w:rPr>
        <w:t>施工期工艺流程和产污环节</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码头工程的建设，施工内容主要包括钢制趸船、活动钢引桥、转运平台及固定引桥建设等，其具体工艺流程见下图：</w:t>
      </w:r>
    </w:p>
    <w:p>
      <w:pPr>
        <w:spacing w:line="360" w:lineRule="auto"/>
        <w:jc w:val="center"/>
        <w:rPr>
          <w:rFonts w:ascii="Times New Roman" w:hAnsi="Times New Roman" w:eastAsiaTheme="minorEastAsia"/>
          <w:sz w:val="24"/>
          <w:szCs w:val="24"/>
        </w:rPr>
      </w:pPr>
      <w:r>
        <w:rPr>
          <w:rFonts w:ascii="Times New Roman" w:hAnsi="Times New Roman" w:eastAsiaTheme="minorEastAsia"/>
          <w:sz w:val="24"/>
          <w:szCs w:val="24"/>
        </w:rPr>
        <w:drawing>
          <wp:inline distT="0" distB="0" distL="0" distR="0">
            <wp:extent cx="5605780" cy="2328545"/>
            <wp:effectExtent l="0" t="0" r="0" b="0"/>
            <wp:docPr id="302" name="图片 302" descr="E:\5 码头\施工期工艺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descr="E:\5 码头\施工期工艺图.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636103" cy="2341485"/>
                    </a:xfrm>
                    <a:prstGeom prst="rect">
                      <a:avLst/>
                    </a:prstGeom>
                    <a:noFill/>
                    <a:ln>
                      <a:noFill/>
                    </a:ln>
                  </pic:spPr>
                </pic:pic>
              </a:graphicData>
            </a:graphic>
          </wp:inline>
        </w:drawing>
      </w:r>
    </w:p>
    <w:p>
      <w:pPr>
        <w:pStyle w:val="355"/>
        <w:adjustRightInd w:val="0"/>
        <w:spacing w:line="360" w:lineRule="auto"/>
        <w:ind w:firstLine="0" w:firstLineChars="0"/>
        <w:jc w:val="center"/>
        <w:rPr>
          <w:rFonts w:cs="Times New Roman" w:eastAsiaTheme="minorEastAsia"/>
          <w:b/>
          <w:sz w:val="24"/>
        </w:rPr>
      </w:pPr>
      <w:r>
        <w:rPr>
          <w:rFonts w:cs="Times New Roman" w:eastAsiaTheme="minorEastAsia"/>
          <w:b/>
          <w:sz w:val="24"/>
        </w:rPr>
        <w:t>图3.</w:t>
      </w:r>
      <w:r>
        <w:rPr>
          <w:rFonts w:hint="eastAsia" w:cs="Times New Roman" w:eastAsiaTheme="minorEastAsia"/>
          <w:b/>
          <w:sz w:val="24"/>
          <w:lang w:val="en-US" w:eastAsia="zh-CN"/>
        </w:rPr>
        <w:t>4</w:t>
      </w:r>
      <w:r>
        <w:rPr>
          <w:rFonts w:cs="Times New Roman" w:eastAsiaTheme="minorEastAsia"/>
          <w:b/>
          <w:sz w:val="24"/>
        </w:rPr>
        <w:t>-1  项目码头施工期工艺图</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码头工程为浮码头，趸船通过锚链以及活动钢引桥固定，施工时考虑枯水期围堰施工。后方墩台采用钻孔灌注桩基础，跨堤钢引桥采用水泥搅拌加固桩基础。</w:t>
      </w:r>
    </w:p>
    <w:p>
      <w:pPr>
        <w:adjustRightInd w:val="0"/>
        <w:snapToGrid w:val="0"/>
        <w:spacing w:line="360" w:lineRule="auto"/>
        <w:ind w:firstLine="496"/>
        <w:rPr>
          <w:rFonts w:ascii="Times New Roman" w:hAnsi="Times New Roman" w:eastAsiaTheme="minorEastAsia"/>
          <w:sz w:val="24"/>
          <w:szCs w:val="24"/>
        </w:rPr>
      </w:pPr>
      <w:r>
        <w:rPr>
          <w:rFonts w:ascii="Times New Roman" w:hAnsi="Times New Roman" w:eastAsiaTheme="minorEastAsia"/>
          <w:sz w:val="24"/>
          <w:szCs w:val="24"/>
        </w:rPr>
        <w:t>钻孔灌注桩施工方案：</w:t>
      </w:r>
    </w:p>
    <w:p>
      <w:pPr>
        <w:adjustRightInd w:val="0"/>
        <w:snapToGrid w:val="0"/>
        <w:spacing w:line="360" w:lineRule="auto"/>
        <w:ind w:firstLine="496"/>
        <w:rPr>
          <w:rFonts w:ascii="Times New Roman" w:hAnsi="Times New Roman" w:eastAsiaTheme="minorEastAsia"/>
          <w:sz w:val="24"/>
          <w:szCs w:val="24"/>
        </w:rPr>
      </w:pPr>
      <w:r>
        <w:rPr>
          <w:rFonts w:ascii="Times New Roman" w:hAnsi="Times New Roman" w:eastAsiaTheme="minorEastAsia"/>
          <w:sz w:val="24"/>
          <w:szCs w:val="24"/>
        </w:rPr>
        <w:t>桩基基础采用陆上平台施工方法，大部分为岸上施工，先铺陆上平台，再埋陆上钢护筒，桩基均为钻孔灌注桩，采用冲击钻成孔，冲孔到位后，清孔，保证孔内沉渣厚度小于10cm，安放钢筋笼与检测管，浇筑砼，所有桩基砼浇筑面高度高于设计高程0.8~1.0m，待初凝后将超高部分的浮浆凿出。</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桩基成孔前，必须埋设比设计桩径大0.1~0.2m的钢护筒，护筒埋深拟根据地表土层确定，一般应埋深3.0~5.0m，确保桩位在规范规定的允许范围内。</w:t>
      </w:r>
    </w:p>
    <w:p>
      <w:pPr>
        <w:adjustRightInd w:val="0"/>
        <w:snapToGrid w:val="0"/>
        <w:spacing w:line="360" w:lineRule="auto"/>
        <w:ind w:firstLine="480" w:firstLineChars="200"/>
        <w:rPr>
          <w:rFonts w:ascii="Times New Roman" w:hAnsi="Times New Roman" w:eastAsiaTheme="minorEastAsia"/>
          <w:sz w:val="24"/>
          <w:szCs w:val="24"/>
        </w:rPr>
      </w:pPr>
    </w:p>
    <w:p>
      <w:pPr>
        <w:adjustRightInd w:val="0"/>
        <w:snapToGrid w:val="0"/>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mc:AlternateContent>
          <mc:Choice Requires="wps">
            <w:drawing>
              <wp:anchor distT="0" distB="0" distL="114300" distR="114300" simplePos="0" relativeHeight="251761664" behindDoc="0" locked="0" layoutInCell="1" allowOverlap="1">
                <wp:simplePos x="0" y="0"/>
                <wp:positionH relativeFrom="column">
                  <wp:posOffset>4700270</wp:posOffset>
                </wp:positionH>
                <wp:positionV relativeFrom="paragraph">
                  <wp:posOffset>203835</wp:posOffset>
                </wp:positionV>
                <wp:extent cx="190500" cy="188595"/>
                <wp:effectExtent l="0" t="0" r="0" b="1905"/>
                <wp:wrapNone/>
                <wp:docPr id="1048" name="矩形 1048"/>
                <wp:cNvGraphicFramePr/>
                <a:graphic xmlns:a="http://schemas.openxmlformats.org/drawingml/2006/main">
                  <a:graphicData uri="http://schemas.microsoft.com/office/word/2010/wordprocessingShape">
                    <wps:wsp>
                      <wps:cNvSpPr>
                        <a:spLocks noChangeArrowheads="1"/>
                      </wps:cNvSpPr>
                      <wps:spPr bwMode="auto">
                        <a:xfrm>
                          <a:off x="0" y="0"/>
                          <a:ext cx="190500" cy="188595"/>
                        </a:xfrm>
                        <a:prstGeom prst="rect">
                          <a:avLst/>
                        </a:prstGeom>
                        <a:noFill/>
                        <a:ln>
                          <a:noFill/>
                        </a:ln>
                        <a:effectLst/>
                      </wps:spPr>
                      <wps:txbx>
                        <w:txbxContent>
                          <w:p>
                            <w:r>
                              <w:rPr>
                                <w:rFonts w:hint="eastAsia" w:ascii="Times New Roman" w:hAnsi="Times New Roman"/>
                                <w:sz w:val="18"/>
                                <w:szCs w:val="18"/>
                              </w:rPr>
                              <w:t>▲</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370.1pt;margin-top:16.05pt;height:14.85pt;width:15pt;z-index:251761664;mso-width-relative:page;mso-height-relative:page;" filled="f" stroked="f" coordsize="21600,21600" o:gfxdata="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PfgA22QAAAAkBAAAPAAAAAAAAAAEAIAAAACIAAABkcnMvZG93bnJldi54bWxQSwECFAAUAAAA&#10;CACHTuJAyF098O0BAAC9AwAADgAAAAAAAAABACAAAAAoAQAAZHJzL2Uyb0RvYy54bWxQSwUGAAAA&#10;AAYABgBZAQAAhwUAAAAA&#10;">
                <v:fill on="f" focussize="0,0"/>
                <v:stroke on="f"/>
                <v:imagedata o:title=""/>
                <o:lock v:ext="edit" aspectratio="f"/>
                <v:textbox inset="0mm,0mm,0mm,0mm">
                  <w:txbxContent>
                    <w:p>
                      <w:r>
                        <w:rPr>
                          <w:rFonts w:hint="eastAsia" w:ascii="Times New Roman" w:hAnsi="Times New Roman"/>
                          <w:sz w:val="18"/>
                          <w:szCs w:val="18"/>
                        </w:rPr>
                        <w:t>▲</w:t>
                      </w:r>
                    </w:p>
                  </w:txbxContent>
                </v:textbox>
              </v:rect>
            </w:pict>
          </mc:Fallback>
        </mc:AlternateContent>
      </w:r>
      <w:r>
        <w:rPr>
          <w:rFonts w:asciiTheme="minorEastAsia" w:hAnsiTheme="minorEastAsia" w:eastAsiaTheme="minorEastAsia"/>
          <w:sz w:val="24"/>
          <w:szCs w:val="24"/>
        </w:rPr>
        <mc:AlternateContent>
          <mc:Choice Requires="wps">
            <w:drawing>
              <wp:anchor distT="0" distB="0" distL="114300" distR="114300" simplePos="0" relativeHeight="251759616" behindDoc="0" locked="0" layoutInCell="1" allowOverlap="1">
                <wp:simplePos x="0" y="0"/>
                <wp:positionH relativeFrom="column">
                  <wp:posOffset>2981325</wp:posOffset>
                </wp:positionH>
                <wp:positionV relativeFrom="paragraph">
                  <wp:posOffset>198120</wp:posOffset>
                </wp:positionV>
                <wp:extent cx="200025" cy="198120"/>
                <wp:effectExtent l="0" t="0" r="9525" b="11430"/>
                <wp:wrapNone/>
                <wp:docPr id="1046" name="矩形 1046"/>
                <wp:cNvGraphicFramePr/>
                <a:graphic xmlns:a="http://schemas.openxmlformats.org/drawingml/2006/main">
                  <a:graphicData uri="http://schemas.microsoft.com/office/word/2010/wordprocessingShape">
                    <wps:wsp>
                      <wps:cNvSpPr>
                        <a:spLocks noChangeArrowheads="1"/>
                      </wps:cNvSpPr>
                      <wps:spPr bwMode="auto">
                        <a:xfrm>
                          <a:off x="0" y="0"/>
                          <a:ext cx="200025" cy="198120"/>
                        </a:xfrm>
                        <a:prstGeom prst="rect">
                          <a:avLst/>
                        </a:prstGeom>
                        <a:noFill/>
                        <a:ln>
                          <a:noFill/>
                        </a:ln>
                        <a:effectLst/>
                      </wps:spPr>
                      <wps:txbx>
                        <w:txbxContent>
                          <w:p>
                            <w:r>
                              <w:rPr>
                                <w:rFonts w:hint="eastAsia" w:ascii="Times New Roman" w:hAnsi="Times New Roman"/>
                              </w:rPr>
                              <w:t>■</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234.75pt;margin-top:15.6pt;height:15.6pt;width:15.75pt;z-index:251759616;mso-width-relative:page;mso-height-relative:page;" filled="f" stroked="f" coordsize="21600,21600" o:gfxdata="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CmVs82gAAAAkBAAAPAAAAAAAAAAEAIAAAACIAAABkcnMvZG93bnJldi54bWxQSwECFAAUAAAA&#10;CACHTuJACaMzAOwBAAC9AwAADgAAAAAAAAABACAAAAApAQAAZHJzL2Uyb0RvYy54bWxQSwUGAAAA&#10;AAYABgBZAQAAhwUAAAAA&#10;">
                <v:fill on="f" focussize="0,0"/>
                <v:stroke on="f"/>
                <v:imagedata o:title=""/>
                <o:lock v:ext="edit" aspectratio="f"/>
                <v:textbox inset="0mm,0mm,0mm,0mm">
                  <w:txbxContent>
                    <w:p>
                      <w:r>
                        <w:rPr>
                          <w:rFonts w:hint="eastAsia" w:ascii="Times New Roman" w:hAnsi="Times New Roman"/>
                        </w:rPr>
                        <w:t>■</w:t>
                      </w:r>
                    </w:p>
                  </w:txbxContent>
                </v:textbox>
              </v:rect>
            </w:pict>
          </mc:Fallback>
        </mc:AlternateContent>
      </w:r>
      <w:r>
        <w:rPr>
          <w:rFonts w:asciiTheme="minorEastAsia" w:hAnsiTheme="minorEastAsia" w:eastAsiaTheme="minorEastAsia"/>
          <w:sz w:val="24"/>
          <w:szCs w:val="24"/>
        </w:rPr>
        <mc:AlternateContent>
          <mc:Choice Requires="wps">
            <w:drawing>
              <wp:anchor distT="0" distB="0" distL="114300" distR="114300" simplePos="0" relativeHeight="251760640" behindDoc="0" locked="0" layoutInCell="1" allowOverlap="1">
                <wp:simplePos x="0" y="0"/>
                <wp:positionH relativeFrom="column">
                  <wp:posOffset>3733800</wp:posOffset>
                </wp:positionH>
                <wp:positionV relativeFrom="paragraph">
                  <wp:posOffset>198120</wp:posOffset>
                </wp:positionV>
                <wp:extent cx="200025" cy="198120"/>
                <wp:effectExtent l="0" t="0" r="4445" b="4445"/>
                <wp:wrapNone/>
                <wp:docPr id="1047" name="矩形 1047"/>
                <wp:cNvGraphicFramePr/>
                <a:graphic xmlns:a="http://schemas.openxmlformats.org/drawingml/2006/main">
                  <a:graphicData uri="http://schemas.microsoft.com/office/word/2010/wordprocessingShape">
                    <wps:wsp>
                      <wps:cNvSpPr>
                        <a:spLocks noChangeArrowheads="1"/>
                      </wps:cNvSpPr>
                      <wps:spPr bwMode="auto">
                        <a:xfrm>
                          <a:off x="0" y="0"/>
                          <a:ext cx="200025" cy="198120"/>
                        </a:xfrm>
                        <a:prstGeom prst="rect">
                          <a:avLst/>
                        </a:prstGeom>
                        <a:noFill/>
                        <a:ln>
                          <a:noFill/>
                        </a:ln>
                        <a:effectLst/>
                      </wps:spPr>
                      <wps:txbx>
                        <w:txbxContent>
                          <w:p>
                            <w:r>
                              <w:rPr>
                                <w:rFonts w:hint="eastAsia" w:ascii="Times New Roman" w:hAnsi="Times New Roman"/>
                                <w:sz w:val="18"/>
                                <w:szCs w:val="18"/>
                              </w:rPr>
                              <w:t>▲</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294pt;margin-top:15.6pt;height:15.6pt;width:15.75pt;z-index:251760640;mso-width-relative:page;mso-height-relative:page;" filled="f" stroked="f" coordsize="21600,21600" o:gfxdata="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IiSwtoAAAAJAQAADwAAAAAAAAABACAAAAAiAAAAZHJzL2Rvd25yZXYueG1sUEsBAhQAFAAA&#10;AAgAh07iQBsTvEPtAQAAvQMAAA4AAAAAAAAAAQAgAAAAKQEAAGRycy9lMm9Eb2MueG1sUEsFBgAA&#10;AAAGAAYAWQEAAIgFAAAAAA==&#10;">
                <v:fill on="f" focussize="0,0"/>
                <v:stroke on="f"/>
                <v:imagedata o:title=""/>
                <o:lock v:ext="edit" aspectratio="f"/>
                <v:textbox inset="0mm,0mm,0mm,0mm">
                  <w:txbxContent>
                    <w:p>
                      <w:r>
                        <w:rPr>
                          <w:rFonts w:hint="eastAsia" w:ascii="Times New Roman" w:hAnsi="Times New Roman"/>
                          <w:sz w:val="18"/>
                          <w:szCs w:val="18"/>
                        </w:rPr>
                        <w:t>▲</w:t>
                      </w:r>
                    </w:p>
                  </w:txbxContent>
                </v:textbox>
              </v:rect>
            </w:pict>
          </mc:Fallback>
        </mc:AlternateContent>
      </w:r>
      <w:r>
        <w:rPr>
          <w:rFonts w:asciiTheme="minorEastAsia" w:hAnsiTheme="minorEastAsia" w:eastAsiaTheme="minorEastAsia"/>
          <w:sz w:val="24"/>
          <w:szCs w:val="24"/>
        </w:rPr>
        <mc:AlternateContent>
          <mc:Choice Requires="wps">
            <w:drawing>
              <wp:anchor distT="0" distB="0" distL="114300" distR="114300" simplePos="0" relativeHeight="251758592" behindDoc="0" locked="0" layoutInCell="1" allowOverlap="1">
                <wp:simplePos x="0" y="0"/>
                <wp:positionH relativeFrom="column">
                  <wp:posOffset>2133600</wp:posOffset>
                </wp:positionH>
                <wp:positionV relativeFrom="paragraph">
                  <wp:posOffset>198120</wp:posOffset>
                </wp:positionV>
                <wp:extent cx="333375" cy="198120"/>
                <wp:effectExtent l="0" t="0" r="4445" b="4445"/>
                <wp:wrapNone/>
                <wp:docPr id="1045" name="矩形 1045"/>
                <wp:cNvGraphicFramePr/>
                <a:graphic xmlns:a="http://schemas.openxmlformats.org/drawingml/2006/main">
                  <a:graphicData uri="http://schemas.microsoft.com/office/word/2010/wordprocessingShape">
                    <wps:wsp>
                      <wps:cNvSpPr>
                        <a:spLocks noChangeArrowheads="1"/>
                      </wps:cNvSpPr>
                      <wps:spPr bwMode="auto">
                        <a:xfrm>
                          <a:off x="0" y="0"/>
                          <a:ext cx="333375" cy="198120"/>
                        </a:xfrm>
                        <a:prstGeom prst="rect">
                          <a:avLst/>
                        </a:prstGeom>
                        <a:noFill/>
                        <a:ln>
                          <a:noFill/>
                        </a:ln>
                        <a:effectLst/>
                      </wps:spPr>
                      <wps:txbx>
                        <w:txbxContent>
                          <w:p>
                            <w:pPr>
                              <w:rPr>
                                <w:sz w:val="18"/>
                                <w:szCs w:val="18"/>
                              </w:rPr>
                            </w:pPr>
                            <w:r>
                              <w:rPr>
                                <w:rFonts w:hint="eastAsia" w:ascii="Times New Roman" w:hAnsi="Times New Roman"/>
                                <w:sz w:val="18"/>
                                <w:szCs w:val="18"/>
                              </w:rPr>
                              <w:t>▲</w:t>
                            </w:r>
                            <w:r>
                              <w:rPr>
                                <w:rFonts w:hint="eastAsia" w:ascii="Times New Roman" w:hAnsi="Times New Roman"/>
                              </w:rPr>
                              <w:t>★</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68pt;margin-top:15.6pt;height:15.6pt;width:26.25pt;z-index:251758592;mso-width-relative:page;mso-height-relative:page;" filled="f" stroked="f" coordsize="21600,21600" o:gfxdata="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7r/MTbAAAACQEAAA8AAAAAAAAAAQAgAAAAIgAAAGRycy9kb3ducmV2LnhtbFBLAQIUABQA&#10;AAAIAIdO4kCXsghW7QEAAL0DAAAOAAAAAAAAAAEAIAAAACoBAABkcnMvZTJvRG9jLnhtbFBLBQYA&#10;AAAABgAGAFkBAACJBQAAAAA=&#10;">
                <v:fill on="f" focussize="0,0"/>
                <v:stroke on="f"/>
                <v:imagedata o:title=""/>
                <o:lock v:ext="edit" aspectratio="f"/>
                <v:textbox inset="0mm,0mm,0mm,0mm">
                  <w:txbxContent>
                    <w:p>
                      <w:pPr>
                        <w:rPr>
                          <w:sz w:val="18"/>
                          <w:szCs w:val="18"/>
                        </w:rPr>
                      </w:pPr>
                      <w:r>
                        <w:rPr>
                          <w:rFonts w:hint="eastAsia" w:ascii="Times New Roman" w:hAnsi="Times New Roman"/>
                          <w:sz w:val="18"/>
                          <w:szCs w:val="18"/>
                        </w:rPr>
                        <w:t>▲</w:t>
                      </w:r>
                      <w:r>
                        <w:rPr>
                          <w:rFonts w:hint="eastAsia" w:ascii="Times New Roman" w:hAnsi="Times New Roman"/>
                        </w:rPr>
                        <w:t>★</w:t>
                      </w:r>
                    </w:p>
                  </w:txbxContent>
                </v:textbox>
              </v:rect>
            </w:pict>
          </mc:Fallback>
        </mc:AlternateContent>
      </w:r>
      <w:r>
        <w:rPr>
          <w:rFonts w:asciiTheme="minorEastAsia" w:hAnsiTheme="minorEastAsia" w:eastAsiaTheme="minorEastAsia"/>
          <w:sz w:val="24"/>
          <w:szCs w:val="24"/>
        </w:rPr>
        <mc:AlternateContent>
          <mc:Choice Requires="wps">
            <w:drawing>
              <wp:anchor distT="0" distB="0" distL="114300" distR="114300" simplePos="0" relativeHeight="251757568" behindDoc="0" locked="0" layoutInCell="1" allowOverlap="1">
                <wp:simplePos x="0" y="0"/>
                <wp:positionH relativeFrom="column">
                  <wp:posOffset>1400175</wp:posOffset>
                </wp:positionH>
                <wp:positionV relativeFrom="paragraph">
                  <wp:posOffset>198120</wp:posOffset>
                </wp:positionV>
                <wp:extent cx="200025" cy="198120"/>
                <wp:effectExtent l="0" t="0" r="4445" b="4445"/>
                <wp:wrapNone/>
                <wp:docPr id="1043" name="矩形 1043"/>
                <wp:cNvGraphicFramePr/>
                <a:graphic xmlns:a="http://schemas.openxmlformats.org/drawingml/2006/main">
                  <a:graphicData uri="http://schemas.microsoft.com/office/word/2010/wordprocessingShape">
                    <wps:wsp>
                      <wps:cNvSpPr>
                        <a:spLocks noChangeArrowheads="1"/>
                      </wps:cNvSpPr>
                      <wps:spPr bwMode="auto">
                        <a:xfrm>
                          <a:off x="0" y="0"/>
                          <a:ext cx="200025" cy="198120"/>
                        </a:xfrm>
                        <a:prstGeom prst="rect">
                          <a:avLst/>
                        </a:prstGeom>
                        <a:noFill/>
                        <a:ln>
                          <a:noFill/>
                        </a:ln>
                        <a:effectLst/>
                      </wps:spPr>
                      <wps:txbx>
                        <w:txbxContent>
                          <w:p>
                            <w:r>
                              <w:rPr>
                                <w:rFonts w:hint="eastAsia" w:ascii="Times New Roman" w:hAnsi="Times New Roman"/>
                              </w:rPr>
                              <w:t>▲</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10.25pt;margin-top:15.6pt;height:15.6pt;width:15.75pt;z-index:251757568;mso-width-relative:page;mso-height-relative:page;" filled="f" stroked="f" coordsize="21600,21600" o:gfxdata="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aCOiNoAAAAJAQAADwAAAAAAAAABACAAAAAiAAAAZHJzL2Rvd25yZXYueG1sUEsBAhQAFAAA&#10;AAgAh07iQBLV85btAQAAvQMAAA4AAAAAAAAAAQAgAAAAKQEAAGRycy9lMm9Eb2MueG1sUEsFBgAA&#10;AAAGAAYAWQEAAIgFAAAAAA==&#10;">
                <v:fill on="f" focussize="0,0"/>
                <v:stroke on="f"/>
                <v:imagedata o:title=""/>
                <o:lock v:ext="edit" aspectratio="f"/>
                <v:textbox inset="0mm,0mm,0mm,0mm">
                  <w:txbxContent>
                    <w:p>
                      <w:r>
                        <w:rPr>
                          <w:rFonts w:hint="eastAsia" w:ascii="Times New Roman" w:hAnsi="Times New Roman"/>
                        </w:rPr>
                        <w:t>▲</w:t>
                      </w:r>
                    </w:p>
                  </w:txbxContent>
                </v:textbox>
              </v:rect>
            </w:pict>
          </mc:Fallback>
        </mc:AlternateContent>
      </w:r>
      <w:r>
        <w:rPr>
          <w:rFonts w:asciiTheme="minorEastAsia" w:hAnsiTheme="minorEastAsia" w:eastAsiaTheme="minorEastAsia"/>
          <w:sz w:val="24"/>
          <w:szCs w:val="24"/>
        </w:rPr>
        <w:t>灌注桩施工工艺及排污节点图：</w:t>
      </w:r>
    </w:p>
    <w:p>
      <w:pPr>
        <w:adjustRightInd w:val="0"/>
        <w:snapToGrid w:val="0"/>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mc:AlternateContent>
          <mc:Choice Requires="wps">
            <w:drawing>
              <wp:anchor distT="0" distB="0" distL="114300" distR="114300" simplePos="0" relativeHeight="251763712" behindDoc="0" locked="0" layoutInCell="1" allowOverlap="1">
                <wp:simplePos x="0" y="0"/>
                <wp:positionH relativeFrom="column">
                  <wp:posOffset>933450</wp:posOffset>
                </wp:positionH>
                <wp:positionV relativeFrom="paragraph">
                  <wp:posOffset>198755</wp:posOffset>
                </wp:positionV>
                <wp:extent cx="200025" cy="198120"/>
                <wp:effectExtent l="0" t="0" r="4445" b="2540"/>
                <wp:wrapNone/>
                <wp:docPr id="1038" name="矩形 1038"/>
                <wp:cNvGraphicFramePr/>
                <a:graphic xmlns:a="http://schemas.openxmlformats.org/drawingml/2006/main">
                  <a:graphicData uri="http://schemas.microsoft.com/office/word/2010/wordprocessingShape">
                    <wps:wsp>
                      <wps:cNvSpPr>
                        <a:spLocks noChangeArrowheads="1"/>
                      </wps:cNvSpPr>
                      <wps:spPr bwMode="auto">
                        <a:xfrm>
                          <a:off x="0" y="0"/>
                          <a:ext cx="200025" cy="198120"/>
                        </a:xfrm>
                        <a:prstGeom prst="rect">
                          <a:avLst/>
                        </a:prstGeom>
                        <a:noFill/>
                        <a:ln>
                          <a:noFill/>
                        </a:ln>
                        <a:effectLst/>
                      </wps:spPr>
                      <wps:txbx>
                        <w:txbxContent>
                          <w:p>
                            <w:r>
                              <w:rPr>
                                <w:rFonts w:hint="eastAsia" w:ascii="Times New Roman" w:hAnsi="Times New Roman"/>
                              </w:rPr>
                              <w:t>■</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73.5pt;margin-top:15.65pt;height:15.6pt;width:15.75pt;z-index:251763712;mso-width-relative:page;mso-height-relative:page;" filled="f" stroked="f" coordsize="21600,21600" o:gfxdata="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ST3x32gAAAAkBAAAPAAAAAAAAAAEAIAAAACIAAABkcnMvZG93bnJldi54bWxQSwECFAAUAAAA&#10;CACHTuJAXH36lewBAAC9AwAADgAAAAAAAAABACAAAAApAQAAZHJzL2Uyb0RvYy54bWxQSwUGAAAA&#10;AAYABgBZAQAAhwUAAAAA&#10;">
                <v:fill on="f" focussize="0,0"/>
                <v:stroke on="f"/>
                <v:imagedata o:title=""/>
                <o:lock v:ext="edit" aspectratio="f"/>
                <v:textbox inset="0mm,0mm,0mm,0mm">
                  <w:txbxContent>
                    <w:p>
                      <w:r>
                        <w:rPr>
                          <w:rFonts w:hint="eastAsia" w:ascii="Times New Roman" w:hAnsi="Times New Roman"/>
                        </w:rPr>
                        <w:t>■</w:t>
                      </w:r>
                    </w:p>
                  </w:txbxContent>
                </v:textbox>
              </v:rect>
            </w:pict>
          </mc:Fallback>
        </mc:AlternateContent>
      </w:r>
      <w:r>
        <w:rPr>
          <w:rFonts w:asciiTheme="minorEastAsia" w:hAnsiTheme="minorEastAsia" w:eastAsiaTheme="minorEastAsia"/>
          <w:sz w:val="24"/>
          <w:szCs w:val="24"/>
        </w:rPr>
        <mc:AlternateContent>
          <mc:Choice Requires="wps">
            <w:drawing>
              <wp:anchor distT="0" distB="0" distL="114300" distR="114300" simplePos="0" relativeHeight="251762688" behindDoc="0" locked="0" layoutInCell="1" allowOverlap="1">
                <wp:simplePos x="0" y="0"/>
                <wp:positionH relativeFrom="column">
                  <wp:posOffset>133350</wp:posOffset>
                </wp:positionH>
                <wp:positionV relativeFrom="paragraph">
                  <wp:posOffset>198755</wp:posOffset>
                </wp:positionV>
                <wp:extent cx="200025" cy="198120"/>
                <wp:effectExtent l="0" t="0" r="4445" b="2540"/>
                <wp:wrapNone/>
                <wp:docPr id="1036" name="矩形 1036"/>
                <wp:cNvGraphicFramePr/>
                <a:graphic xmlns:a="http://schemas.openxmlformats.org/drawingml/2006/main">
                  <a:graphicData uri="http://schemas.microsoft.com/office/word/2010/wordprocessingShape">
                    <wps:wsp>
                      <wps:cNvSpPr>
                        <a:spLocks noChangeArrowheads="1"/>
                      </wps:cNvSpPr>
                      <wps:spPr bwMode="auto">
                        <a:xfrm>
                          <a:off x="0" y="0"/>
                          <a:ext cx="200025" cy="198120"/>
                        </a:xfrm>
                        <a:prstGeom prst="rect">
                          <a:avLst/>
                        </a:prstGeom>
                        <a:noFill/>
                        <a:ln>
                          <a:noFill/>
                        </a:ln>
                        <a:effectLst/>
                      </wps:spPr>
                      <wps:txbx>
                        <w:txbxContent>
                          <w:p>
                            <w:r>
                              <w:rPr>
                                <w:rFonts w:hint="eastAsia" w:ascii="Times New Roman" w:hAnsi="Times New Roman"/>
                                <w:sz w:val="18"/>
                                <w:szCs w:val="18"/>
                              </w:rPr>
                              <w:t>▲</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0.5pt;margin-top:15.65pt;height:15.6pt;width:15.75pt;z-index:251762688;mso-width-relative:page;mso-height-relative:page;" filled="f" stroked="f" coordsize="21600,21600" o:gfxdata="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LZ2s7ZAAAABwEAAA8AAAAAAAAAAQAgAAAAIgAAAGRycy9kb3ducmV2LnhtbFBLAQIUABQAAAAI&#10;AIdO4kAiUUS27AEAAL0DAAAOAAAAAAAAAAEAIAAAACgBAABkcnMvZTJvRG9jLnhtbFBLBQYAAAAA&#10;BgAGAFkBAACGBQAAAAA=&#10;">
                <v:fill on="f" focussize="0,0"/>
                <v:stroke on="f"/>
                <v:imagedata o:title=""/>
                <o:lock v:ext="edit" aspectratio="f"/>
                <v:textbox inset="0mm,0mm,0mm,0mm">
                  <w:txbxContent>
                    <w:p>
                      <w:r>
                        <w:rPr>
                          <w:rFonts w:hint="eastAsia" w:ascii="Times New Roman" w:hAnsi="Times New Roman"/>
                          <w:sz w:val="18"/>
                          <w:szCs w:val="18"/>
                        </w:rPr>
                        <w:t>▲</w:t>
                      </w:r>
                    </w:p>
                  </w:txbxContent>
                </v:textbox>
              </v:rect>
            </w:pict>
          </mc:Fallback>
        </mc:AlternateContent>
      </w:r>
      <w:r>
        <w:rPr>
          <w:rFonts w:asciiTheme="minorEastAsia" w:hAnsiTheme="minorEastAsia" w:eastAsiaTheme="minorEastAsia"/>
          <w:sz w:val="24"/>
          <w:szCs w:val="24"/>
        </w:rPr>
        <mc:AlternateContent>
          <mc:Choice Requires="wps">
            <w:drawing>
              <wp:anchor distT="0" distB="0" distL="114300" distR="114300" simplePos="0" relativeHeight="251756544" behindDoc="0" locked="0" layoutInCell="1" allowOverlap="1">
                <wp:simplePos x="0" y="0"/>
                <wp:positionH relativeFrom="column">
                  <wp:posOffset>5800725</wp:posOffset>
                </wp:positionH>
                <wp:positionV relativeFrom="paragraph">
                  <wp:posOffset>98425</wp:posOffset>
                </wp:positionV>
                <wp:extent cx="400050" cy="0"/>
                <wp:effectExtent l="0" t="3810" r="4445" b="0"/>
                <wp:wrapNone/>
                <wp:docPr id="1033" name="直接连接符 1033"/>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a:noFill/>
                        </a:ln>
                        <a:effectLst/>
                      </wps:spPr>
                      <wps:bodyPr/>
                    </wps:wsp>
                  </a:graphicData>
                </a:graphic>
              </wp:anchor>
            </w:drawing>
          </mc:Choice>
          <mc:Fallback>
            <w:pict>
              <v:line id="_x0000_s1026" o:spid="_x0000_s1026" o:spt="20" style="position:absolute;left:0pt;margin-left:456.75pt;margin-top:7.75pt;height:0pt;width:31.5pt;z-index:251756544;mso-width-relative:page;mso-height-relative:page;" filled="f" stroked="f" coordsize="21600,21600" o:gfxdata="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bkUxedcAAAAJ&#10;AQAADwAAAAAAAAABACAAAAAiAAAAZHJzL2Rvd25yZXYueG1sUEsBAhQAFAAAAAgAh07iQIGeTDer&#10;AQAAMwMAAA4AAAAAAAAAAQAgAAAAJgEAAGRycy9lMm9Eb2MueG1sUEsFBgAAAAAGAAYAWQEAAEMF&#10;AAAAAA==&#10;">
                <v:fill on="f" focussize="0,0"/>
                <v:stroke on="f"/>
                <v:imagedata o:title=""/>
                <o:lock v:ext="edit" aspectratio="f"/>
              </v:line>
            </w:pict>
          </mc:Fallback>
        </mc:AlternateContent>
      </w:r>
      <w:r>
        <w:rPr>
          <w:rFonts w:asciiTheme="minorEastAsia" w:hAnsiTheme="minorEastAsia" w:eastAsiaTheme="minorEastAsia"/>
          <w:sz w:val="24"/>
          <w:szCs w:val="24"/>
        </w:rPr>
        <w:t>钢护筒定位下沉→钻机成孔→清孔换浆→提钻移机→安放钢筋笼→灌注水下混泥土→二次清孔→桩基检测</w:t>
      </w:r>
    </w:p>
    <w:p>
      <w:pPr>
        <w:adjustRightInd w:val="0"/>
        <w:snapToGrid w:val="0"/>
        <w:spacing w:line="360" w:lineRule="auto"/>
        <w:ind w:firstLine="480" w:firstLineChars="200"/>
        <w:rPr>
          <w:rFonts w:asciiTheme="minorEastAsia" w:hAnsiTheme="minorEastAsia" w:eastAsiaTheme="minorEastAsia"/>
          <w:sz w:val="24"/>
          <w:szCs w:val="24"/>
        </w:rPr>
      </w:pPr>
      <w:r>
        <w:rPr>
          <w:rFonts w:cs="Segoe UI Symbol" w:asciiTheme="minorEastAsia" w:hAnsiTheme="minorEastAsia" w:eastAsiaTheme="minorEastAsia"/>
          <w:sz w:val="24"/>
          <w:szCs w:val="24"/>
        </w:rPr>
        <w:t>★</w:t>
      </w:r>
      <w:r>
        <w:rPr>
          <w:rFonts w:asciiTheme="minorEastAsia" w:hAnsiTheme="minorEastAsia" w:eastAsiaTheme="minorEastAsia"/>
          <w:sz w:val="24"/>
          <w:szCs w:val="24"/>
        </w:rPr>
        <w:t>—噪声源 ●—气型污染源 ■固废 ▲水污染源</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钢引桥必须在墩柱完成后安装，建议在现场拼装后一次性吊装。趸船在厂内加工后，水运至现场。</w:t>
      </w:r>
    </w:p>
    <w:p>
      <w:pPr>
        <w:pStyle w:val="325"/>
        <w:tabs>
          <w:tab w:val="right" w:leader="dot" w:pos="9070"/>
        </w:tabs>
        <w:adjustRightInd w:val="0"/>
        <w:snapToGrid w:val="0"/>
        <w:spacing w:line="360" w:lineRule="auto"/>
        <w:ind w:firstLine="480" w:firstLineChars="200"/>
        <w:jc w:val="both"/>
        <w:rPr>
          <w:rFonts w:eastAsiaTheme="minorEastAsia"/>
        </w:rPr>
      </w:pPr>
      <w:r>
        <w:rPr>
          <w:rFonts w:eastAsiaTheme="minorEastAsia"/>
          <w:sz w:val="24"/>
          <w:szCs w:val="24"/>
        </w:rPr>
        <w:t>施工期各主要施工阶段产污环节及污染物类型、污染因子见下表。</w:t>
      </w:r>
    </w:p>
    <w:p>
      <w:pPr>
        <w:pStyle w:val="355"/>
        <w:adjustRightInd w:val="0"/>
        <w:spacing w:line="276" w:lineRule="auto"/>
        <w:ind w:firstLine="0" w:firstLineChars="0"/>
        <w:jc w:val="center"/>
        <w:rPr>
          <w:rFonts w:cs="Times New Roman" w:eastAsiaTheme="minorEastAsia"/>
          <w:b/>
          <w:sz w:val="24"/>
        </w:rPr>
      </w:pPr>
      <w:r>
        <w:rPr>
          <w:rFonts w:cs="Times New Roman" w:eastAsiaTheme="minorEastAsia"/>
          <w:b/>
          <w:sz w:val="24"/>
        </w:rPr>
        <w:t>表3.</w:t>
      </w:r>
      <w:r>
        <w:rPr>
          <w:rFonts w:hint="eastAsia" w:cs="Times New Roman" w:eastAsiaTheme="minorEastAsia"/>
          <w:b/>
          <w:sz w:val="24"/>
          <w:lang w:val="en-US" w:eastAsia="zh-CN"/>
        </w:rPr>
        <w:t>4</w:t>
      </w:r>
      <w:r>
        <w:rPr>
          <w:rFonts w:cs="Times New Roman" w:eastAsiaTheme="minorEastAsia"/>
          <w:b/>
          <w:sz w:val="24"/>
        </w:rPr>
        <w:t>-1  施工期污染因子一览表</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418"/>
        <w:gridCol w:w="4253"/>
        <w:gridCol w:w="342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779"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污染类型</w:t>
            </w:r>
          </w:p>
        </w:tc>
        <w:tc>
          <w:tcPr>
            <w:tcW w:w="2337"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产污环节说明</w:t>
            </w:r>
          </w:p>
        </w:tc>
        <w:tc>
          <w:tcPr>
            <w:tcW w:w="1884"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主要污染因子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9" w:type="pct"/>
            <w:vMerge w:val="restar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废水</w:t>
            </w:r>
          </w:p>
        </w:tc>
        <w:tc>
          <w:tcPr>
            <w:tcW w:w="233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生活污水</w:t>
            </w:r>
          </w:p>
        </w:tc>
        <w:tc>
          <w:tcPr>
            <w:tcW w:w="18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SS、COD、石油类等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9"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233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生产废水</w:t>
            </w:r>
          </w:p>
        </w:tc>
        <w:tc>
          <w:tcPr>
            <w:tcW w:w="18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SS、石油类等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9" w:type="pct"/>
            <w:vMerge w:val="restar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废气</w:t>
            </w:r>
          </w:p>
        </w:tc>
        <w:tc>
          <w:tcPr>
            <w:tcW w:w="233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施工扬尘</w:t>
            </w:r>
          </w:p>
        </w:tc>
        <w:tc>
          <w:tcPr>
            <w:tcW w:w="18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TSP</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9"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233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施工船舶、车辆和机械废气</w:t>
            </w:r>
          </w:p>
        </w:tc>
        <w:tc>
          <w:tcPr>
            <w:tcW w:w="18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CO、SO</w:t>
            </w:r>
            <w:r>
              <w:rPr>
                <w:rFonts w:ascii="Times New Roman" w:hAnsi="Times New Roman" w:eastAsiaTheme="minorEastAsia"/>
                <w:color w:val="000000"/>
                <w:kern w:val="0"/>
                <w:vertAlign w:val="subscript"/>
              </w:rPr>
              <w:t>2</w:t>
            </w:r>
            <w:r>
              <w:rPr>
                <w:rFonts w:ascii="Times New Roman" w:hAnsi="Times New Roman" w:eastAsiaTheme="minorEastAsia"/>
                <w:color w:val="000000"/>
                <w:kern w:val="0"/>
              </w:rPr>
              <w:t>、NOx、CnHm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噪声</w:t>
            </w:r>
          </w:p>
        </w:tc>
        <w:tc>
          <w:tcPr>
            <w:tcW w:w="233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施工机械噪声</w:t>
            </w:r>
          </w:p>
        </w:tc>
        <w:tc>
          <w:tcPr>
            <w:tcW w:w="18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等效连续A声级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9" w:type="pct"/>
            <w:vMerge w:val="restar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固废</w:t>
            </w:r>
          </w:p>
        </w:tc>
        <w:tc>
          <w:tcPr>
            <w:tcW w:w="233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建筑拆除垃圾及少量弃土</w:t>
            </w:r>
          </w:p>
        </w:tc>
        <w:tc>
          <w:tcPr>
            <w:tcW w:w="18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一般固废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79"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233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生活垃圾</w:t>
            </w:r>
          </w:p>
        </w:tc>
        <w:tc>
          <w:tcPr>
            <w:tcW w:w="18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生活垃圾</w:t>
            </w:r>
          </w:p>
        </w:tc>
      </w:tr>
    </w:tbl>
    <w:p>
      <w:pPr>
        <w:pStyle w:val="325"/>
        <w:tabs>
          <w:tab w:val="right" w:leader="dot" w:pos="9070"/>
        </w:tabs>
        <w:adjustRightInd w:val="0"/>
        <w:snapToGrid w:val="0"/>
        <w:spacing w:line="360" w:lineRule="auto"/>
        <w:ind w:firstLine="480" w:firstLineChars="200"/>
        <w:jc w:val="both"/>
        <w:rPr>
          <w:rFonts w:eastAsiaTheme="minorEastAsia"/>
          <w:sz w:val="24"/>
          <w:szCs w:val="24"/>
        </w:rPr>
      </w:pPr>
    </w:p>
    <w:p>
      <w:pPr>
        <w:pStyle w:val="4"/>
        <w:rPr>
          <w:rFonts w:eastAsiaTheme="minorEastAsia"/>
        </w:rPr>
      </w:pPr>
      <w:r>
        <w:rPr>
          <w:rFonts w:eastAsiaTheme="minorEastAsia"/>
        </w:rPr>
        <w:t>营运期工艺流程及产污环节</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码头工程装卸工艺流程及产污节点见图3.</w:t>
      </w:r>
      <w:r>
        <w:rPr>
          <w:rFonts w:hint="eastAsia" w:ascii="Times New Roman" w:hAnsi="Times New Roman" w:eastAsiaTheme="minorEastAsia"/>
          <w:sz w:val="24"/>
          <w:szCs w:val="24"/>
          <w:lang w:val="en-US" w:eastAsia="zh-CN"/>
        </w:rPr>
        <w:t>4</w:t>
      </w:r>
      <w:r>
        <w:rPr>
          <w:rFonts w:ascii="Times New Roman" w:hAnsi="Times New Roman" w:eastAsiaTheme="minorEastAsia"/>
          <w:sz w:val="24"/>
          <w:szCs w:val="24"/>
        </w:rPr>
        <w:t>-2。</w:t>
      </w:r>
    </w:p>
    <w:p>
      <w:pPr>
        <w:spacing w:line="360" w:lineRule="auto"/>
        <w:ind w:firstLine="480" w:firstLineChars="200"/>
        <w:rPr>
          <w:rFonts w:ascii="Times New Roman" w:hAnsi="Times New Roman"/>
          <w:sz w:val="24"/>
        </w:rPr>
      </w:pPr>
      <w:r>
        <w:rPr>
          <w:rFonts w:ascii="Times New Roman" w:hAnsi="Times New Roman"/>
          <w:sz w:val="24"/>
        </w:rPr>
        <mc:AlternateContent>
          <mc:Choice Requires="wpg">
            <w:drawing>
              <wp:anchor distT="0" distB="0" distL="114300" distR="114300" simplePos="0" relativeHeight="251765760" behindDoc="0" locked="0" layoutInCell="1" allowOverlap="1">
                <wp:simplePos x="0" y="0"/>
                <wp:positionH relativeFrom="column">
                  <wp:posOffset>177800</wp:posOffset>
                </wp:positionH>
                <wp:positionV relativeFrom="paragraph">
                  <wp:posOffset>60960</wp:posOffset>
                </wp:positionV>
                <wp:extent cx="5110480" cy="1642745"/>
                <wp:effectExtent l="0" t="0" r="13970" b="14605"/>
                <wp:wrapNone/>
                <wp:docPr id="15" name="组合 15"/>
                <wp:cNvGraphicFramePr/>
                <a:graphic xmlns:a="http://schemas.openxmlformats.org/drawingml/2006/main">
                  <a:graphicData uri="http://schemas.microsoft.com/office/word/2010/wordprocessingGroup">
                    <wpg:wgp>
                      <wpg:cNvGrpSpPr/>
                      <wpg:grpSpPr>
                        <a:xfrm>
                          <a:off x="0" y="0"/>
                          <a:ext cx="5110480" cy="1642745"/>
                          <a:chOff x="1920" y="1967"/>
                          <a:chExt cx="8048" cy="2587"/>
                        </a:xfrm>
                      </wpg:grpSpPr>
                      <wps:wsp>
                        <wps:cNvPr id="19" name="文本框 6545"/>
                        <wps:cNvSpPr txBox="1">
                          <a:spLocks noChangeArrowheads="1"/>
                        </wps:cNvSpPr>
                        <wps:spPr bwMode="auto">
                          <a:xfrm>
                            <a:off x="2115" y="2724"/>
                            <a:ext cx="1245" cy="450"/>
                          </a:xfrm>
                          <a:prstGeom prst="rect">
                            <a:avLst/>
                          </a:prstGeom>
                          <a:solidFill>
                            <a:srgbClr val="FFFFFF"/>
                          </a:solidFill>
                          <a:ln w="9525">
                            <a:solidFill>
                              <a:srgbClr val="000000"/>
                            </a:solidFill>
                            <a:miter lim="800000"/>
                          </a:ln>
                        </wps:spPr>
                        <wps:txbx>
                          <w:txbxContent>
                            <w:p>
                              <w:pPr>
                                <w:jc w:val="center"/>
                                <w:rPr>
                                  <w:rFonts w:ascii="Times New Roman" w:hAnsi="Times New Roman"/>
                                </w:rPr>
                              </w:pPr>
                              <w:r>
                                <w:rPr>
                                  <w:rFonts w:ascii="Times New Roman" w:hAnsi="Times New Roman"/>
                                </w:rPr>
                                <w:t>运煤船舶</w:t>
                              </w:r>
                            </w:p>
                          </w:txbxContent>
                        </wps:txbx>
                        <wps:bodyPr rot="0" vert="horz" wrap="square" lIns="91440" tIns="45720" rIns="91440" bIns="45720" anchor="t" anchorCtr="0" upright="1">
                          <a:noAutofit/>
                        </wps:bodyPr>
                      </wps:wsp>
                      <wps:wsp>
                        <wps:cNvPr id="24" name="自选图形 6551"/>
                        <wps:cNvCnPr>
                          <a:cxnSpLocks noChangeShapeType="1"/>
                        </wps:cNvCnPr>
                        <wps:spPr bwMode="auto">
                          <a:xfrm>
                            <a:off x="3360" y="2949"/>
                            <a:ext cx="915" cy="1"/>
                          </a:xfrm>
                          <a:prstGeom prst="straightConnector1">
                            <a:avLst/>
                          </a:prstGeom>
                          <a:noFill/>
                          <a:ln w="9525">
                            <a:solidFill>
                              <a:srgbClr val="000000"/>
                            </a:solidFill>
                            <a:round/>
                            <a:tailEnd type="triangle" w="med" len="med"/>
                          </a:ln>
                        </wps:spPr>
                        <wps:bodyPr/>
                      </wps:wsp>
                      <wps:wsp>
                        <wps:cNvPr id="25" name="文本框 6552"/>
                        <wps:cNvSpPr txBox="1">
                          <a:spLocks noChangeArrowheads="1"/>
                        </wps:cNvSpPr>
                        <wps:spPr bwMode="auto">
                          <a:xfrm>
                            <a:off x="4275" y="2724"/>
                            <a:ext cx="1382" cy="450"/>
                          </a:xfrm>
                          <a:prstGeom prst="rect">
                            <a:avLst/>
                          </a:prstGeom>
                          <a:solidFill>
                            <a:srgbClr val="FFFFFF"/>
                          </a:solidFill>
                          <a:ln w="9525">
                            <a:solidFill>
                              <a:srgbClr val="000000"/>
                            </a:solidFill>
                            <a:miter lim="800000"/>
                          </a:ln>
                        </wps:spPr>
                        <wps:txbx>
                          <w:txbxContent>
                            <w:p>
                              <w:pPr>
                                <w:jc w:val="center"/>
                                <w:rPr>
                                  <w:rFonts w:ascii="Times New Roman" w:hAnsi="Times New Roman"/>
                                </w:rPr>
                              </w:pPr>
                              <w:r>
                                <w:rPr>
                                  <w:rFonts w:ascii="Times New Roman" w:hAnsi="Times New Roman"/>
                                </w:rPr>
                                <w:t>趸船料斗</w:t>
                              </w:r>
                            </w:p>
                          </w:txbxContent>
                        </wps:txbx>
                        <wps:bodyPr rot="0" vert="horz" wrap="square" lIns="91440" tIns="45720" rIns="91440" bIns="45720" anchor="t" anchorCtr="0" upright="1">
                          <a:noAutofit/>
                        </wps:bodyPr>
                      </wps:wsp>
                      <wps:wsp>
                        <wps:cNvPr id="26" name="文本框 6553"/>
                        <wps:cNvSpPr txBox="1">
                          <a:spLocks noChangeArrowheads="1"/>
                        </wps:cNvSpPr>
                        <wps:spPr bwMode="auto">
                          <a:xfrm>
                            <a:off x="6427" y="2724"/>
                            <a:ext cx="1415" cy="450"/>
                          </a:xfrm>
                          <a:prstGeom prst="rect">
                            <a:avLst/>
                          </a:prstGeom>
                          <a:solidFill>
                            <a:srgbClr val="FFFFFF"/>
                          </a:solidFill>
                          <a:ln w="9525">
                            <a:solidFill>
                              <a:srgbClr val="000000"/>
                            </a:solidFill>
                            <a:miter lim="800000"/>
                          </a:ln>
                        </wps:spPr>
                        <wps:txbx>
                          <w:txbxContent>
                            <w:p>
                              <w:pPr>
                                <w:jc w:val="center"/>
                                <w:rPr>
                                  <w:rFonts w:ascii="Times New Roman" w:hAnsi="Times New Roman"/>
                                </w:rPr>
                              </w:pPr>
                              <w:r>
                                <w:rPr>
                                  <w:rFonts w:ascii="Times New Roman" w:hAnsi="Times New Roman"/>
                                </w:rPr>
                                <w:t>活动皮带机</w:t>
                              </w:r>
                            </w:p>
                          </w:txbxContent>
                        </wps:txbx>
                        <wps:bodyPr rot="0" vert="horz" wrap="square" lIns="91440" tIns="45720" rIns="91440" bIns="45720" anchor="t" anchorCtr="0" upright="1">
                          <a:noAutofit/>
                        </wps:bodyPr>
                      </wps:wsp>
                      <wps:wsp>
                        <wps:cNvPr id="28" name="文本框 6554"/>
                        <wps:cNvSpPr txBox="1">
                          <a:spLocks noChangeArrowheads="1"/>
                        </wps:cNvSpPr>
                        <wps:spPr bwMode="auto">
                          <a:xfrm>
                            <a:off x="8580" y="2724"/>
                            <a:ext cx="1388" cy="450"/>
                          </a:xfrm>
                          <a:prstGeom prst="rect">
                            <a:avLst/>
                          </a:prstGeom>
                          <a:solidFill>
                            <a:srgbClr val="FFFFFF"/>
                          </a:solidFill>
                          <a:ln w="9525">
                            <a:solidFill>
                              <a:srgbClr val="000000"/>
                            </a:solidFill>
                            <a:miter lim="800000"/>
                          </a:ln>
                        </wps:spPr>
                        <wps:txbx>
                          <w:txbxContent>
                            <w:p>
                              <w:pPr>
                                <w:rPr>
                                  <w:rFonts w:ascii="Times New Roman" w:hAnsi="Times New Roman"/>
                                </w:rPr>
                              </w:pPr>
                              <w:r>
                                <w:rPr>
                                  <w:rFonts w:ascii="Times New Roman" w:hAnsi="Times New Roman"/>
                                </w:rPr>
                                <w:t>固定皮带机</w:t>
                              </w:r>
                            </w:p>
                          </w:txbxContent>
                        </wps:txbx>
                        <wps:bodyPr rot="0" vert="horz" wrap="square" lIns="91440" tIns="45720" rIns="91440" bIns="45720" anchor="t" anchorCtr="0" upright="1">
                          <a:noAutofit/>
                        </wps:bodyPr>
                      </wps:wsp>
                      <wps:wsp>
                        <wps:cNvPr id="31" name="自选图形 6556"/>
                        <wps:cNvCnPr>
                          <a:cxnSpLocks noChangeShapeType="1"/>
                        </wps:cNvCnPr>
                        <wps:spPr bwMode="auto">
                          <a:xfrm>
                            <a:off x="5657" y="2949"/>
                            <a:ext cx="778" cy="0"/>
                          </a:xfrm>
                          <a:prstGeom prst="straightConnector1">
                            <a:avLst/>
                          </a:prstGeom>
                          <a:noFill/>
                          <a:ln w="9525">
                            <a:solidFill>
                              <a:srgbClr val="000000"/>
                            </a:solidFill>
                            <a:round/>
                            <a:tailEnd type="triangle" w="med" len="med"/>
                          </a:ln>
                        </wps:spPr>
                        <wps:bodyPr/>
                      </wps:wsp>
                      <wps:wsp>
                        <wps:cNvPr id="307" name="自选图形 6557"/>
                        <wps:cNvCnPr>
                          <a:cxnSpLocks noChangeShapeType="1"/>
                        </wps:cNvCnPr>
                        <wps:spPr bwMode="auto">
                          <a:xfrm>
                            <a:off x="7842" y="2948"/>
                            <a:ext cx="753" cy="0"/>
                          </a:xfrm>
                          <a:prstGeom prst="straightConnector1">
                            <a:avLst/>
                          </a:prstGeom>
                          <a:noFill/>
                          <a:ln w="9525">
                            <a:solidFill>
                              <a:srgbClr val="000000"/>
                            </a:solidFill>
                            <a:round/>
                            <a:tailEnd type="triangle" w="med" len="med"/>
                          </a:ln>
                        </wps:spPr>
                        <wps:bodyPr/>
                      </wps:wsp>
                      <wps:wsp>
                        <wps:cNvPr id="308" name="文本框 6558"/>
                        <wps:cNvSpPr txBox="1">
                          <a:spLocks noChangeArrowheads="1"/>
                        </wps:cNvSpPr>
                        <wps:spPr bwMode="auto">
                          <a:xfrm>
                            <a:off x="8291" y="4104"/>
                            <a:ext cx="1677" cy="450"/>
                          </a:xfrm>
                          <a:prstGeom prst="rect">
                            <a:avLst/>
                          </a:prstGeom>
                          <a:solidFill>
                            <a:srgbClr val="FFFFFF"/>
                          </a:solidFill>
                          <a:ln w="9525">
                            <a:solidFill>
                              <a:srgbClr val="000000"/>
                            </a:solidFill>
                            <a:miter lim="800000"/>
                          </a:ln>
                        </wps:spPr>
                        <wps:txbx>
                          <w:txbxContent>
                            <w:p>
                              <w:pPr>
                                <w:jc w:val="center"/>
                                <w:rPr>
                                  <w:rFonts w:ascii="Times New Roman" w:hAnsi="Times New Roman"/>
                                </w:rPr>
                              </w:pPr>
                              <w:r>
                                <w:rPr>
                                  <w:rFonts w:ascii="Times New Roman" w:hAnsi="Times New Roman"/>
                                </w:rPr>
                                <w:t>岳阳电厂煤堆场</w:t>
                              </w:r>
                            </w:p>
                            <w:p>
                              <w:pPr>
                                <w:jc w:val="center"/>
                                <w:rPr>
                                  <w:rFonts w:ascii="Times New Roman" w:hAnsi="Times New Roman"/>
                                </w:rPr>
                              </w:pPr>
                            </w:p>
                          </w:txbxContent>
                        </wps:txbx>
                        <wps:bodyPr rot="0" vert="horz" wrap="square" lIns="91440" tIns="45720" rIns="91440" bIns="45720" anchor="t" anchorCtr="0" upright="1">
                          <a:noAutofit/>
                        </wps:bodyPr>
                      </wps:wsp>
                      <wps:wsp>
                        <wps:cNvPr id="309" name="自选图形 6562"/>
                        <wps:cNvCnPr>
                          <a:cxnSpLocks noChangeShapeType="1"/>
                        </wps:cNvCnPr>
                        <wps:spPr bwMode="auto">
                          <a:xfrm>
                            <a:off x="9290" y="3174"/>
                            <a:ext cx="0" cy="930"/>
                          </a:xfrm>
                          <a:prstGeom prst="straightConnector1">
                            <a:avLst/>
                          </a:prstGeom>
                          <a:noFill/>
                          <a:ln w="9525">
                            <a:solidFill>
                              <a:srgbClr val="000000"/>
                            </a:solidFill>
                            <a:round/>
                            <a:tailEnd type="triangle" w="med" len="med"/>
                          </a:ln>
                        </wps:spPr>
                        <wps:bodyPr/>
                      </wps:wsp>
                      <wps:wsp>
                        <wps:cNvPr id="311" name="文本框 6584"/>
                        <wps:cNvSpPr txBox="1">
                          <a:spLocks noChangeArrowheads="1"/>
                        </wps:cNvSpPr>
                        <wps:spPr bwMode="auto">
                          <a:xfrm>
                            <a:off x="1920" y="1984"/>
                            <a:ext cx="1602" cy="450"/>
                          </a:xfrm>
                          <a:prstGeom prst="rect">
                            <a:avLst/>
                          </a:prstGeom>
                          <a:noFill/>
                          <a:ln>
                            <a:noFill/>
                          </a:ln>
                        </wps:spPr>
                        <wps:txbx>
                          <w:txbxContent>
                            <w:p>
                              <w:pPr>
                                <w:jc w:val="center"/>
                                <w:rPr>
                                  <w:rFonts w:ascii="Times New Roman" w:hAnsi="Times New Roman"/>
                                  <w:u w:val="single"/>
                                </w:rPr>
                              </w:pPr>
                              <w:r>
                                <w:rPr>
                                  <w:rFonts w:ascii="Times New Roman" w:hAnsi="Times New Roman"/>
                                  <w:u w:val="single"/>
                                </w:rPr>
                                <w:t>G、W、S、N</w:t>
                              </w:r>
                            </w:p>
                          </w:txbxContent>
                        </wps:txbx>
                        <wps:bodyPr rot="0" vert="horz" wrap="square" lIns="91440" tIns="45720" rIns="91440" bIns="45720" anchor="t" anchorCtr="0" upright="1">
                          <a:noAutofit/>
                        </wps:bodyPr>
                      </wps:wsp>
                      <wps:wsp>
                        <wps:cNvPr id="312" name="自选图形 6585"/>
                        <wps:cNvCnPr>
                          <a:cxnSpLocks noChangeShapeType="1"/>
                        </wps:cNvCnPr>
                        <wps:spPr bwMode="auto">
                          <a:xfrm flipV="1">
                            <a:off x="2685" y="2301"/>
                            <a:ext cx="0" cy="423"/>
                          </a:xfrm>
                          <a:prstGeom prst="straightConnector1">
                            <a:avLst/>
                          </a:prstGeom>
                          <a:noFill/>
                          <a:ln w="9525">
                            <a:solidFill>
                              <a:srgbClr val="000000"/>
                            </a:solidFill>
                            <a:prstDash val="dashDot"/>
                            <a:round/>
                            <a:tailEnd type="triangle" w="med" len="med"/>
                          </a:ln>
                        </wps:spPr>
                        <wps:bodyPr/>
                      </wps:wsp>
                      <wps:wsp>
                        <wps:cNvPr id="313" name="自选图形 6586"/>
                        <wps:cNvCnPr>
                          <a:cxnSpLocks noChangeShapeType="1"/>
                        </wps:cNvCnPr>
                        <wps:spPr bwMode="auto">
                          <a:xfrm flipV="1">
                            <a:off x="3812" y="2318"/>
                            <a:ext cx="0" cy="406"/>
                          </a:xfrm>
                          <a:prstGeom prst="straightConnector1">
                            <a:avLst/>
                          </a:prstGeom>
                          <a:noFill/>
                          <a:ln w="9525">
                            <a:solidFill>
                              <a:srgbClr val="000000"/>
                            </a:solidFill>
                            <a:prstDash val="dashDot"/>
                            <a:round/>
                            <a:tailEnd type="triangle" w="med" len="med"/>
                          </a:ln>
                        </wps:spPr>
                        <wps:bodyPr/>
                      </wps:wsp>
                      <wps:wsp>
                        <wps:cNvPr id="314" name="文本框 6591"/>
                        <wps:cNvSpPr txBox="1">
                          <a:spLocks noChangeArrowheads="1"/>
                        </wps:cNvSpPr>
                        <wps:spPr bwMode="auto">
                          <a:xfrm>
                            <a:off x="3208" y="2619"/>
                            <a:ext cx="1170" cy="450"/>
                          </a:xfrm>
                          <a:prstGeom prst="rect">
                            <a:avLst/>
                          </a:prstGeom>
                          <a:noFill/>
                          <a:ln>
                            <a:noFill/>
                          </a:ln>
                        </wps:spPr>
                        <wps:txbx>
                          <w:txbxContent>
                            <w:p>
                              <w:pPr>
                                <w:jc w:val="center"/>
                                <w:rPr>
                                  <w:rFonts w:ascii="Times New Roman" w:hAnsi="Times New Roman"/>
                                </w:rPr>
                              </w:pPr>
                              <w:r>
                                <w:rPr>
                                  <w:rFonts w:ascii="Times New Roman" w:hAnsi="Times New Roman"/>
                                </w:rPr>
                                <w:t>浮吊</w:t>
                              </w:r>
                            </w:p>
                          </w:txbxContent>
                        </wps:txbx>
                        <wps:bodyPr rot="0" vert="horz" wrap="square" lIns="91440" tIns="45720" rIns="91440" bIns="45720" anchor="t" anchorCtr="0" upright="1">
                          <a:noAutofit/>
                        </wps:bodyPr>
                      </wps:wsp>
                      <wps:wsp>
                        <wps:cNvPr id="315" name="文本框 7437"/>
                        <wps:cNvSpPr txBox="1">
                          <a:spLocks noChangeArrowheads="1"/>
                        </wps:cNvSpPr>
                        <wps:spPr bwMode="auto">
                          <a:xfrm>
                            <a:off x="3442" y="1984"/>
                            <a:ext cx="762" cy="450"/>
                          </a:xfrm>
                          <a:prstGeom prst="rect">
                            <a:avLst/>
                          </a:prstGeom>
                          <a:noFill/>
                          <a:ln>
                            <a:noFill/>
                          </a:ln>
                        </wps:spPr>
                        <wps:txbx>
                          <w:txbxContent>
                            <w:p>
                              <w:pPr>
                                <w:jc w:val="center"/>
                                <w:rPr>
                                  <w:rFonts w:ascii="Times New Roman" w:hAnsi="Times New Roman"/>
                                  <w:u w:val="single"/>
                                </w:rPr>
                              </w:pPr>
                              <w:r>
                                <w:rPr>
                                  <w:rFonts w:ascii="Times New Roman" w:hAnsi="Times New Roman"/>
                                  <w:u w:val="single"/>
                                </w:rPr>
                                <w:t>G</w:t>
                              </w:r>
                            </w:p>
                          </w:txbxContent>
                        </wps:txbx>
                        <wps:bodyPr rot="0" vert="horz" wrap="square" lIns="91440" tIns="45720" rIns="91440" bIns="45720" anchor="t" anchorCtr="0" upright="1">
                          <a:noAutofit/>
                        </wps:bodyPr>
                      </wps:wsp>
                      <wps:wsp>
                        <wps:cNvPr id="316" name="文本框 7438"/>
                        <wps:cNvSpPr txBox="1">
                          <a:spLocks noChangeArrowheads="1"/>
                        </wps:cNvSpPr>
                        <wps:spPr bwMode="auto">
                          <a:xfrm>
                            <a:off x="6279" y="1967"/>
                            <a:ext cx="1602" cy="450"/>
                          </a:xfrm>
                          <a:prstGeom prst="rect">
                            <a:avLst/>
                          </a:prstGeom>
                          <a:noFill/>
                          <a:ln>
                            <a:noFill/>
                          </a:ln>
                        </wps:spPr>
                        <wps:txbx>
                          <w:txbxContent>
                            <w:p>
                              <w:pPr>
                                <w:jc w:val="center"/>
                                <w:rPr>
                                  <w:rFonts w:ascii="Times New Roman" w:hAnsi="Times New Roman"/>
                                  <w:u w:val="single"/>
                                </w:rPr>
                              </w:pPr>
                              <w:r>
                                <w:rPr>
                                  <w:rFonts w:ascii="Times New Roman" w:hAnsi="Times New Roman"/>
                                  <w:u w:val="single"/>
                                </w:rPr>
                                <w:t>G、N</w:t>
                              </w:r>
                            </w:p>
                          </w:txbxContent>
                        </wps:txbx>
                        <wps:bodyPr rot="0" vert="horz" wrap="square" lIns="91440" tIns="45720" rIns="91440" bIns="45720" anchor="t" anchorCtr="0" upright="1">
                          <a:noAutofit/>
                        </wps:bodyPr>
                      </wps:wsp>
                      <wps:wsp>
                        <wps:cNvPr id="317" name="自选图形 7439"/>
                        <wps:cNvCnPr>
                          <a:cxnSpLocks noChangeShapeType="1"/>
                        </wps:cNvCnPr>
                        <wps:spPr bwMode="auto">
                          <a:xfrm flipV="1">
                            <a:off x="7095" y="2284"/>
                            <a:ext cx="0" cy="423"/>
                          </a:xfrm>
                          <a:prstGeom prst="straightConnector1">
                            <a:avLst/>
                          </a:prstGeom>
                          <a:noFill/>
                          <a:ln w="9525">
                            <a:solidFill>
                              <a:srgbClr val="000000"/>
                            </a:solidFill>
                            <a:prstDash val="dashDot"/>
                            <a:round/>
                            <a:tailEnd type="triangle" w="med" len="med"/>
                          </a:ln>
                        </wps:spPr>
                        <wps:bodyPr/>
                      </wps:wsp>
                      <wps:wsp>
                        <wps:cNvPr id="318" name="文本框 7440"/>
                        <wps:cNvSpPr txBox="1">
                          <a:spLocks noChangeArrowheads="1"/>
                        </wps:cNvSpPr>
                        <wps:spPr bwMode="auto">
                          <a:xfrm>
                            <a:off x="8366" y="1967"/>
                            <a:ext cx="1602" cy="450"/>
                          </a:xfrm>
                          <a:prstGeom prst="rect">
                            <a:avLst/>
                          </a:prstGeom>
                          <a:noFill/>
                          <a:ln>
                            <a:noFill/>
                          </a:ln>
                        </wps:spPr>
                        <wps:txbx>
                          <w:txbxContent>
                            <w:p>
                              <w:pPr>
                                <w:jc w:val="center"/>
                                <w:rPr>
                                  <w:rFonts w:ascii="Times New Roman" w:hAnsi="Times New Roman"/>
                                  <w:u w:val="single"/>
                                </w:rPr>
                              </w:pPr>
                              <w:r>
                                <w:rPr>
                                  <w:rFonts w:ascii="Times New Roman" w:hAnsi="Times New Roman"/>
                                  <w:u w:val="single"/>
                                </w:rPr>
                                <w:t>G、N</w:t>
                              </w:r>
                            </w:p>
                          </w:txbxContent>
                        </wps:txbx>
                        <wps:bodyPr rot="0" vert="horz" wrap="square" lIns="91440" tIns="45720" rIns="91440" bIns="45720" anchor="t" anchorCtr="0" upright="1">
                          <a:noAutofit/>
                        </wps:bodyPr>
                      </wps:wsp>
                      <wps:wsp>
                        <wps:cNvPr id="319" name="自选图形 7441"/>
                        <wps:cNvCnPr>
                          <a:cxnSpLocks noChangeShapeType="1"/>
                        </wps:cNvCnPr>
                        <wps:spPr bwMode="auto">
                          <a:xfrm flipV="1">
                            <a:off x="9182" y="2284"/>
                            <a:ext cx="0" cy="423"/>
                          </a:xfrm>
                          <a:prstGeom prst="straightConnector1">
                            <a:avLst/>
                          </a:prstGeom>
                          <a:noFill/>
                          <a:ln w="9525">
                            <a:solidFill>
                              <a:srgbClr val="000000"/>
                            </a:solidFill>
                            <a:prstDash val="dashDot"/>
                            <a:round/>
                            <a:tailEnd type="triangle" w="med" len="med"/>
                          </a:ln>
                        </wps:spPr>
                        <wps:bodyPr/>
                      </wps:wsp>
                    </wpg:wgp>
                  </a:graphicData>
                </a:graphic>
              </wp:anchor>
            </w:drawing>
          </mc:Choice>
          <mc:Fallback>
            <w:pict>
              <v:group id="_x0000_s1026" o:spid="_x0000_s1026" o:spt="203" style="position:absolute;left:0pt;margin-left:14pt;margin-top:4.8pt;height:129.35pt;width:402.4pt;z-index:251765760;mso-width-relative:page;mso-height-relative:page;" coordorigin="1920,1967" coordsize="8048,2587" o:gfxdata="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">
                <o:lock v:ext="edit" aspectratio="f"/>
                <v:shape id="文本框 6545" o:spid="_x0000_s1026" o:spt="202" type="#_x0000_t202" style="position:absolute;left:2115;top:2724;height:450;width:1245;" fillcolor="#FFFFFF" filled="t" stroked="t" coordsize="21600,21600" o:gfxdata="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dkS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rFonts w:ascii="Times New Roman" w:hAnsi="Times New Roman"/>
                          </w:rPr>
                        </w:pPr>
                        <w:r>
                          <w:rPr>
                            <w:rFonts w:ascii="Times New Roman" w:hAnsi="Times New Roman"/>
                          </w:rPr>
                          <w:t>运煤船舶</w:t>
                        </w:r>
                      </w:p>
                    </w:txbxContent>
                  </v:textbox>
                </v:shape>
                <v:shape id="自选图形 6551" o:spid="_x0000_s1026" o:spt="32" type="#_x0000_t32" style="position:absolute;left:3360;top:2949;height:1;width:915;" filled="f" stroked="t" coordsize="21600,21600" o:gfxdata="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slR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6552" o:spid="_x0000_s1026" o:spt="202" type="#_x0000_t202" style="position:absolute;left:4275;top:2724;height:450;width:1382;" fillcolor="#FFFFFF" filled="t" stroked="t" coordsize="21600,21600" o:gfxdata="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7b8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rFonts w:ascii="Times New Roman" w:hAnsi="Times New Roman"/>
                          </w:rPr>
                        </w:pPr>
                        <w:r>
                          <w:rPr>
                            <w:rFonts w:ascii="Times New Roman" w:hAnsi="Times New Roman"/>
                          </w:rPr>
                          <w:t>趸船料斗</w:t>
                        </w:r>
                      </w:p>
                    </w:txbxContent>
                  </v:textbox>
                </v:shape>
                <v:shape id="文本框 6553" o:spid="_x0000_s1026" o:spt="202" type="#_x0000_t202" style="position:absolute;left:6427;top:2724;height:450;width:1415;" fillcolor="#FFFFFF" filled="t" stroked="t" coordsize="21600,21600" o:gfxdata="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SiL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rFonts w:ascii="Times New Roman" w:hAnsi="Times New Roman"/>
                          </w:rPr>
                        </w:pPr>
                        <w:r>
                          <w:rPr>
                            <w:rFonts w:ascii="Times New Roman" w:hAnsi="Times New Roman"/>
                          </w:rPr>
                          <w:t>活动皮带机</w:t>
                        </w:r>
                      </w:p>
                    </w:txbxContent>
                  </v:textbox>
                </v:shape>
                <v:shape id="文本框 6554" o:spid="_x0000_s1026" o:spt="202" type="#_x0000_t202" style="position:absolute;left:8580;top:2724;height:450;width:1388;" fillcolor="#FFFFFF" filled="t" stroked="t" coordsize="21600,21600" o:gfxdata="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Xhli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rPr>
                            <w:rFonts w:ascii="Times New Roman" w:hAnsi="Times New Roman"/>
                          </w:rPr>
                        </w:pPr>
                        <w:r>
                          <w:rPr>
                            <w:rFonts w:ascii="Times New Roman" w:hAnsi="Times New Roman"/>
                          </w:rPr>
                          <w:t>固定皮带机</w:t>
                        </w:r>
                      </w:p>
                    </w:txbxContent>
                  </v:textbox>
                </v:shape>
                <v:shape id="自选图形 6556" o:spid="_x0000_s1026" o:spt="32" type="#_x0000_t32" style="position:absolute;left:5657;top:2949;height:0;width:778;" filled="f" stroked="t" coordsize="21600,21600" o:gfxdata="UEsDBAoAAAAAAIdO4kAAAAAAAAAAAAAAAAAEAAAAZHJzL1BLAwQUAAAACACHTuJAO3UQAb4AAADb&#10;AAAADwAAAGRycy9kb3ducmV2LnhtbEWPT2sCMRTE7wW/Q3hCbzW7FpZ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UQA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6557" o:spid="_x0000_s1026" o:spt="32" type="#_x0000_t32" style="position:absolute;left:7842;top:2948;height:0;width:753;" filled="f" stroked="t" coordsize="21600,21600" o:gfxdata="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RP5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6558" o:spid="_x0000_s1026" o:spt="202" type="#_x0000_t202" style="position:absolute;left:8291;top:4104;height:450;width:1677;" fillcolor="#FFFFFF" filled="t" stroked="t" coordsize="21600,21600" o:gfxdata="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xZT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rPr>
                            <w:rFonts w:ascii="Times New Roman" w:hAnsi="Times New Roman"/>
                          </w:rPr>
                        </w:pPr>
                        <w:r>
                          <w:rPr>
                            <w:rFonts w:ascii="Times New Roman" w:hAnsi="Times New Roman"/>
                          </w:rPr>
                          <w:t>岳阳电厂煤堆场</w:t>
                        </w:r>
                      </w:p>
                      <w:p>
                        <w:pPr>
                          <w:jc w:val="center"/>
                          <w:rPr>
                            <w:rFonts w:ascii="Times New Roman" w:hAnsi="Times New Roman"/>
                          </w:rPr>
                        </w:pPr>
                      </w:p>
                    </w:txbxContent>
                  </v:textbox>
                </v:shape>
                <v:shape id="自选图形 6562" o:spid="_x0000_s1026" o:spt="32" type="#_x0000_t32" style="position:absolute;left:9290;top:3174;height:930;width:0;" filled="f" stroked="t" coordsize="21600,21600" o:gfxdata="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CDn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6584" o:spid="_x0000_s1026" o:spt="202" type="#_x0000_t202" style="position:absolute;left:1920;top:1984;height:450;width:1602;" filled="f" stroked="f" coordsize="21600,21600" o:gfxdata="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0XK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ascii="Times New Roman" w:hAnsi="Times New Roman"/>
                            <w:u w:val="single"/>
                          </w:rPr>
                        </w:pPr>
                        <w:r>
                          <w:rPr>
                            <w:rFonts w:ascii="Times New Roman" w:hAnsi="Times New Roman"/>
                            <w:u w:val="single"/>
                          </w:rPr>
                          <w:t>G、W、S、N</w:t>
                        </w:r>
                      </w:p>
                    </w:txbxContent>
                  </v:textbox>
                </v:shape>
                <v:shape id="自选图形 6585" o:spid="_x0000_s1026" o:spt="32" type="#_x0000_t32" style="position:absolute;left:2685;top:2301;flip:y;height:423;width:0;" filled="f" stroked="t" coordsize="21600,21600" o:gfxdata="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etSr4A&#10;AADcAAAADwAAAAAAAAABACAAAAAiAAAAZHJzL2Rvd25yZXYueG1sUEsBAhQAFAAAAAgAh07iQDMv&#10;BZ47AAAAOQAAABAAAAAAAAAAAQAgAAAADQEAAGRycy9zaGFwZXhtbC54bWxQSwUGAAAAAAYABgBb&#10;AQAAtwMAAAAA&#10;">
                  <v:fill on="f" focussize="0,0"/>
                  <v:stroke color="#000000" joinstyle="round" dashstyle="dashDot" endarrow="block"/>
                  <v:imagedata o:title=""/>
                  <o:lock v:ext="edit" aspectratio="f"/>
                </v:shape>
                <v:shape id="自选图形 6586" o:spid="_x0000_s1026" o:spt="32" type="#_x0000_t32" style="position:absolute;left:3812;top:2318;flip:y;height:406;width:0;" filled="f" stroked="t" coordsize="21600,21600" o:gfxdata="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3sI0b4A&#10;AADcAAAADwAAAAAAAAABACAAAAAiAAAAZHJzL2Rvd25yZXYueG1sUEsBAhQAFAAAAAgAh07iQDMv&#10;BZ47AAAAOQAAABAAAAAAAAAAAQAgAAAADQEAAGRycy9zaGFwZXhtbC54bWxQSwUGAAAAAAYABgBb&#10;AQAAtwMAAAAA&#10;">
                  <v:fill on="f" focussize="0,0"/>
                  <v:stroke color="#000000" joinstyle="round" dashstyle="dashDot" endarrow="block"/>
                  <v:imagedata o:title=""/>
                  <o:lock v:ext="edit" aspectratio="f"/>
                </v:shape>
                <v:shape id="文本框 6591" o:spid="_x0000_s1026" o:spt="202" type="#_x0000_t202" style="position:absolute;left:3208;top:2619;height:450;width:1170;" filled="f" stroked="f" coordsize="21600,21600" o:gfxdata="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KOZS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ascii="Times New Roman" w:hAnsi="Times New Roman"/>
                          </w:rPr>
                        </w:pPr>
                        <w:r>
                          <w:rPr>
                            <w:rFonts w:ascii="Times New Roman" w:hAnsi="Times New Roman"/>
                          </w:rPr>
                          <w:t>浮吊</w:t>
                        </w:r>
                      </w:p>
                    </w:txbxContent>
                  </v:textbox>
                </v:shape>
                <v:shape id="文本框 7437" o:spid="_x0000_s1026" o:spt="202" type="#_x0000_t202" style="position:absolute;left:3442;top:1984;height:450;width:762;" filled="f" stroked="f" coordsize="21600,21600" o:gfxdata="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RDy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u w:val="single"/>
                          </w:rPr>
                        </w:pPr>
                        <w:r>
                          <w:rPr>
                            <w:rFonts w:ascii="Times New Roman" w:hAnsi="Times New Roman"/>
                            <w:u w:val="single"/>
                          </w:rPr>
                          <w:t>G</w:t>
                        </w:r>
                      </w:p>
                    </w:txbxContent>
                  </v:textbox>
                </v:shape>
                <v:shape id="文本框 7438" o:spid="_x0000_s1026" o:spt="202" type="#_x0000_t202" style="position:absolute;left:6279;top:1967;height:450;width:1602;" filled="f" stroked="f" coordsize="21600,21600" o:gfxdata="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bdv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u w:val="single"/>
                          </w:rPr>
                        </w:pPr>
                        <w:r>
                          <w:rPr>
                            <w:rFonts w:ascii="Times New Roman" w:hAnsi="Times New Roman"/>
                            <w:u w:val="single"/>
                          </w:rPr>
                          <w:t>G、N</w:t>
                        </w:r>
                      </w:p>
                    </w:txbxContent>
                  </v:textbox>
                </v:shape>
                <v:shape id="自选图形 7439" o:spid="_x0000_s1026" o:spt="32" type="#_x0000_t32" style="position:absolute;left:7095;top:2284;flip:y;height:423;width:0;" filled="f" stroked="t" coordsize="21600,21600" o:gfxdata="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AO0r4A&#10;AADcAAAADwAAAAAAAAABACAAAAAiAAAAZHJzL2Rvd25yZXYueG1sUEsBAhQAFAAAAAgAh07iQDMv&#10;BZ47AAAAOQAAABAAAAAAAAAAAQAgAAAADQEAAGRycy9zaGFwZXhtbC54bWxQSwUGAAAAAAYABgBb&#10;AQAAtwMAAAAA&#10;">
                  <v:fill on="f" focussize="0,0"/>
                  <v:stroke color="#000000" joinstyle="round" dashstyle="dashDot" endarrow="block"/>
                  <v:imagedata o:title=""/>
                  <o:lock v:ext="edit" aspectratio="f"/>
                </v:shape>
                <v:shape id="文本框 7440" o:spid="_x0000_s1026" o:spt="202" type="#_x0000_t202" style="position:absolute;left:8366;top:1967;height:450;width:1602;" filled="f" stroked="f" coordsize="21600,21600" o:gfxdata="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XsV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ascii="Times New Roman" w:hAnsi="Times New Roman"/>
                            <w:u w:val="single"/>
                          </w:rPr>
                        </w:pPr>
                        <w:r>
                          <w:rPr>
                            <w:rFonts w:ascii="Times New Roman" w:hAnsi="Times New Roman"/>
                            <w:u w:val="single"/>
                          </w:rPr>
                          <w:t>G、N</w:t>
                        </w:r>
                      </w:p>
                    </w:txbxContent>
                  </v:textbox>
                </v:shape>
                <v:shape id="自选图形 7441" o:spid="_x0000_s1026" o:spt="32" type="#_x0000_t32" style="position:absolute;left:9182;top:2284;flip:y;height:423;width:0;" filled="f" stroked="t" coordsize="21600,21600" o:gfxdata="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M/O74A&#10;AADcAAAADwAAAAAAAAABACAAAAAiAAAAZHJzL2Rvd25yZXYueG1sUEsBAhQAFAAAAAgAh07iQDMv&#10;BZ47AAAAOQAAABAAAAAAAAAAAQAgAAAADQEAAGRycy9zaGFwZXhtbC54bWxQSwUGAAAAAAYABgBb&#10;AQAAtwMAAAAA&#10;">
                  <v:fill on="f" focussize="0,0"/>
                  <v:stroke color="#000000" joinstyle="round" dashstyle="dashDot" endarrow="block"/>
                  <v:imagedata o:title=""/>
                  <o:lock v:ext="edit" aspectratio="f"/>
                </v:shape>
              </v:group>
            </w:pict>
          </mc:Fallback>
        </mc:AlternateContent>
      </w:r>
    </w:p>
    <w:p>
      <w:pPr>
        <w:spacing w:line="360" w:lineRule="auto"/>
        <w:ind w:firstLine="480" w:firstLineChars="200"/>
        <w:rPr>
          <w:rFonts w:ascii="Times New Roman" w:hAnsi="Times New Roman"/>
          <w:sz w:val="24"/>
        </w:rPr>
      </w:pPr>
    </w:p>
    <w:p>
      <w:pPr>
        <w:spacing w:line="360" w:lineRule="auto"/>
        <w:ind w:firstLine="480" w:firstLineChars="200"/>
        <w:rPr>
          <w:rFonts w:ascii="Times New Roman" w:hAnsi="Times New Roman"/>
          <w:sz w:val="24"/>
        </w:rPr>
      </w:pPr>
    </w:p>
    <w:p>
      <w:pPr>
        <w:spacing w:line="360" w:lineRule="auto"/>
        <w:rPr>
          <w:rFonts w:ascii="Times New Roman" w:hAnsi="Times New Roman"/>
          <w:sz w:val="24"/>
        </w:rPr>
      </w:pPr>
    </w:p>
    <w:p>
      <w:pPr>
        <w:spacing w:line="360" w:lineRule="auto"/>
        <w:rPr>
          <w:rFonts w:ascii="Times New Roman" w:hAnsi="Times New Roman"/>
          <w:sz w:val="24"/>
          <w:lang w:val="zh-CN"/>
        </w:rPr>
      </w:pPr>
    </w:p>
    <w:p>
      <w:pPr>
        <w:pStyle w:val="355"/>
        <w:adjustRightInd w:val="0"/>
        <w:spacing w:line="360" w:lineRule="auto"/>
        <w:ind w:firstLine="0" w:firstLineChars="0"/>
        <w:rPr>
          <w:rFonts w:cs="Times New Roman" w:eastAsiaTheme="minorEastAsia"/>
          <w:b/>
          <w:sz w:val="24"/>
        </w:rPr>
      </w:pPr>
    </w:p>
    <w:p>
      <w:pPr>
        <w:pStyle w:val="355"/>
        <w:adjustRightInd w:val="0"/>
        <w:spacing w:line="360" w:lineRule="auto"/>
        <w:ind w:firstLine="0" w:firstLineChars="0"/>
        <w:jc w:val="center"/>
        <w:rPr>
          <w:rFonts w:cs="Times New Roman" w:eastAsiaTheme="minorEastAsia"/>
          <w:b/>
          <w:sz w:val="24"/>
        </w:rPr>
      </w:pPr>
      <w:r>
        <w:rPr>
          <w:rFonts w:cs="Times New Roman" w:eastAsiaTheme="minorEastAsia"/>
          <w:b/>
          <w:sz w:val="24"/>
        </w:rPr>
        <w:t>图3.</w:t>
      </w:r>
      <w:r>
        <w:rPr>
          <w:rFonts w:hint="eastAsia" w:cs="Times New Roman" w:eastAsiaTheme="minorEastAsia"/>
          <w:b/>
          <w:sz w:val="24"/>
          <w:lang w:val="en-US" w:eastAsia="zh-CN"/>
        </w:rPr>
        <w:t>4</w:t>
      </w:r>
      <w:r>
        <w:rPr>
          <w:rFonts w:cs="Times New Roman" w:eastAsiaTheme="minorEastAsia"/>
          <w:b/>
          <w:sz w:val="24"/>
        </w:rPr>
        <w:t>-2  项目码头工艺流程及产污环节图</w:t>
      </w:r>
    </w:p>
    <w:p>
      <w:pPr>
        <w:pStyle w:val="325"/>
        <w:tabs>
          <w:tab w:val="right" w:leader="dot" w:pos="9070"/>
        </w:tabs>
        <w:adjustRightInd w:val="0"/>
        <w:snapToGrid w:val="0"/>
        <w:spacing w:line="360" w:lineRule="auto"/>
        <w:ind w:firstLine="482" w:firstLineChars="200"/>
        <w:jc w:val="both"/>
        <w:rPr>
          <w:rFonts w:eastAsiaTheme="minorEastAsia"/>
          <w:b/>
          <w:sz w:val="24"/>
          <w:szCs w:val="24"/>
        </w:rPr>
      </w:pPr>
      <w:r>
        <w:rPr>
          <w:rFonts w:eastAsiaTheme="minorEastAsia"/>
          <w:b/>
          <w:sz w:val="24"/>
          <w:szCs w:val="24"/>
        </w:rPr>
        <w:t>2、产污环节</w:t>
      </w:r>
    </w:p>
    <w:p>
      <w:pPr>
        <w:pStyle w:val="325"/>
        <w:tabs>
          <w:tab w:val="right" w:leader="dot" w:pos="9070"/>
        </w:tabs>
        <w:adjustRightInd w:val="0"/>
        <w:snapToGrid w:val="0"/>
        <w:spacing w:line="360" w:lineRule="auto"/>
        <w:ind w:firstLine="480" w:firstLineChars="200"/>
        <w:jc w:val="both"/>
        <w:rPr>
          <w:rFonts w:eastAsiaTheme="minorEastAsia"/>
          <w:sz w:val="24"/>
          <w:szCs w:val="24"/>
        </w:rPr>
      </w:pPr>
      <w:r>
        <w:rPr>
          <w:rFonts w:eastAsiaTheme="minorEastAsia"/>
          <w:sz w:val="24"/>
          <w:szCs w:val="24"/>
        </w:rPr>
        <w:t>本项目在正常运营状态下污染物产生环节分析结果见表3.</w:t>
      </w:r>
      <w:r>
        <w:rPr>
          <w:rFonts w:hint="eastAsia" w:eastAsiaTheme="minorEastAsia"/>
          <w:sz w:val="24"/>
          <w:szCs w:val="24"/>
          <w:lang w:val="en-US" w:eastAsia="zh-CN"/>
        </w:rPr>
        <w:t>4</w:t>
      </w:r>
      <w:r>
        <w:rPr>
          <w:rFonts w:eastAsiaTheme="minorEastAsia"/>
          <w:sz w:val="24"/>
          <w:szCs w:val="24"/>
        </w:rPr>
        <w:t>-2。</w:t>
      </w:r>
    </w:p>
    <w:p>
      <w:pPr>
        <w:pStyle w:val="355"/>
        <w:adjustRightInd w:val="0"/>
        <w:spacing w:line="276" w:lineRule="auto"/>
        <w:ind w:firstLine="0" w:firstLineChars="0"/>
        <w:jc w:val="center"/>
        <w:rPr>
          <w:rFonts w:cs="Times New Roman" w:eastAsiaTheme="minorEastAsia"/>
          <w:b/>
          <w:sz w:val="24"/>
        </w:rPr>
      </w:pPr>
      <w:r>
        <w:rPr>
          <w:rFonts w:cs="Times New Roman" w:eastAsiaTheme="minorEastAsia"/>
          <w:b/>
          <w:sz w:val="24"/>
        </w:rPr>
        <w:t>表3.</w:t>
      </w:r>
      <w:r>
        <w:rPr>
          <w:rFonts w:hint="eastAsia" w:cs="Times New Roman" w:eastAsiaTheme="minorEastAsia"/>
          <w:b/>
          <w:sz w:val="24"/>
          <w:lang w:val="en-US" w:eastAsia="zh-CN"/>
        </w:rPr>
        <w:t>4</w:t>
      </w:r>
      <w:r>
        <w:rPr>
          <w:rFonts w:cs="Times New Roman" w:eastAsiaTheme="minorEastAsia"/>
          <w:b/>
          <w:sz w:val="24"/>
        </w:rPr>
        <w:t>-2  污染物产生环节分析结果</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529"/>
        <w:gridCol w:w="2974"/>
        <w:gridCol w:w="2766"/>
        <w:gridCol w:w="183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tblHeader/>
          <w:jc w:val="center"/>
        </w:trPr>
        <w:tc>
          <w:tcPr>
            <w:tcW w:w="840"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类别</w:t>
            </w:r>
          </w:p>
        </w:tc>
        <w:tc>
          <w:tcPr>
            <w:tcW w:w="1634"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产生环节</w:t>
            </w:r>
          </w:p>
        </w:tc>
        <w:tc>
          <w:tcPr>
            <w:tcW w:w="1520"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主要污染物</w:t>
            </w:r>
          </w:p>
        </w:tc>
        <w:tc>
          <w:tcPr>
            <w:tcW w:w="1006"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污染类别</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84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废气</w:t>
            </w:r>
          </w:p>
        </w:tc>
        <w:tc>
          <w:tcPr>
            <w:tcW w:w="163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装卸船废气</w:t>
            </w:r>
          </w:p>
        </w:tc>
        <w:tc>
          <w:tcPr>
            <w:tcW w:w="152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TSP</w:t>
            </w:r>
          </w:p>
        </w:tc>
        <w:tc>
          <w:tcPr>
            <w:tcW w:w="100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无组织排放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840" w:type="pct"/>
            <w:vMerge w:val="restar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废水</w:t>
            </w:r>
          </w:p>
        </w:tc>
        <w:tc>
          <w:tcPr>
            <w:tcW w:w="163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船舶生活污水</w:t>
            </w:r>
          </w:p>
        </w:tc>
        <w:tc>
          <w:tcPr>
            <w:tcW w:w="152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COD、SS、石油类等</w:t>
            </w:r>
          </w:p>
        </w:tc>
        <w:tc>
          <w:tcPr>
            <w:tcW w:w="100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船舶废水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840"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163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码头生活污水</w:t>
            </w:r>
          </w:p>
        </w:tc>
        <w:tc>
          <w:tcPr>
            <w:tcW w:w="152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COD、SS、石油类等</w:t>
            </w:r>
          </w:p>
        </w:tc>
        <w:tc>
          <w:tcPr>
            <w:tcW w:w="100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生活废水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840"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163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初期雨水</w:t>
            </w:r>
          </w:p>
        </w:tc>
        <w:tc>
          <w:tcPr>
            <w:tcW w:w="152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SS、石油类等</w:t>
            </w:r>
          </w:p>
        </w:tc>
        <w:tc>
          <w:tcPr>
            <w:tcW w:w="100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初期雨水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840"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163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趸船平台冲洗废水</w:t>
            </w:r>
          </w:p>
        </w:tc>
        <w:tc>
          <w:tcPr>
            <w:tcW w:w="152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SS、石油类等</w:t>
            </w:r>
          </w:p>
        </w:tc>
        <w:tc>
          <w:tcPr>
            <w:tcW w:w="100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冲洗废水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840" w:type="pct"/>
            <w:vMerge w:val="restar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固废</w:t>
            </w:r>
          </w:p>
        </w:tc>
        <w:tc>
          <w:tcPr>
            <w:tcW w:w="163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生活垃圾</w:t>
            </w:r>
          </w:p>
        </w:tc>
        <w:tc>
          <w:tcPr>
            <w:tcW w:w="152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果皮、纸屑等</w:t>
            </w:r>
          </w:p>
        </w:tc>
        <w:tc>
          <w:tcPr>
            <w:tcW w:w="100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生活垃圾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840"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163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船舶生活垃圾</w:t>
            </w:r>
          </w:p>
        </w:tc>
        <w:tc>
          <w:tcPr>
            <w:tcW w:w="152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生活垃圾</w:t>
            </w:r>
          </w:p>
        </w:tc>
        <w:tc>
          <w:tcPr>
            <w:tcW w:w="100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生活垃圾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840"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163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废油</w:t>
            </w:r>
          </w:p>
        </w:tc>
        <w:tc>
          <w:tcPr>
            <w:tcW w:w="152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废油渣</w:t>
            </w:r>
          </w:p>
        </w:tc>
        <w:tc>
          <w:tcPr>
            <w:tcW w:w="100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危险固废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840" w:type="pct"/>
            <w:vMerge w:val="restar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噪声</w:t>
            </w:r>
          </w:p>
        </w:tc>
        <w:tc>
          <w:tcPr>
            <w:tcW w:w="163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船舶噪声</w:t>
            </w:r>
          </w:p>
        </w:tc>
        <w:tc>
          <w:tcPr>
            <w:tcW w:w="1520" w:type="pct"/>
            <w:vAlign w:val="center"/>
          </w:tcPr>
          <w:p>
            <w:pPr>
              <w:autoSpaceDE w:val="0"/>
              <w:autoSpaceDN w:val="0"/>
              <w:adjustRightInd w:val="0"/>
              <w:snapToGrid w:val="0"/>
              <w:jc w:val="center"/>
              <w:rPr>
                <w:rFonts w:ascii="Times New Roman" w:hAnsi="Times New Roman" w:eastAsiaTheme="minorEastAsia"/>
                <w:color w:val="000000"/>
                <w:kern w:val="0"/>
                <w:sz w:val="24"/>
                <w:szCs w:val="24"/>
              </w:rPr>
            </w:pPr>
            <w:r>
              <w:rPr>
                <w:rFonts w:ascii="Times New Roman" w:hAnsi="Times New Roman" w:eastAsiaTheme="minorEastAsia"/>
                <w:color w:val="000000"/>
                <w:kern w:val="0"/>
                <w:sz w:val="24"/>
                <w:szCs w:val="24"/>
              </w:rPr>
              <w:t>/</w:t>
            </w:r>
          </w:p>
        </w:tc>
        <w:tc>
          <w:tcPr>
            <w:tcW w:w="100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噪声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840"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163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船舶鸣笛声</w:t>
            </w:r>
          </w:p>
        </w:tc>
        <w:tc>
          <w:tcPr>
            <w:tcW w:w="1520" w:type="pct"/>
            <w:vAlign w:val="center"/>
          </w:tcPr>
          <w:p>
            <w:pPr>
              <w:autoSpaceDE w:val="0"/>
              <w:autoSpaceDN w:val="0"/>
              <w:adjustRightInd w:val="0"/>
              <w:snapToGrid w:val="0"/>
              <w:jc w:val="center"/>
              <w:rPr>
                <w:rFonts w:ascii="Times New Roman" w:hAnsi="Times New Roman" w:eastAsiaTheme="minorEastAsia"/>
                <w:color w:val="000000"/>
                <w:kern w:val="0"/>
                <w:sz w:val="24"/>
                <w:szCs w:val="24"/>
              </w:rPr>
            </w:pPr>
            <w:r>
              <w:rPr>
                <w:rFonts w:ascii="Times New Roman" w:hAnsi="Times New Roman" w:eastAsiaTheme="minorEastAsia"/>
                <w:color w:val="000000"/>
                <w:kern w:val="0"/>
                <w:sz w:val="24"/>
                <w:szCs w:val="24"/>
              </w:rPr>
              <w:t>/</w:t>
            </w:r>
          </w:p>
        </w:tc>
        <w:tc>
          <w:tcPr>
            <w:tcW w:w="100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噪声</w:t>
            </w:r>
          </w:p>
        </w:tc>
      </w:tr>
    </w:tbl>
    <w:p>
      <w:pPr>
        <w:pStyle w:val="325"/>
        <w:tabs>
          <w:tab w:val="right" w:leader="dot" w:pos="9070"/>
        </w:tabs>
        <w:adjustRightInd w:val="0"/>
        <w:snapToGrid w:val="0"/>
        <w:spacing w:line="360" w:lineRule="auto"/>
        <w:ind w:firstLine="480" w:firstLineChars="200"/>
        <w:jc w:val="both"/>
        <w:rPr>
          <w:rFonts w:eastAsiaTheme="minorEastAsia"/>
          <w:sz w:val="24"/>
          <w:szCs w:val="24"/>
        </w:rPr>
      </w:pPr>
    </w:p>
    <w:p>
      <w:pPr>
        <w:pStyle w:val="4"/>
        <w:rPr>
          <w:rFonts w:eastAsiaTheme="minorEastAsia"/>
        </w:rPr>
      </w:pPr>
      <w:r>
        <w:rPr>
          <w:rFonts w:eastAsiaTheme="minorEastAsia"/>
        </w:rPr>
        <w:t>施工期环境影响源分析</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项目施工期为12个月（按365天计），施工内容主要分为码头和运输皮带廊施工，施工人员按50人/d 计（不在施工现场食宿）。施工期主要产生废气、废水、噪声、固废等污染，施工期环境污染只是短期影响，随着工程竣工影响基本消除，有利影响开始发生。</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项目施工过程中的污染源及污染物，由于面广且大多为无组织排放，加上受施工方式和设备等的制约，污染源及污染的随机性、波动性也较大，目前亦缺乏系统全面反映施工过程排污的统计资料和确定方法。因此，根据工程进展状况，结合国内类似环评中采取的一些方法，本评价对本项目施工过程中的污染源及污染物排放将采用以下原则与方法确定：</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hint="eastAsia" w:ascii="宋体" w:hAnsi="宋体" w:cs="宋体"/>
          <w:color w:val="000000"/>
          <w:sz w:val="24"/>
          <w:szCs w:val="24"/>
        </w:rPr>
        <w:t>⑴</w:t>
      </w:r>
      <w:r>
        <w:rPr>
          <w:rFonts w:ascii="Times New Roman" w:hAnsi="Times New Roman" w:eastAsiaTheme="minorEastAsia"/>
          <w:color w:val="000000"/>
          <w:sz w:val="24"/>
          <w:szCs w:val="24"/>
        </w:rPr>
        <w:t xml:space="preserve"> 用现有典型施工场的有关监测资料；</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hint="eastAsia" w:ascii="宋体" w:hAnsi="宋体" w:cs="宋体"/>
          <w:color w:val="000000"/>
          <w:sz w:val="24"/>
          <w:szCs w:val="24"/>
        </w:rPr>
        <w:t>⑵</w:t>
      </w:r>
      <w:r>
        <w:rPr>
          <w:rFonts w:ascii="Times New Roman" w:hAnsi="Times New Roman" w:eastAsiaTheme="minorEastAsia"/>
          <w:color w:val="000000"/>
          <w:sz w:val="24"/>
          <w:szCs w:val="24"/>
        </w:rPr>
        <w:t xml:space="preserve"> 结合本项目在施工方式与施工工艺、机械等方面的实际，类比相似工程施工过程排污进行估算。</w:t>
      </w:r>
    </w:p>
    <w:p>
      <w:pPr>
        <w:pStyle w:val="5"/>
        <w:rPr>
          <w:rFonts w:eastAsiaTheme="minorEastAsia"/>
        </w:rPr>
      </w:pPr>
      <w:r>
        <w:rPr>
          <w:rFonts w:eastAsiaTheme="minorEastAsia"/>
        </w:rPr>
        <w:t>废水</w:t>
      </w:r>
    </w:p>
    <w:p>
      <w:pPr>
        <w:tabs>
          <w:tab w:val="left" w:pos="900"/>
        </w:tabs>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color w:val="000000"/>
          <w:sz w:val="24"/>
          <w:szCs w:val="24"/>
        </w:rPr>
        <w:t>施工期水污染源包括施工生产废水、施工船舶污水和码头</w:t>
      </w:r>
      <w:r>
        <w:rPr>
          <w:rFonts w:ascii="Times New Roman" w:hAnsi="Times New Roman" w:eastAsiaTheme="minorEastAsia"/>
          <w:kern w:val="0"/>
          <w:sz w:val="24"/>
          <w:szCs w:val="24"/>
        </w:rPr>
        <w:t>施工生活污水。</w:t>
      </w:r>
    </w:p>
    <w:p>
      <w:pPr>
        <w:pStyle w:val="129"/>
        <w:tabs>
          <w:tab w:val="left" w:pos="900"/>
        </w:tabs>
        <w:adjustRightInd w:val="0"/>
        <w:snapToGrid w:val="0"/>
        <w:spacing w:line="360" w:lineRule="auto"/>
        <w:ind w:firstLine="482"/>
        <w:rPr>
          <w:rFonts w:eastAsiaTheme="minorEastAsia"/>
          <w:b/>
          <w:color w:val="000000"/>
        </w:rPr>
      </w:pPr>
      <w:r>
        <w:rPr>
          <w:rFonts w:eastAsiaTheme="minorEastAsia"/>
          <w:b/>
          <w:color w:val="000000"/>
        </w:rPr>
        <w:t>1、施工生产废水</w:t>
      </w:r>
    </w:p>
    <w:p>
      <w:pPr>
        <w:pStyle w:val="129"/>
        <w:tabs>
          <w:tab w:val="left" w:pos="900"/>
        </w:tabs>
        <w:adjustRightInd w:val="0"/>
        <w:snapToGrid w:val="0"/>
        <w:spacing w:line="360" w:lineRule="auto"/>
        <w:ind w:firstLine="480"/>
        <w:rPr>
          <w:color w:val="000000"/>
        </w:rPr>
      </w:pPr>
      <w:r>
        <w:rPr>
          <w:rFonts w:hint="eastAsia" w:ascii="宋体" w:hAnsi="宋体" w:cs="宋体"/>
          <w:color w:val="000000"/>
        </w:rPr>
        <w:t>⑴</w:t>
      </w:r>
      <w:r>
        <w:rPr>
          <w:color w:val="000000"/>
        </w:rPr>
        <w:t xml:space="preserve"> 码头主体结构施工废水</w:t>
      </w:r>
    </w:p>
    <w:p>
      <w:pPr>
        <w:pStyle w:val="129"/>
        <w:tabs>
          <w:tab w:val="left" w:pos="900"/>
        </w:tabs>
        <w:adjustRightInd w:val="0"/>
        <w:snapToGrid w:val="0"/>
        <w:spacing w:line="360" w:lineRule="auto"/>
        <w:ind w:firstLine="480"/>
        <w:rPr>
          <w:color w:val="000000"/>
        </w:rPr>
      </w:pPr>
      <w:r>
        <w:rPr>
          <w:color w:val="000000"/>
        </w:rPr>
        <w:t>码头主体结构的水域施工会对河流底泥进行扰动，造成施工区域附近水中SS浓度增高，影响水体水质。本项目码头主体结构的水域施工采取围堰法，码头主体结构施工过程在围堰内完成，对围堰外水域的影响较小，对水体的扰动仅发生在围堰的安装和拆除过程。根据同类工程类比分析，围堰安装和拆除过程中，局部水域的SS浓度在80~160mg/L之间，但施工点下游100m范围外SS增量不超过50mg/L。</w:t>
      </w:r>
    </w:p>
    <w:p>
      <w:pPr>
        <w:pStyle w:val="129"/>
        <w:tabs>
          <w:tab w:val="left" w:pos="900"/>
        </w:tabs>
        <w:adjustRightInd w:val="0"/>
        <w:snapToGrid w:val="0"/>
        <w:spacing w:line="360" w:lineRule="auto"/>
        <w:ind w:firstLine="480"/>
        <w:rPr>
          <w:color w:val="000000"/>
        </w:rPr>
      </w:pPr>
      <w:r>
        <w:rPr>
          <w:rFonts w:hint="eastAsia" w:ascii="宋体" w:hAnsi="宋体" w:cs="宋体"/>
          <w:color w:val="000000"/>
        </w:rPr>
        <w:t>⑵</w:t>
      </w:r>
      <w:r>
        <w:rPr>
          <w:color w:val="000000"/>
        </w:rPr>
        <w:t xml:space="preserve"> 施工场地废水</w:t>
      </w:r>
    </w:p>
    <w:p>
      <w:pPr>
        <w:pStyle w:val="129"/>
        <w:tabs>
          <w:tab w:val="left" w:pos="900"/>
        </w:tabs>
        <w:adjustRightInd w:val="0"/>
        <w:snapToGrid w:val="0"/>
        <w:spacing w:line="360" w:lineRule="auto"/>
        <w:ind w:firstLine="480"/>
        <w:rPr>
          <w:color w:val="000000"/>
        </w:rPr>
      </w:pPr>
      <w:r>
        <w:rPr>
          <w:color w:val="000000"/>
        </w:rPr>
        <w:t>码头施工过程中的混凝土拌和等会产生一定数量的拌和废水，主要污染因子为SS，浓度可达到2000~4000mg/L，经简易沉淀池沉淀处理后回用于混凝土拌和，不排放。</w:t>
      </w:r>
    </w:p>
    <w:p>
      <w:pPr>
        <w:pStyle w:val="129"/>
        <w:tabs>
          <w:tab w:val="left" w:pos="900"/>
        </w:tabs>
        <w:adjustRightInd w:val="0"/>
        <w:snapToGrid w:val="0"/>
        <w:spacing w:line="360" w:lineRule="auto"/>
        <w:ind w:firstLine="480"/>
        <w:rPr>
          <w:color w:val="000000"/>
        </w:rPr>
      </w:pPr>
      <w:r>
        <w:rPr>
          <w:color w:val="000000"/>
        </w:rPr>
        <w:t>本项目新建转运平台桩基施工过程中，会产生少量的泥浆水。</w:t>
      </w:r>
    </w:p>
    <w:p>
      <w:pPr>
        <w:pStyle w:val="129"/>
        <w:tabs>
          <w:tab w:val="left" w:pos="900"/>
        </w:tabs>
        <w:adjustRightInd w:val="0"/>
        <w:snapToGrid w:val="0"/>
        <w:spacing w:line="360" w:lineRule="auto"/>
        <w:ind w:firstLine="480"/>
        <w:rPr>
          <w:kern w:val="0"/>
          <w:szCs w:val="20"/>
          <w:lang w:bidi="en-US"/>
        </w:rPr>
      </w:pPr>
      <w:r>
        <w:rPr>
          <w:color w:val="000000"/>
        </w:rPr>
        <w:t>根据现有工程转运平台的实际施工资料，转运平台桩基施工废水产生量约为4m</w:t>
      </w:r>
      <w:r>
        <w:rPr>
          <w:color w:val="000000"/>
          <w:vertAlign w:val="superscript"/>
        </w:rPr>
        <w:t>3</w:t>
      </w:r>
      <w:r>
        <w:rPr>
          <w:color w:val="000000"/>
        </w:rPr>
        <w:t>/d，其主要污染物为SS，产生浓度约为3000mg</w:t>
      </w:r>
      <w:r>
        <w:rPr>
          <w:kern w:val="0"/>
          <w:szCs w:val="20"/>
          <w:lang w:bidi="en-US"/>
        </w:rPr>
        <w:t>/L，经沉淀处理后可作为现有工程陆域平台的冲洗用水。</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小部分预制件生产及混凝土构筑物浇筑和养护将产生废水，为间歇式排放。根据同类工程类比分析，工程产生碱性废水最大2t/d，污水中主要污染因子为SS、pH，SS浓度约500mg/L，pH值为8~9。</w:t>
      </w:r>
    </w:p>
    <w:p>
      <w:pPr>
        <w:pStyle w:val="129"/>
        <w:tabs>
          <w:tab w:val="left" w:pos="900"/>
        </w:tabs>
        <w:adjustRightInd w:val="0"/>
        <w:snapToGrid w:val="0"/>
        <w:spacing w:line="360" w:lineRule="auto"/>
        <w:ind w:firstLine="480"/>
        <w:rPr>
          <w:color w:val="000000"/>
        </w:rPr>
      </w:pPr>
      <w:r>
        <w:rPr>
          <w:color w:val="000000"/>
        </w:rPr>
        <w:t>施工机械跑、冒、滴、漏的污油及露天机械受雨水冲刷后产生的油水污染，施工场地砂石材料冲洗废水等；施工废水量较小，污水中成分较为简单，一般为SS和少量的石油类。</w:t>
      </w:r>
    </w:p>
    <w:p>
      <w:pPr>
        <w:pStyle w:val="129"/>
        <w:tabs>
          <w:tab w:val="left" w:pos="900"/>
        </w:tabs>
        <w:adjustRightInd w:val="0"/>
        <w:snapToGrid w:val="0"/>
        <w:spacing w:line="360" w:lineRule="auto"/>
        <w:ind w:firstLine="480"/>
        <w:rPr>
          <w:color w:val="000000"/>
        </w:rPr>
      </w:pPr>
      <w:r>
        <w:rPr>
          <w:color w:val="000000"/>
        </w:rPr>
        <w:t>此外，施工机械冲洗将产生少量冲洗废水，施工机械按5部计，每部冲洗水量按500L/部计，每天冲洗1次，则施工机械冲洗废水发生量为2.5m/d。参照《公路建设项目环境影响评价规范》（JBG-B03-2006）冲洗汽车污水成分参考值，施工机械废水的主要污染物浓度为COD 200mg/L、SS 2000mg/L、石油类30mg/L。采用隔油池、沉淀池处理施工机械冲洗废水，处理达标后回用于施工机械冲洗，不外排。</w:t>
      </w: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2、施工船舶污水</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施工船舶污水包括船舶舱底油污水和船舶生活污水。船舶水上施工按240天计。</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hint="eastAsia" w:ascii="宋体" w:hAnsi="宋体" w:cs="宋体"/>
          <w:color w:val="000000"/>
          <w:sz w:val="24"/>
          <w:szCs w:val="24"/>
        </w:rPr>
        <w:t>⑴</w:t>
      </w:r>
      <w:r>
        <w:rPr>
          <w:rFonts w:ascii="Times New Roman" w:hAnsi="Times New Roman" w:eastAsiaTheme="minorEastAsia"/>
          <w:color w:val="000000"/>
          <w:sz w:val="24"/>
          <w:szCs w:val="24"/>
        </w:rPr>
        <w:t xml:space="preserve"> 根据《港口工程环境保护设计规范》（JTS149-1-2007），1000~3000吨级船舶舱底油污水水量为0.27~0.81t/d</w:t>
      </w:r>
      <w:r>
        <w:rPr>
          <w:rFonts w:hint="default" w:ascii="Times New Roman" w:hAnsi="Times New Roman" w:cs="Times New Roman" w:eastAsiaTheme="minorEastAsia"/>
          <w:color w:val="000000"/>
          <w:sz w:val="24"/>
          <w:szCs w:val="24"/>
          <w:lang w:val="en-US" w:eastAsia="zh-CN"/>
        </w:rPr>
        <w:t>·</w:t>
      </w:r>
      <w:r>
        <w:rPr>
          <w:rFonts w:ascii="Times New Roman" w:hAnsi="Times New Roman" w:eastAsiaTheme="minorEastAsia"/>
          <w:color w:val="000000"/>
          <w:sz w:val="24"/>
          <w:szCs w:val="24"/>
        </w:rPr>
        <w:t>艘，本项目施工船舶为1000吨级，按1艘施工船舶同时工作估算，施工船舶舱底油污水产生量约为0.27t/d，共产生污水64.8t。污水中石油类平均浓度为5000mg/L，石油类产生量为1.35kg/d</w:t>
      </w:r>
      <w:r>
        <w:rPr>
          <w:rFonts w:hint="eastAsia" w:ascii="Times New Roman" w:hAnsi="Times New Roman" w:eastAsiaTheme="minorEastAsia"/>
          <w:color w:val="000000"/>
          <w:sz w:val="24"/>
          <w:szCs w:val="24"/>
        </w:rPr>
        <w:t>。</w:t>
      </w:r>
      <w:r>
        <w:rPr>
          <w:rFonts w:ascii="Times New Roman" w:hAnsi="Times New Roman" w:eastAsiaTheme="minorEastAsia"/>
          <w:color w:val="000000"/>
          <w:sz w:val="24"/>
          <w:szCs w:val="24"/>
        </w:rPr>
        <w:t>根据规定，船舶舱底油污水需经自带的油水分离器处理，石油类的浓度不大于15mg/L。</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hint="eastAsia" w:ascii="宋体" w:hAnsi="宋体" w:cs="宋体"/>
          <w:color w:val="000000"/>
          <w:sz w:val="24"/>
          <w:szCs w:val="24"/>
        </w:rPr>
        <w:t>⑵</w:t>
      </w:r>
      <w:r>
        <w:rPr>
          <w:rFonts w:ascii="Times New Roman" w:hAnsi="Times New Roman" w:eastAsiaTheme="minorEastAsia"/>
          <w:color w:val="000000"/>
          <w:sz w:val="24"/>
          <w:szCs w:val="24"/>
        </w:rPr>
        <w:t xml:space="preserve"> 船舶生活污水发生量按120L/d</w:t>
      </w:r>
      <w:r>
        <w:rPr>
          <w:rFonts w:hint="default" w:ascii="Times New Roman" w:hAnsi="Times New Roman" w:cs="Times New Roman" w:eastAsiaTheme="minorEastAsia"/>
          <w:color w:val="000000"/>
          <w:sz w:val="24"/>
          <w:szCs w:val="24"/>
          <w:lang w:val="en-US" w:eastAsia="zh-CN"/>
        </w:rPr>
        <w:t>·</w:t>
      </w:r>
      <w:r>
        <w:rPr>
          <w:rFonts w:ascii="Times New Roman" w:hAnsi="Times New Roman" w:eastAsiaTheme="minorEastAsia"/>
          <w:color w:val="000000"/>
          <w:sz w:val="24"/>
          <w:szCs w:val="24"/>
        </w:rPr>
        <w:t>人，施工船舶工作人员按35人计，排污系数取0.8，船舶上工作人员施工期船舶生活污水量为1226.4m</w:t>
      </w:r>
      <w:r>
        <w:rPr>
          <w:rFonts w:ascii="Times New Roman" w:hAnsi="Times New Roman" w:eastAsiaTheme="minorEastAsia"/>
          <w:color w:val="000000"/>
          <w:sz w:val="24"/>
          <w:szCs w:val="24"/>
          <w:vertAlign w:val="superscript"/>
        </w:rPr>
        <w:t>3</w:t>
      </w:r>
      <w:r>
        <w:rPr>
          <w:rFonts w:ascii="Times New Roman" w:hAnsi="Times New Roman" w:eastAsiaTheme="minorEastAsia"/>
          <w:color w:val="000000"/>
          <w:sz w:val="24"/>
          <w:szCs w:val="24"/>
        </w:rPr>
        <w:t>，污水中主要污染因子为COD和BOD</w:t>
      </w:r>
      <w:r>
        <w:rPr>
          <w:rFonts w:ascii="Times New Roman" w:hAnsi="Times New Roman" w:eastAsiaTheme="minorEastAsia"/>
          <w:color w:val="000000"/>
          <w:sz w:val="24"/>
          <w:szCs w:val="24"/>
          <w:vertAlign w:val="subscript"/>
        </w:rPr>
        <w:t>5</w:t>
      </w:r>
      <w:r>
        <w:rPr>
          <w:rFonts w:ascii="Times New Roman" w:hAnsi="Times New Roman" w:eastAsiaTheme="minorEastAsia"/>
          <w:color w:val="000000"/>
          <w:sz w:val="24"/>
          <w:szCs w:val="24"/>
        </w:rPr>
        <w:t>，根据同类项目有关资料类比分析，其污染物浓度取COD取400mg/L、BOD取200mg/L、氨氮浓度取40mg/L、SS取300mg/L。</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港口建设项目环境影响评价规范》（JTS149-1-2007），船舶应设置与船舶污水、生活污水发生量相当的储存容器，本项目船舶生活污水和含油废水经船主收集送海事部门指定单位收集并负责处理。建设单位在施工招标时，应明确施工单位落实船舶油污水处理责任。其污染物排放情况具体见表3.</w:t>
      </w:r>
      <w:r>
        <w:rPr>
          <w:rFonts w:hint="eastAsia" w:ascii="Times New Roman" w:hAnsi="Times New Roman" w:eastAsiaTheme="minorEastAsia"/>
          <w:color w:val="000000"/>
          <w:sz w:val="24"/>
          <w:szCs w:val="24"/>
          <w:lang w:val="en-US" w:eastAsia="zh-CN"/>
        </w:rPr>
        <w:t>4</w:t>
      </w:r>
      <w:r>
        <w:rPr>
          <w:rFonts w:ascii="Times New Roman" w:hAnsi="Times New Roman" w:eastAsiaTheme="minorEastAsia"/>
          <w:color w:val="000000"/>
          <w:sz w:val="24"/>
          <w:szCs w:val="24"/>
        </w:rPr>
        <w:t>-3。</w:t>
      </w:r>
    </w:p>
    <w:p>
      <w:pPr>
        <w:tabs>
          <w:tab w:val="left" w:pos="900"/>
        </w:tabs>
        <w:adjustRightInd w:val="0"/>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表3.</w:t>
      </w:r>
      <w:r>
        <w:rPr>
          <w:rFonts w:hint="eastAsia" w:ascii="Times New Roman" w:hAnsi="Times New Roman" w:eastAsiaTheme="minorEastAsia"/>
          <w:b/>
          <w:color w:val="000000"/>
          <w:sz w:val="24"/>
          <w:szCs w:val="24"/>
          <w:lang w:val="en-US" w:eastAsia="zh-CN"/>
        </w:rPr>
        <w:t>4</w:t>
      </w:r>
      <w:r>
        <w:rPr>
          <w:rFonts w:ascii="Times New Roman" w:hAnsi="Times New Roman" w:eastAsiaTheme="minorEastAsia"/>
          <w:b/>
          <w:color w:val="000000"/>
          <w:sz w:val="24"/>
          <w:szCs w:val="24"/>
        </w:rPr>
        <w:t>-3  施工期船舶废水污染产生情况表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834"/>
        <w:gridCol w:w="491"/>
        <w:gridCol w:w="486"/>
        <w:gridCol w:w="491"/>
        <w:gridCol w:w="486"/>
        <w:gridCol w:w="491"/>
        <w:gridCol w:w="486"/>
        <w:gridCol w:w="491"/>
        <w:gridCol w:w="590"/>
        <w:gridCol w:w="491"/>
        <w:gridCol w:w="410"/>
        <w:gridCol w:w="19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0" w:type="pct"/>
            <w:vMerge w:val="restar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项目</w:t>
            </w:r>
          </w:p>
        </w:tc>
        <w:tc>
          <w:tcPr>
            <w:tcW w:w="458" w:type="pct"/>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废水量</w:t>
            </w:r>
          </w:p>
        </w:tc>
        <w:tc>
          <w:tcPr>
            <w:tcW w:w="537" w:type="pct"/>
            <w:gridSpan w:val="2"/>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COD</w:t>
            </w:r>
          </w:p>
        </w:tc>
        <w:tc>
          <w:tcPr>
            <w:tcW w:w="537" w:type="pct"/>
            <w:gridSpan w:val="2"/>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BOD</w:t>
            </w:r>
            <w:r>
              <w:rPr>
                <w:rFonts w:ascii="Times New Roman" w:hAnsi="Times New Roman" w:eastAsiaTheme="minorEastAsia"/>
                <w:b/>
                <w:color w:val="000000"/>
                <w:kern w:val="0"/>
                <w:vertAlign w:val="subscript"/>
              </w:rPr>
              <w:t>5</w:t>
            </w:r>
          </w:p>
        </w:tc>
        <w:tc>
          <w:tcPr>
            <w:tcW w:w="537" w:type="pct"/>
            <w:gridSpan w:val="2"/>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SS</w:t>
            </w:r>
          </w:p>
        </w:tc>
        <w:tc>
          <w:tcPr>
            <w:tcW w:w="594" w:type="pct"/>
            <w:gridSpan w:val="2"/>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氨氮</w:t>
            </w:r>
          </w:p>
        </w:tc>
        <w:tc>
          <w:tcPr>
            <w:tcW w:w="495" w:type="pct"/>
            <w:gridSpan w:val="2"/>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石油类</w:t>
            </w:r>
          </w:p>
        </w:tc>
        <w:tc>
          <w:tcPr>
            <w:tcW w:w="1062" w:type="pct"/>
            <w:vMerge w:val="restart"/>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处理方式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0" w:type="pct"/>
            <w:vMerge w:val="continue"/>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p>
        </w:tc>
        <w:tc>
          <w:tcPr>
            <w:tcW w:w="458" w:type="pct"/>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m</w:t>
            </w:r>
            <w:r>
              <w:rPr>
                <w:rFonts w:ascii="Times New Roman" w:hAnsi="Times New Roman" w:eastAsiaTheme="minorEastAsia"/>
                <w:b/>
                <w:color w:val="000000"/>
                <w:kern w:val="0"/>
                <w:vertAlign w:val="superscript"/>
              </w:rPr>
              <w:t>3</w:t>
            </w:r>
            <w:r>
              <w:rPr>
                <w:rFonts w:ascii="Times New Roman" w:hAnsi="Times New Roman" w:eastAsiaTheme="minorEastAsia"/>
                <w:b/>
                <w:color w:val="000000"/>
                <w:kern w:val="0"/>
              </w:rPr>
              <w:t>/d</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mg/L</w:t>
            </w:r>
          </w:p>
        </w:tc>
        <w:tc>
          <w:tcPr>
            <w:tcW w:w="267" w:type="pct"/>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kg/d</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mg/L</w:t>
            </w:r>
          </w:p>
        </w:tc>
        <w:tc>
          <w:tcPr>
            <w:tcW w:w="267" w:type="pct"/>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kg/d</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mg/L</w:t>
            </w:r>
          </w:p>
        </w:tc>
        <w:tc>
          <w:tcPr>
            <w:tcW w:w="267" w:type="pct"/>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kg/d</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mg/L</w:t>
            </w:r>
          </w:p>
        </w:tc>
        <w:tc>
          <w:tcPr>
            <w:tcW w:w="324" w:type="pct"/>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kg/d</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mg/L</w:t>
            </w:r>
          </w:p>
        </w:tc>
        <w:tc>
          <w:tcPr>
            <w:tcW w:w="225" w:type="pct"/>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r>
              <w:rPr>
                <w:rFonts w:ascii="Times New Roman" w:hAnsi="Times New Roman" w:eastAsiaTheme="minorEastAsia"/>
                <w:b/>
                <w:color w:val="000000"/>
                <w:kern w:val="0"/>
              </w:rPr>
              <w:t>kg/d</w:t>
            </w:r>
          </w:p>
        </w:tc>
        <w:tc>
          <w:tcPr>
            <w:tcW w:w="1062" w:type="pct"/>
            <w:vMerge w:val="continue"/>
            <w:tcMar>
              <w:left w:w="0" w:type="dxa"/>
              <w:right w:w="0" w:type="dxa"/>
            </w:tcMar>
            <w:vAlign w:val="center"/>
          </w:tcPr>
          <w:p>
            <w:pPr>
              <w:autoSpaceDE w:val="0"/>
              <w:autoSpaceDN w:val="0"/>
              <w:adjustRightInd w:val="0"/>
              <w:snapToGrid w:val="0"/>
              <w:jc w:val="center"/>
              <w:rPr>
                <w:rFonts w:ascii="Times New Roman" w:hAnsi="Times New Roman" w:eastAsiaTheme="minorEastAsia"/>
                <w:b/>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船舶含油污水</w:t>
            </w:r>
          </w:p>
        </w:tc>
        <w:tc>
          <w:tcPr>
            <w:tcW w:w="458" w:type="pct"/>
            <w:tcMar>
              <w:left w:w="0" w:type="dxa"/>
              <w:right w:w="0" w:type="dxa"/>
            </w:tcMar>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color w:val="000000"/>
                <w:kern w:val="0"/>
              </w:rPr>
              <w:t>0.27</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color w:val="000000"/>
                <w:kern w:val="0"/>
              </w:rPr>
              <w:t>1000</w:t>
            </w:r>
          </w:p>
        </w:tc>
        <w:tc>
          <w:tcPr>
            <w:tcW w:w="267" w:type="pct"/>
            <w:tcMar>
              <w:left w:w="0" w:type="dxa"/>
              <w:right w:w="0" w:type="dxa"/>
            </w:tcMar>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color w:val="000000"/>
                <w:kern w:val="0"/>
              </w:rPr>
              <w:t>0.27</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color w:val="000000"/>
                <w:kern w:val="0"/>
              </w:rPr>
              <w:t>0</w:t>
            </w:r>
          </w:p>
        </w:tc>
        <w:tc>
          <w:tcPr>
            <w:tcW w:w="267" w:type="pct"/>
            <w:tcMar>
              <w:left w:w="0" w:type="dxa"/>
              <w:right w:w="0" w:type="dxa"/>
            </w:tcMar>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color w:val="000000"/>
                <w:kern w:val="0"/>
              </w:rPr>
              <w:t>0</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color w:val="000000"/>
                <w:kern w:val="0"/>
              </w:rPr>
              <w:t>0</w:t>
            </w:r>
          </w:p>
        </w:tc>
        <w:tc>
          <w:tcPr>
            <w:tcW w:w="267" w:type="pct"/>
            <w:tcMar>
              <w:left w:w="0" w:type="dxa"/>
              <w:right w:w="0" w:type="dxa"/>
            </w:tcMar>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color w:val="000000"/>
                <w:kern w:val="0"/>
              </w:rPr>
              <w:t>0</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color w:val="000000"/>
                <w:kern w:val="0"/>
              </w:rPr>
              <w:t>0</w:t>
            </w:r>
          </w:p>
        </w:tc>
        <w:tc>
          <w:tcPr>
            <w:tcW w:w="324" w:type="pct"/>
            <w:tcMar>
              <w:left w:w="0" w:type="dxa"/>
              <w:right w:w="0" w:type="dxa"/>
            </w:tcMar>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color w:val="000000"/>
                <w:kern w:val="0"/>
              </w:rPr>
              <w:t>0</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color w:val="000000"/>
                <w:kern w:val="0"/>
              </w:rPr>
              <w:t>5000</w:t>
            </w:r>
          </w:p>
        </w:tc>
        <w:tc>
          <w:tcPr>
            <w:tcW w:w="225" w:type="pct"/>
            <w:tcMar>
              <w:left w:w="0" w:type="dxa"/>
              <w:right w:w="0" w:type="dxa"/>
            </w:tcMar>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color w:val="000000"/>
                <w:kern w:val="0"/>
              </w:rPr>
              <w:t>1.35</w:t>
            </w:r>
          </w:p>
        </w:tc>
        <w:tc>
          <w:tcPr>
            <w:tcW w:w="1062" w:type="pct"/>
            <w:vMerge w:val="restart"/>
            <w:tcMar>
              <w:left w:w="0" w:type="dxa"/>
              <w:right w:w="0" w:type="dxa"/>
            </w:tcMar>
            <w:vAlign w:val="center"/>
          </w:tcPr>
          <w:p>
            <w:pPr>
              <w:autoSpaceDE w:val="0"/>
              <w:autoSpaceDN w:val="0"/>
              <w:adjustRightInd w:val="0"/>
              <w:snapToGrid w:val="0"/>
              <w:jc w:val="center"/>
              <w:rPr>
                <w:rFonts w:ascii="Times New Roman" w:hAnsi="Times New Roman" w:eastAsiaTheme="minorEastAsia"/>
                <w:kern w:val="0"/>
              </w:rPr>
            </w:pPr>
            <w:r>
              <w:rPr>
                <w:rFonts w:ascii="Times New Roman" w:hAnsi="Times New Roman" w:eastAsiaTheme="minorEastAsia"/>
                <w:color w:val="000000"/>
                <w:kern w:val="0"/>
              </w:rPr>
              <w:t>海事部门环保船收集处理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船舶生活污水</w:t>
            </w:r>
          </w:p>
        </w:tc>
        <w:tc>
          <w:tcPr>
            <w:tcW w:w="458"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3.36</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400</w:t>
            </w:r>
          </w:p>
        </w:tc>
        <w:tc>
          <w:tcPr>
            <w:tcW w:w="267"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1.344</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200</w:t>
            </w:r>
          </w:p>
        </w:tc>
        <w:tc>
          <w:tcPr>
            <w:tcW w:w="267"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0.672</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300</w:t>
            </w:r>
          </w:p>
        </w:tc>
        <w:tc>
          <w:tcPr>
            <w:tcW w:w="267"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1.008</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40</w:t>
            </w:r>
          </w:p>
        </w:tc>
        <w:tc>
          <w:tcPr>
            <w:tcW w:w="324"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0.1344</w:t>
            </w:r>
          </w:p>
        </w:tc>
        <w:tc>
          <w:tcPr>
            <w:tcW w:w="270"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w:t>
            </w:r>
          </w:p>
        </w:tc>
        <w:tc>
          <w:tcPr>
            <w:tcW w:w="225"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w:t>
            </w:r>
          </w:p>
        </w:tc>
        <w:tc>
          <w:tcPr>
            <w:tcW w:w="1062" w:type="pct"/>
            <w:vMerge w:val="continue"/>
            <w:tcMar>
              <w:left w:w="0" w:type="dxa"/>
              <w:right w:w="0" w:type="dxa"/>
            </w:tcMar>
            <w:vAlign w:val="center"/>
          </w:tcPr>
          <w:p>
            <w:pPr>
              <w:autoSpaceDE w:val="0"/>
              <w:autoSpaceDN w:val="0"/>
              <w:adjustRightInd w:val="0"/>
              <w:snapToGrid w:val="0"/>
              <w:jc w:val="center"/>
              <w:rPr>
                <w:rFonts w:ascii="Times New Roman" w:hAnsi="Times New Roman" w:eastAsiaTheme="minorEastAsia"/>
                <w:kern w:val="0"/>
              </w:rPr>
            </w:pPr>
          </w:p>
        </w:tc>
      </w:tr>
    </w:tbl>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3、码头施工生活污水</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施工人员生活用水量取120L/人</w:t>
      </w:r>
      <w:r>
        <w:rPr>
          <w:rFonts w:hint="default" w:ascii="Times New Roman" w:hAnsi="Times New Roman" w:cs="Times New Roman" w:eastAsiaTheme="minorEastAsia"/>
          <w:color w:val="000000"/>
          <w:sz w:val="24"/>
          <w:szCs w:val="24"/>
          <w:lang w:val="en-US" w:eastAsia="zh-CN"/>
        </w:rPr>
        <w:t>·</w:t>
      </w:r>
      <w:r>
        <w:rPr>
          <w:rFonts w:ascii="Times New Roman" w:hAnsi="Times New Roman" w:eastAsiaTheme="minorEastAsia"/>
          <w:color w:val="000000"/>
          <w:sz w:val="24"/>
          <w:szCs w:val="24"/>
        </w:rPr>
        <w:t>d，污水排放系数取0.8，污染物浓度取COD取400mg/L、BOD</w:t>
      </w:r>
      <w:r>
        <w:rPr>
          <w:rFonts w:ascii="Times New Roman" w:hAnsi="Times New Roman" w:eastAsiaTheme="minorEastAsia"/>
          <w:color w:val="000000"/>
          <w:sz w:val="24"/>
          <w:szCs w:val="24"/>
          <w:vertAlign w:val="subscript"/>
        </w:rPr>
        <w:t>5</w:t>
      </w:r>
      <w:r>
        <w:rPr>
          <w:rFonts w:ascii="Times New Roman" w:hAnsi="Times New Roman" w:eastAsiaTheme="minorEastAsia"/>
          <w:color w:val="000000"/>
          <w:sz w:val="24"/>
          <w:szCs w:val="24"/>
        </w:rPr>
        <w:t>取200mg/L、氨氮浓度取40mg/L、SS取300mg/L。施工高峰期施工人数约50人。施工生活设施设置在后方码头院内，在工棚建设临时化粪池，处理后的生活污水通过污水管网进入华能电厂厂区，用作绿化用水，不排入长江。</w:t>
      </w:r>
    </w:p>
    <w:p>
      <w:pPr>
        <w:tabs>
          <w:tab w:val="left" w:pos="900"/>
        </w:tabs>
        <w:adjustRightInd w:val="0"/>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表3.</w:t>
      </w:r>
      <w:r>
        <w:rPr>
          <w:rFonts w:hint="eastAsia" w:ascii="Times New Roman" w:hAnsi="Times New Roman" w:eastAsiaTheme="minorEastAsia"/>
          <w:b/>
          <w:color w:val="000000"/>
          <w:sz w:val="24"/>
          <w:szCs w:val="24"/>
          <w:lang w:val="en-US" w:eastAsia="zh-CN"/>
        </w:rPr>
        <w:t>4</w:t>
      </w:r>
      <w:r>
        <w:rPr>
          <w:rFonts w:ascii="Times New Roman" w:hAnsi="Times New Roman" w:eastAsiaTheme="minorEastAsia"/>
          <w:b/>
          <w:color w:val="000000"/>
          <w:sz w:val="24"/>
          <w:szCs w:val="24"/>
        </w:rPr>
        <w:t>-4  施工期生活污水污染发生情况表</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208"/>
        <w:gridCol w:w="2177"/>
        <w:gridCol w:w="750"/>
        <w:gridCol w:w="624"/>
        <w:gridCol w:w="839"/>
        <w:gridCol w:w="624"/>
        <w:gridCol w:w="750"/>
        <w:gridCol w:w="624"/>
        <w:gridCol w:w="750"/>
        <w:gridCol w:w="75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664" w:type="pct"/>
            <w:vMerge w:val="restar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项目</w:t>
            </w:r>
          </w:p>
        </w:tc>
        <w:tc>
          <w:tcPr>
            <w:tcW w:w="1196" w:type="pct"/>
            <w:vMerge w:val="restar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sz w:val="24"/>
                <w:szCs w:val="24"/>
              </w:rPr>
            </w:pPr>
            <w:r>
              <w:rPr>
                <w:rFonts w:ascii="Times New Roman" w:hAnsi="Times New Roman" w:eastAsiaTheme="minorEastAsia"/>
                <w:b/>
                <w:color w:val="000000"/>
                <w:kern w:val="0"/>
              </w:rPr>
              <w:t>废水量（m</w:t>
            </w:r>
            <w:r>
              <w:rPr>
                <w:rFonts w:ascii="Times New Roman" w:hAnsi="Times New Roman" w:eastAsiaTheme="minorEastAsia"/>
                <w:b/>
                <w:color w:val="000000"/>
                <w:kern w:val="0"/>
                <w:vertAlign w:val="superscript"/>
              </w:rPr>
              <w:t>3</w:t>
            </w:r>
            <w:r>
              <w:rPr>
                <w:rFonts w:ascii="Times New Roman" w:hAnsi="Times New Roman" w:eastAsiaTheme="minorEastAsia"/>
                <w:b/>
                <w:color w:val="000000"/>
                <w:kern w:val="0"/>
              </w:rPr>
              <w:t>/d）</w:t>
            </w:r>
          </w:p>
        </w:tc>
        <w:tc>
          <w:tcPr>
            <w:tcW w:w="755" w:type="pct"/>
            <w:gridSpan w:val="2"/>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bCs/>
                <w:color w:val="000000"/>
                <w:kern w:val="0"/>
              </w:rPr>
              <w:t>COD</w:t>
            </w:r>
          </w:p>
        </w:tc>
        <w:tc>
          <w:tcPr>
            <w:tcW w:w="804" w:type="pct"/>
            <w:gridSpan w:val="2"/>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bCs/>
                <w:color w:val="000000"/>
                <w:kern w:val="0"/>
              </w:rPr>
              <w:t>BOD</w:t>
            </w:r>
            <w:r>
              <w:rPr>
                <w:rFonts w:ascii="Times New Roman" w:hAnsi="Times New Roman" w:eastAsiaTheme="minorEastAsia"/>
                <w:b/>
                <w:bCs/>
                <w:color w:val="000000"/>
                <w:kern w:val="0"/>
                <w:vertAlign w:val="subscript"/>
              </w:rPr>
              <w:t>5</w:t>
            </w:r>
          </w:p>
        </w:tc>
        <w:tc>
          <w:tcPr>
            <w:tcW w:w="755" w:type="pct"/>
            <w:gridSpan w:val="2"/>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bCs/>
                <w:color w:val="000000"/>
                <w:kern w:val="0"/>
              </w:rPr>
              <w:t>SS</w:t>
            </w:r>
          </w:p>
        </w:tc>
        <w:tc>
          <w:tcPr>
            <w:tcW w:w="827" w:type="pct"/>
            <w:gridSpan w:val="2"/>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氨氮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664" w:type="pct"/>
            <w:vMerge w:val="continue"/>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p>
        </w:tc>
        <w:tc>
          <w:tcPr>
            <w:tcW w:w="1196" w:type="pct"/>
            <w:vMerge w:val="continue"/>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sz w:val="24"/>
                <w:szCs w:val="24"/>
              </w:rPr>
            </w:pPr>
          </w:p>
        </w:tc>
        <w:tc>
          <w:tcPr>
            <w:tcW w:w="412" w:type="pct"/>
            <w:tcMar>
              <w:left w:w="0" w:type="dxa"/>
              <w:right w:w="0" w:type="dxa"/>
            </w:tcMar>
            <w:vAlign w:val="center"/>
          </w:tcPr>
          <w:p>
            <w:pPr>
              <w:autoSpaceDE w:val="0"/>
              <w:autoSpaceDN w:val="0"/>
              <w:adjustRightInd w:val="0"/>
              <w:snapToGrid w:val="0"/>
              <w:jc w:val="center"/>
              <w:rPr>
                <w:rFonts w:ascii="Times New Roman" w:hAnsi="Times New Roman" w:eastAsiaTheme="minorEastAsia"/>
                <w:b/>
                <w:bCs/>
                <w:color w:val="000000"/>
                <w:kern w:val="0"/>
              </w:rPr>
            </w:pPr>
            <w:r>
              <w:rPr>
                <w:rFonts w:ascii="Times New Roman" w:hAnsi="Times New Roman" w:eastAsiaTheme="minorEastAsia"/>
                <w:b/>
                <w:bCs/>
                <w:color w:val="000000"/>
                <w:kern w:val="0"/>
              </w:rPr>
              <w:t>mg/L</w:t>
            </w:r>
          </w:p>
        </w:tc>
        <w:tc>
          <w:tcPr>
            <w:tcW w:w="343" w:type="pct"/>
            <w:tcMar>
              <w:left w:w="0" w:type="dxa"/>
              <w:right w:w="0" w:type="dxa"/>
            </w:tcMar>
            <w:vAlign w:val="center"/>
          </w:tcPr>
          <w:p>
            <w:pPr>
              <w:autoSpaceDE w:val="0"/>
              <w:autoSpaceDN w:val="0"/>
              <w:adjustRightInd w:val="0"/>
              <w:snapToGrid w:val="0"/>
              <w:jc w:val="center"/>
              <w:rPr>
                <w:rFonts w:ascii="Times New Roman" w:hAnsi="Times New Roman" w:eastAsiaTheme="minorEastAsia"/>
                <w:b/>
                <w:bCs/>
                <w:color w:val="000000"/>
                <w:kern w:val="0"/>
              </w:rPr>
            </w:pPr>
            <w:r>
              <w:rPr>
                <w:rFonts w:ascii="Times New Roman" w:hAnsi="Times New Roman" w:eastAsiaTheme="minorEastAsia"/>
                <w:b/>
                <w:bCs/>
                <w:color w:val="000000"/>
                <w:kern w:val="0"/>
              </w:rPr>
              <w:t>kg/d</w:t>
            </w:r>
          </w:p>
        </w:tc>
        <w:tc>
          <w:tcPr>
            <w:tcW w:w="461" w:type="pct"/>
            <w:tcMar>
              <w:left w:w="0" w:type="dxa"/>
              <w:right w:w="0" w:type="dxa"/>
            </w:tcMar>
            <w:vAlign w:val="center"/>
          </w:tcPr>
          <w:p>
            <w:pPr>
              <w:autoSpaceDE w:val="0"/>
              <w:autoSpaceDN w:val="0"/>
              <w:adjustRightInd w:val="0"/>
              <w:snapToGrid w:val="0"/>
              <w:jc w:val="center"/>
              <w:rPr>
                <w:rFonts w:ascii="Times New Roman" w:hAnsi="Times New Roman" w:eastAsiaTheme="minorEastAsia"/>
                <w:b/>
                <w:bCs/>
                <w:color w:val="000000"/>
                <w:kern w:val="0"/>
              </w:rPr>
            </w:pPr>
            <w:r>
              <w:rPr>
                <w:rFonts w:ascii="Times New Roman" w:hAnsi="Times New Roman" w:eastAsiaTheme="minorEastAsia"/>
                <w:b/>
                <w:bCs/>
                <w:color w:val="000000"/>
                <w:kern w:val="0"/>
              </w:rPr>
              <w:t>mg/L</w:t>
            </w:r>
          </w:p>
        </w:tc>
        <w:tc>
          <w:tcPr>
            <w:tcW w:w="343" w:type="pct"/>
            <w:tcMar>
              <w:left w:w="0" w:type="dxa"/>
              <w:right w:w="0" w:type="dxa"/>
            </w:tcMar>
            <w:vAlign w:val="center"/>
          </w:tcPr>
          <w:p>
            <w:pPr>
              <w:autoSpaceDE w:val="0"/>
              <w:autoSpaceDN w:val="0"/>
              <w:adjustRightInd w:val="0"/>
              <w:snapToGrid w:val="0"/>
              <w:jc w:val="center"/>
              <w:rPr>
                <w:rFonts w:ascii="Times New Roman" w:hAnsi="Times New Roman" w:eastAsiaTheme="minorEastAsia"/>
                <w:b/>
                <w:bCs/>
                <w:color w:val="000000"/>
                <w:kern w:val="0"/>
              </w:rPr>
            </w:pPr>
            <w:r>
              <w:rPr>
                <w:rFonts w:ascii="Times New Roman" w:hAnsi="Times New Roman" w:eastAsiaTheme="minorEastAsia"/>
                <w:b/>
                <w:bCs/>
                <w:color w:val="000000"/>
                <w:kern w:val="0"/>
              </w:rPr>
              <w:t>kg/d</w:t>
            </w:r>
          </w:p>
        </w:tc>
        <w:tc>
          <w:tcPr>
            <w:tcW w:w="412" w:type="pct"/>
            <w:tcMar>
              <w:left w:w="0" w:type="dxa"/>
              <w:right w:w="0" w:type="dxa"/>
            </w:tcMar>
            <w:vAlign w:val="center"/>
          </w:tcPr>
          <w:p>
            <w:pPr>
              <w:autoSpaceDE w:val="0"/>
              <w:autoSpaceDN w:val="0"/>
              <w:adjustRightInd w:val="0"/>
              <w:snapToGrid w:val="0"/>
              <w:jc w:val="center"/>
              <w:rPr>
                <w:rFonts w:ascii="Times New Roman" w:hAnsi="Times New Roman" w:eastAsiaTheme="minorEastAsia"/>
                <w:b/>
                <w:bCs/>
                <w:color w:val="000000"/>
                <w:kern w:val="0"/>
              </w:rPr>
            </w:pPr>
            <w:r>
              <w:rPr>
                <w:rFonts w:ascii="Times New Roman" w:hAnsi="Times New Roman" w:eastAsiaTheme="minorEastAsia"/>
                <w:b/>
                <w:bCs/>
                <w:color w:val="000000"/>
                <w:kern w:val="0"/>
              </w:rPr>
              <w:t>mg/L</w:t>
            </w:r>
          </w:p>
        </w:tc>
        <w:tc>
          <w:tcPr>
            <w:tcW w:w="343" w:type="pct"/>
            <w:tcMar>
              <w:left w:w="0" w:type="dxa"/>
              <w:right w:w="0" w:type="dxa"/>
            </w:tcMar>
            <w:vAlign w:val="center"/>
          </w:tcPr>
          <w:p>
            <w:pPr>
              <w:autoSpaceDE w:val="0"/>
              <w:autoSpaceDN w:val="0"/>
              <w:adjustRightInd w:val="0"/>
              <w:snapToGrid w:val="0"/>
              <w:jc w:val="center"/>
              <w:rPr>
                <w:rFonts w:ascii="Times New Roman" w:hAnsi="Times New Roman" w:eastAsiaTheme="minorEastAsia"/>
                <w:b/>
                <w:bCs/>
                <w:color w:val="000000"/>
                <w:kern w:val="0"/>
              </w:rPr>
            </w:pPr>
            <w:r>
              <w:rPr>
                <w:rFonts w:ascii="Times New Roman" w:hAnsi="Times New Roman" w:eastAsiaTheme="minorEastAsia"/>
                <w:b/>
                <w:bCs/>
                <w:color w:val="000000"/>
                <w:kern w:val="0"/>
              </w:rPr>
              <w:t>kg/d</w:t>
            </w:r>
          </w:p>
        </w:tc>
        <w:tc>
          <w:tcPr>
            <w:tcW w:w="412" w:type="pct"/>
            <w:tcMar>
              <w:left w:w="0" w:type="dxa"/>
              <w:right w:w="0" w:type="dxa"/>
            </w:tcMar>
            <w:vAlign w:val="center"/>
          </w:tcPr>
          <w:p>
            <w:pPr>
              <w:autoSpaceDE w:val="0"/>
              <w:autoSpaceDN w:val="0"/>
              <w:adjustRightInd w:val="0"/>
              <w:snapToGrid w:val="0"/>
              <w:jc w:val="center"/>
              <w:rPr>
                <w:rFonts w:ascii="Times New Roman" w:hAnsi="Times New Roman" w:eastAsiaTheme="minorEastAsia"/>
                <w:b/>
                <w:bCs/>
                <w:color w:val="000000"/>
                <w:kern w:val="0"/>
              </w:rPr>
            </w:pPr>
            <w:r>
              <w:rPr>
                <w:rFonts w:ascii="Times New Roman" w:hAnsi="Times New Roman" w:eastAsiaTheme="minorEastAsia"/>
                <w:b/>
                <w:bCs/>
                <w:color w:val="000000"/>
                <w:kern w:val="0"/>
              </w:rPr>
              <w:t>mg/L</w:t>
            </w:r>
          </w:p>
        </w:tc>
        <w:tc>
          <w:tcPr>
            <w:tcW w:w="415" w:type="pct"/>
            <w:tcMar>
              <w:left w:w="0" w:type="dxa"/>
              <w:right w:w="0" w:type="dxa"/>
            </w:tcMar>
            <w:vAlign w:val="center"/>
          </w:tcPr>
          <w:p>
            <w:pPr>
              <w:autoSpaceDE w:val="0"/>
              <w:autoSpaceDN w:val="0"/>
              <w:adjustRightInd w:val="0"/>
              <w:snapToGrid w:val="0"/>
              <w:jc w:val="center"/>
              <w:rPr>
                <w:rFonts w:ascii="Times New Roman" w:hAnsi="Times New Roman" w:eastAsiaTheme="minorEastAsia"/>
                <w:b/>
                <w:bCs/>
                <w:color w:val="000000"/>
                <w:kern w:val="0"/>
              </w:rPr>
            </w:pPr>
            <w:r>
              <w:rPr>
                <w:rFonts w:ascii="Times New Roman" w:hAnsi="Times New Roman" w:eastAsiaTheme="minorEastAsia"/>
                <w:b/>
                <w:bCs/>
                <w:color w:val="000000"/>
                <w:kern w:val="0"/>
              </w:rPr>
              <w:t>kg/d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64"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生活污水</w:t>
            </w:r>
          </w:p>
        </w:tc>
        <w:tc>
          <w:tcPr>
            <w:tcW w:w="1196"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4.8</w:t>
            </w:r>
          </w:p>
        </w:tc>
        <w:tc>
          <w:tcPr>
            <w:tcW w:w="412"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400</w:t>
            </w:r>
          </w:p>
        </w:tc>
        <w:tc>
          <w:tcPr>
            <w:tcW w:w="343"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1.92</w:t>
            </w:r>
          </w:p>
        </w:tc>
        <w:tc>
          <w:tcPr>
            <w:tcW w:w="461"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200</w:t>
            </w:r>
          </w:p>
        </w:tc>
        <w:tc>
          <w:tcPr>
            <w:tcW w:w="343"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0.96</w:t>
            </w:r>
          </w:p>
        </w:tc>
        <w:tc>
          <w:tcPr>
            <w:tcW w:w="412"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300</w:t>
            </w:r>
          </w:p>
        </w:tc>
        <w:tc>
          <w:tcPr>
            <w:tcW w:w="343"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1.44</w:t>
            </w:r>
          </w:p>
        </w:tc>
        <w:tc>
          <w:tcPr>
            <w:tcW w:w="412"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40</w:t>
            </w:r>
          </w:p>
        </w:tc>
        <w:tc>
          <w:tcPr>
            <w:tcW w:w="415"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0.192</w:t>
            </w:r>
          </w:p>
        </w:tc>
      </w:tr>
    </w:tbl>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p>
    <w:p>
      <w:pPr>
        <w:pStyle w:val="5"/>
        <w:rPr>
          <w:rFonts w:eastAsiaTheme="minorEastAsia"/>
        </w:rPr>
      </w:pPr>
      <w:r>
        <w:rPr>
          <w:rFonts w:eastAsiaTheme="minorEastAsia"/>
        </w:rPr>
        <w:t>废气</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施工期使用外购商品混凝土，现场不设拌合站。施工期废气主要是各种施工机械、运输车辆产生的扬尘、临时建筑材料堆场在空气作用下的起尘，此外，还有施工机械、运输车辆排放的尾气等，废气中的污染物主要为CO、HC（碳氢化合物）、NOx和PM（颗粒物）。</w:t>
      </w: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1、施工扬尘</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码头施工期间的场地平整、土方回填、建材装卸等产生的施工扬尘会使周围大气中的悬浮微粒浓度增加，局部地区污染加剧。根据同类工地现场监测，施工作业场地附近地面粉尘浓度可达1.5~30mg/m</w:t>
      </w:r>
      <w:r>
        <w:rPr>
          <w:rFonts w:ascii="Times New Roman" w:hAnsi="Times New Roman" w:eastAsiaTheme="minorEastAsia"/>
          <w:color w:val="000000"/>
          <w:sz w:val="24"/>
          <w:szCs w:val="24"/>
          <w:vertAlign w:val="superscript"/>
        </w:rPr>
        <w:t>3</w:t>
      </w:r>
      <w:r>
        <w:rPr>
          <w:rFonts w:ascii="Times New Roman" w:hAnsi="Times New Roman" w:eastAsiaTheme="minorEastAsia"/>
          <w:color w:val="000000"/>
          <w:sz w:val="24"/>
          <w:szCs w:val="24"/>
        </w:rPr>
        <w:t>，距离施工现场约200m外的TSP浓度一般低于0.5mg/m</w:t>
      </w:r>
      <w:r>
        <w:rPr>
          <w:rFonts w:ascii="Times New Roman" w:hAnsi="Times New Roman" w:eastAsiaTheme="minorEastAsia"/>
          <w:color w:val="000000"/>
          <w:sz w:val="24"/>
          <w:szCs w:val="24"/>
          <w:vertAlign w:val="superscript"/>
        </w:rPr>
        <w:t>3</w:t>
      </w:r>
      <w:r>
        <w:rPr>
          <w:rFonts w:ascii="Times New Roman" w:hAnsi="Times New Roman" w:eastAsiaTheme="minorEastAsia"/>
          <w:color w:val="000000"/>
          <w:sz w:val="24"/>
          <w:szCs w:val="24"/>
        </w:rPr>
        <w:t>。</w:t>
      </w: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2、运输扬尘</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据有关文献资料介绍，施工车辆行驶产生的施工道路扬尘占总扬尘量的60%以上。车辆行驶产生的扬尘，在完全干燥情况下，可按下列经验公式计算。</w:t>
      </w:r>
    </w:p>
    <w:p>
      <w:pPr>
        <w:tabs>
          <w:tab w:val="left" w:pos="900"/>
        </w:tabs>
        <w:adjustRightInd w:val="0"/>
        <w:snapToGrid w:val="0"/>
        <w:spacing w:line="360" w:lineRule="auto"/>
        <w:jc w:val="center"/>
        <w:rPr>
          <w:rFonts w:ascii="Times New Roman" w:hAnsi="Times New Roman" w:eastAsiaTheme="minorEastAsia"/>
          <w:color w:val="000000"/>
          <w:sz w:val="24"/>
          <w:szCs w:val="24"/>
        </w:rPr>
      </w:pPr>
      <w:r>
        <w:rPr>
          <w:rFonts w:ascii="Times New Roman" w:hAnsi="Times New Roman" w:eastAsiaTheme="minorEastAsia"/>
          <w:color w:val="000000"/>
          <w:sz w:val="24"/>
          <w:szCs w:val="24"/>
        </w:rPr>
        <w:drawing>
          <wp:inline distT="0" distB="0" distL="0" distR="0">
            <wp:extent cx="2409825" cy="239395"/>
            <wp:effectExtent l="0" t="0" r="0"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7"/>
                    <a:stretch>
                      <a:fillRect/>
                    </a:stretch>
                  </pic:blipFill>
                  <pic:spPr>
                    <a:xfrm>
                      <a:off x="0" y="0"/>
                      <a:ext cx="2466951" cy="245692"/>
                    </a:xfrm>
                    <a:prstGeom prst="rect">
                      <a:avLst/>
                    </a:prstGeom>
                  </pic:spPr>
                </pic:pic>
              </a:graphicData>
            </a:graphic>
          </wp:inline>
        </w:drawing>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式中：Q——车辆行驶产生的扬尘，kg/km；</w:t>
      </w:r>
    </w:p>
    <w:p>
      <w:pPr>
        <w:tabs>
          <w:tab w:val="left" w:pos="900"/>
        </w:tabs>
        <w:adjustRightInd w:val="0"/>
        <w:snapToGrid w:val="0"/>
        <w:spacing w:line="360" w:lineRule="auto"/>
        <w:ind w:firstLine="1200" w:firstLineChars="500"/>
        <w:rPr>
          <w:rFonts w:ascii="Times New Roman" w:hAnsi="Times New Roman" w:eastAsiaTheme="minorEastAsia"/>
          <w:color w:val="000000"/>
          <w:sz w:val="24"/>
          <w:szCs w:val="24"/>
        </w:rPr>
      </w:pPr>
      <w:r>
        <w:rPr>
          <w:rFonts w:ascii="Times New Roman" w:hAnsi="Times New Roman" w:eastAsiaTheme="minorEastAsia"/>
          <w:color w:val="000000"/>
          <w:sz w:val="24"/>
          <w:szCs w:val="24"/>
        </w:rPr>
        <w:t>V——车辆行驶速度，km/h；</w:t>
      </w:r>
    </w:p>
    <w:p>
      <w:pPr>
        <w:tabs>
          <w:tab w:val="left" w:pos="900"/>
        </w:tabs>
        <w:adjustRightInd w:val="0"/>
        <w:snapToGrid w:val="0"/>
        <w:spacing w:line="360" w:lineRule="auto"/>
        <w:ind w:firstLine="1200" w:firstLineChars="500"/>
        <w:rPr>
          <w:rFonts w:ascii="Times New Roman" w:hAnsi="Times New Roman" w:eastAsiaTheme="minorEastAsia"/>
          <w:color w:val="000000"/>
          <w:sz w:val="24"/>
          <w:szCs w:val="24"/>
        </w:rPr>
      </w:pPr>
      <w:r>
        <w:rPr>
          <w:rFonts w:ascii="Times New Roman" w:hAnsi="Times New Roman" w:eastAsiaTheme="minorEastAsia"/>
          <w:color w:val="000000"/>
          <w:sz w:val="24"/>
          <w:szCs w:val="24"/>
        </w:rPr>
        <w:t>W——车辆载重量，t；</w:t>
      </w:r>
    </w:p>
    <w:p>
      <w:pPr>
        <w:tabs>
          <w:tab w:val="left" w:pos="900"/>
        </w:tabs>
        <w:adjustRightInd w:val="0"/>
        <w:snapToGrid w:val="0"/>
        <w:spacing w:line="360" w:lineRule="auto"/>
        <w:ind w:firstLine="1200" w:firstLineChars="500"/>
        <w:rPr>
          <w:rFonts w:ascii="Times New Roman" w:hAnsi="Times New Roman" w:eastAsiaTheme="minorEastAsia"/>
          <w:color w:val="000000"/>
          <w:sz w:val="24"/>
          <w:szCs w:val="24"/>
        </w:rPr>
      </w:pPr>
      <w:r>
        <w:rPr>
          <w:rFonts w:ascii="Times New Roman" w:hAnsi="Times New Roman" w:eastAsiaTheme="minorEastAsia"/>
          <w:color w:val="000000"/>
          <w:sz w:val="24"/>
          <w:szCs w:val="24"/>
        </w:rPr>
        <w:t>P——道路表面粉尘量，kg/m</w:t>
      </w:r>
      <w:r>
        <w:rPr>
          <w:rFonts w:ascii="Times New Roman" w:hAnsi="Times New Roman" w:eastAsiaTheme="minorEastAsia"/>
          <w:color w:val="000000"/>
          <w:sz w:val="24"/>
          <w:szCs w:val="24"/>
          <w:vertAlign w:val="superscript"/>
        </w:rPr>
        <w:t>2</w:t>
      </w:r>
      <w:r>
        <w:rPr>
          <w:rFonts w:ascii="Times New Roman" w:hAnsi="Times New Roman" w:eastAsiaTheme="minorEastAsia"/>
          <w:color w:val="000000"/>
          <w:sz w:val="24"/>
          <w:szCs w:val="24"/>
        </w:rPr>
        <w:t>。</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本项目施工现场以单辆车行驶产生的扬尘量计算源强，结果见表3.</w:t>
      </w:r>
      <w:r>
        <w:rPr>
          <w:rFonts w:hint="eastAsia" w:ascii="Times New Roman" w:hAnsi="Times New Roman" w:eastAsiaTheme="minorEastAsia"/>
          <w:color w:val="000000"/>
          <w:sz w:val="24"/>
          <w:szCs w:val="24"/>
          <w:lang w:val="en-US" w:eastAsia="zh-CN"/>
        </w:rPr>
        <w:t>4</w:t>
      </w:r>
      <w:r>
        <w:rPr>
          <w:rFonts w:ascii="Times New Roman" w:hAnsi="Times New Roman" w:eastAsiaTheme="minorEastAsia"/>
          <w:color w:val="000000"/>
          <w:sz w:val="24"/>
          <w:szCs w:val="24"/>
        </w:rPr>
        <w:t>-5。</w:t>
      </w:r>
    </w:p>
    <w:p>
      <w:pPr>
        <w:tabs>
          <w:tab w:val="left" w:pos="900"/>
        </w:tabs>
        <w:adjustRightInd w:val="0"/>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表3.</w:t>
      </w:r>
      <w:r>
        <w:rPr>
          <w:rFonts w:hint="eastAsia" w:ascii="Times New Roman" w:hAnsi="Times New Roman" w:eastAsiaTheme="minorEastAsia"/>
          <w:b/>
          <w:color w:val="000000"/>
          <w:sz w:val="24"/>
          <w:szCs w:val="24"/>
          <w:lang w:val="en-US" w:eastAsia="zh-CN"/>
        </w:rPr>
        <w:t>4</w:t>
      </w:r>
      <w:r>
        <w:rPr>
          <w:rFonts w:ascii="Times New Roman" w:hAnsi="Times New Roman" w:eastAsiaTheme="minorEastAsia"/>
          <w:b/>
          <w:color w:val="000000"/>
          <w:sz w:val="24"/>
          <w:szCs w:val="24"/>
        </w:rPr>
        <w:t>-5  单辆运输车辆产生的扬尘计算结果表</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760"/>
        <w:gridCol w:w="1858"/>
        <w:gridCol w:w="1840"/>
        <w:gridCol w:w="1791"/>
        <w:gridCol w:w="185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967"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参数</w:t>
            </w:r>
          </w:p>
        </w:tc>
        <w:tc>
          <w:tcPr>
            <w:tcW w:w="1021"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Q（kg/km）</w:t>
            </w:r>
          </w:p>
        </w:tc>
        <w:tc>
          <w:tcPr>
            <w:tcW w:w="1011"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V（km/h）</w:t>
            </w:r>
          </w:p>
        </w:tc>
        <w:tc>
          <w:tcPr>
            <w:tcW w:w="984"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W（t）</w:t>
            </w:r>
          </w:p>
        </w:tc>
        <w:tc>
          <w:tcPr>
            <w:tcW w:w="1017"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P（kg/m</w:t>
            </w:r>
            <w:r>
              <w:rPr>
                <w:rFonts w:ascii="Times New Roman" w:hAnsi="Times New Roman" w:eastAsiaTheme="minorEastAsia"/>
                <w:b/>
                <w:color w:val="000000"/>
                <w:kern w:val="0"/>
                <w:vertAlign w:val="superscript"/>
              </w:rPr>
              <w:t>2</w:t>
            </w:r>
            <w:r>
              <w:rPr>
                <w:rFonts w:ascii="Times New Roman" w:hAnsi="Times New Roman" w:eastAsiaTheme="minorEastAsia"/>
                <w:b/>
                <w:color w:val="000000"/>
                <w:kern w:val="0"/>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96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计算结果</w:t>
            </w:r>
          </w:p>
        </w:tc>
        <w:tc>
          <w:tcPr>
            <w:tcW w:w="102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0.287</w:t>
            </w:r>
          </w:p>
        </w:tc>
        <w:tc>
          <w:tcPr>
            <w:tcW w:w="101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w:t>
            </w:r>
          </w:p>
        </w:tc>
        <w:tc>
          <w:tcPr>
            <w:tcW w:w="984"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w:t>
            </w:r>
          </w:p>
        </w:tc>
        <w:tc>
          <w:tcPr>
            <w:tcW w:w="101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w:t>
            </w:r>
          </w:p>
        </w:tc>
      </w:tr>
    </w:tbl>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根据有关资料，一辆10吨卡车，通过一段长度为1km的路面时，在不同路面清洁程度，不同行驶速度情况下，产生的扬尘量见表3.</w:t>
      </w:r>
      <w:r>
        <w:rPr>
          <w:rFonts w:hint="eastAsia" w:ascii="Times New Roman" w:hAnsi="Times New Roman" w:eastAsiaTheme="minorEastAsia"/>
          <w:color w:val="000000"/>
          <w:sz w:val="24"/>
          <w:szCs w:val="24"/>
          <w:lang w:val="en-US" w:eastAsia="zh-CN"/>
        </w:rPr>
        <w:t>4</w:t>
      </w:r>
      <w:r>
        <w:rPr>
          <w:rFonts w:ascii="Times New Roman" w:hAnsi="Times New Roman" w:eastAsiaTheme="minorEastAsia"/>
          <w:color w:val="000000"/>
          <w:sz w:val="24"/>
          <w:szCs w:val="24"/>
        </w:rPr>
        <w:t>-6。</w:t>
      </w:r>
    </w:p>
    <w:p>
      <w:pPr>
        <w:tabs>
          <w:tab w:val="left" w:pos="900"/>
        </w:tabs>
        <w:wordWrap w:val="0"/>
        <w:adjustRightInd w:val="0"/>
        <w:snapToGrid w:val="0"/>
        <w:spacing w:line="276" w:lineRule="auto"/>
        <w:jc w:val="right"/>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表3.</w:t>
      </w:r>
      <w:r>
        <w:rPr>
          <w:rFonts w:hint="eastAsia" w:ascii="Times New Roman" w:hAnsi="Times New Roman" w:eastAsiaTheme="minorEastAsia"/>
          <w:b/>
          <w:color w:val="000000"/>
          <w:sz w:val="24"/>
          <w:szCs w:val="24"/>
          <w:lang w:val="en-US" w:eastAsia="zh-CN"/>
        </w:rPr>
        <w:t>4</w:t>
      </w:r>
      <w:r>
        <w:rPr>
          <w:rFonts w:ascii="Times New Roman" w:hAnsi="Times New Roman" w:eastAsiaTheme="minorEastAsia"/>
          <w:b/>
          <w:color w:val="000000"/>
          <w:sz w:val="24"/>
          <w:szCs w:val="24"/>
        </w:rPr>
        <w:t>-6  不同车速和地面清洁度程度的车辆扬尘表</w:t>
      </w:r>
      <w:r>
        <w:rPr>
          <w:rFonts w:ascii="Times New Roman" w:hAnsi="Times New Roman" w:eastAsiaTheme="minorEastAsia"/>
          <w:color w:val="000000"/>
          <w:sz w:val="24"/>
          <w:szCs w:val="24"/>
        </w:rPr>
        <w:t xml:space="preserve">   单位：kg/辆</w:t>
      </w:r>
      <w:r>
        <w:rPr>
          <w:rFonts w:hint="default" w:ascii="Times New Roman" w:hAnsi="Times New Roman" w:cs="Times New Roman" w:eastAsiaTheme="minorEastAsia"/>
          <w:color w:val="000000"/>
          <w:sz w:val="24"/>
          <w:szCs w:val="24"/>
          <w:lang w:val="en-US" w:eastAsia="zh-CN"/>
        </w:rPr>
        <w:t>·</w:t>
      </w:r>
      <w:r>
        <w:rPr>
          <w:rFonts w:ascii="Times New Roman" w:hAnsi="Times New Roman" w:eastAsiaTheme="minorEastAsia"/>
          <w:color w:val="000000"/>
          <w:sz w:val="24"/>
          <w:szCs w:val="24"/>
        </w:rPr>
        <w:t>km</w:t>
      </w:r>
    </w:p>
    <w:tbl>
      <w:tblPr>
        <w:tblStyle w:val="71"/>
        <w:tblW w:w="907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969"/>
        <w:gridCol w:w="1183"/>
        <w:gridCol w:w="1185"/>
        <w:gridCol w:w="1185"/>
        <w:gridCol w:w="1183"/>
        <w:gridCol w:w="1185"/>
        <w:gridCol w:w="118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69" w:type="dxa"/>
            <w:tcBorders>
              <w:top w:val="single" w:color="000000" w:sz="12" w:space="0"/>
              <w:bottom w:val="single" w:color="000000" w:sz="4" w:space="0"/>
              <w:tl2br w:val="single" w:color="000000" w:sz="4" w:space="0"/>
            </w:tcBorders>
            <w:vAlign w:val="center"/>
          </w:tcPr>
          <w:p>
            <w:pPr>
              <w:autoSpaceDE w:val="0"/>
              <w:autoSpaceDN w:val="0"/>
              <w:adjustRightInd w:val="0"/>
              <w:snapToGrid w:val="0"/>
              <w:jc w:val="right"/>
              <w:rPr>
                <w:rFonts w:ascii="Times New Roman" w:hAnsi="Times New Roman" w:eastAsiaTheme="minorEastAsia"/>
                <w:b/>
                <w:color w:val="000000"/>
                <w:kern w:val="0"/>
              </w:rPr>
            </w:pPr>
            <w:r>
              <w:rPr>
                <w:rFonts w:ascii="Times New Roman" w:hAnsi="Times New Roman" w:eastAsiaTheme="minorEastAsia"/>
                <w:b/>
                <w:color w:val="000000"/>
                <w:kern w:val="0"/>
              </w:rPr>
              <w:t>P（kg/m</w:t>
            </w:r>
            <w:r>
              <w:rPr>
                <w:rFonts w:ascii="Times New Roman" w:hAnsi="Times New Roman" w:eastAsiaTheme="minorEastAsia"/>
                <w:b/>
                <w:color w:val="000000"/>
                <w:kern w:val="0"/>
                <w:vertAlign w:val="superscript"/>
              </w:rPr>
              <w:t>2</w:t>
            </w:r>
            <w:r>
              <w:rPr>
                <w:rFonts w:ascii="Times New Roman" w:hAnsi="Times New Roman" w:eastAsiaTheme="minorEastAsia"/>
                <w:b/>
                <w:color w:val="000000"/>
                <w:kern w:val="0"/>
              </w:rPr>
              <w:t>）</w:t>
            </w:r>
          </w:p>
          <w:p>
            <w:pPr>
              <w:autoSpaceDE w:val="0"/>
              <w:autoSpaceDN w:val="0"/>
              <w:adjustRightInd w:val="0"/>
              <w:snapToGrid w:val="0"/>
              <w:jc w:val="left"/>
              <w:rPr>
                <w:rFonts w:ascii="Times New Roman" w:hAnsi="Times New Roman" w:eastAsiaTheme="minorEastAsia"/>
                <w:b/>
                <w:color w:val="000000"/>
                <w:kern w:val="0"/>
              </w:rPr>
            </w:pPr>
            <w:r>
              <w:rPr>
                <w:rFonts w:ascii="Times New Roman" w:hAnsi="Times New Roman" w:eastAsiaTheme="minorEastAsia"/>
                <w:b/>
                <w:color w:val="000000"/>
                <w:kern w:val="0"/>
              </w:rPr>
              <w:t>车速km/h</w:t>
            </w:r>
          </w:p>
        </w:tc>
        <w:tc>
          <w:tcPr>
            <w:tcW w:w="1183" w:type="dxa"/>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0.1</w:t>
            </w:r>
          </w:p>
        </w:tc>
        <w:tc>
          <w:tcPr>
            <w:tcW w:w="1185" w:type="dxa"/>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0.2</w:t>
            </w:r>
          </w:p>
        </w:tc>
        <w:tc>
          <w:tcPr>
            <w:tcW w:w="1185" w:type="dxa"/>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0.3</w:t>
            </w:r>
          </w:p>
        </w:tc>
        <w:tc>
          <w:tcPr>
            <w:tcW w:w="1183" w:type="dxa"/>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0.4</w:t>
            </w:r>
          </w:p>
        </w:tc>
        <w:tc>
          <w:tcPr>
            <w:tcW w:w="1185" w:type="dxa"/>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0.5</w:t>
            </w:r>
          </w:p>
        </w:tc>
        <w:tc>
          <w:tcPr>
            <w:tcW w:w="1180" w:type="dxa"/>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69" w:type="dxa"/>
            <w:tcBorders>
              <w:top w:val="single" w:color="000000" w:sz="4"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w:t>
            </w:r>
          </w:p>
        </w:tc>
        <w:tc>
          <w:tcPr>
            <w:tcW w:w="1183"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0.0510</w:t>
            </w:r>
          </w:p>
        </w:tc>
        <w:tc>
          <w:tcPr>
            <w:tcW w:w="1185"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0.0859</w:t>
            </w:r>
          </w:p>
        </w:tc>
        <w:tc>
          <w:tcPr>
            <w:tcW w:w="1185"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0.1164</w:t>
            </w:r>
          </w:p>
        </w:tc>
        <w:tc>
          <w:tcPr>
            <w:tcW w:w="1183"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0.1444</w:t>
            </w:r>
          </w:p>
        </w:tc>
        <w:tc>
          <w:tcPr>
            <w:tcW w:w="1185"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0.1707</w:t>
            </w:r>
          </w:p>
        </w:tc>
        <w:tc>
          <w:tcPr>
            <w:tcW w:w="1180"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0.2871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69"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10</w:t>
            </w:r>
          </w:p>
        </w:tc>
        <w:tc>
          <w:tcPr>
            <w:tcW w:w="1183"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0.1021</w:t>
            </w:r>
          </w:p>
        </w:tc>
        <w:tc>
          <w:tcPr>
            <w:tcW w:w="1185"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0.1717</w:t>
            </w:r>
          </w:p>
        </w:tc>
        <w:tc>
          <w:tcPr>
            <w:tcW w:w="1185"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0.2328</w:t>
            </w:r>
          </w:p>
        </w:tc>
        <w:tc>
          <w:tcPr>
            <w:tcW w:w="1183"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0.2888</w:t>
            </w:r>
          </w:p>
        </w:tc>
        <w:tc>
          <w:tcPr>
            <w:tcW w:w="1185"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0.3414</w:t>
            </w:r>
          </w:p>
        </w:tc>
        <w:tc>
          <w:tcPr>
            <w:tcW w:w="1180"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0.5742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69"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15</w:t>
            </w:r>
          </w:p>
        </w:tc>
        <w:tc>
          <w:tcPr>
            <w:tcW w:w="1183"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0.1532</w:t>
            </w:r>
          </w:p>
        </w:tc>
        <w:tc>
          <w:tcPr>
            <w:tcW w:w="1185"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0.2576</w:t>
            </w:r>
          </w:p>
        </w:tc>
        <w:tc>
          <w:tcPr>
            <w:tcW w:w="1185"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0.3491</w:t>
            </w:r>
          </w:p>
        </w:tc>
        <w:tc>
          <w:tcPr>
            <w:tcW w:w="1183"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0.4332</w:t>
            </w:r>
          </w:p>
        </w:tc>
        <w:tc>
          <w:tcPr>
            <w:tcW w:w="1185"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0.5121</w:t>
            </w:r>
          </w:p>
        </w:tc>
        <w:tc>
          <w:tcPr>
            <w:tcW w:w="1180"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0.8613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69"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25</w:t>
            </w:r>
          </w:p>
        </w:tc>
        <w:tc>
          <w:tcPr>
            <w:tcW w:w="1183"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0.2553</w:t>
            </w:r>
          </w:p>
        </w:tc>
        <w:tc>
          <w:tcPr>
            <w:tcW w:w="1185"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0.4293</w:t>
            </w:r>
          </w:p>
        </w:tc>
        <w:tc>
          <w:tcPr>
            <w:tcW w:w="1185"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0.5819</w:t>
            </w:r>
          </w:p>
        </w:tc>
        <w:tc>
          <w:tcPr>
            <w:tcW w:w="1183"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0.7220</w:t>
            </w:r>
          </w:p>
        </w:tc>
        <w:tc>
          <w:tcPr>
            <w:tcW w:w="1185"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0.8536</w:t>
            </w:r>
          </w:p>
        </w:tc>
        <w:tc>
          <w:tcPr>
            <w:tcW w:w="1180"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1.4355</w:t>
            </w:r>
          </w:p>
        </w:tc>
      </w:tr>
    </w:tbl>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从表3.</w:t>
      </w:r>
      <w:r>
        <w:rPr>
          <w:rFonts w:hint="eastAsia" w:ascii="Times New Roman" w:hAnsi="Times New Roman" w:eastAsiaTheme="minorEastAsia"/>
          <w:color w:val="000000"/>
          <w:sz w:val="24"/>
          <w:szCs w:val="24"/>
          <w:lang w:val="en-US" w:eastAsia="zh-CN"/>
        </w:rPr>
        <w:t>4</w:t>
      </w:r>
      <w:r>
        <w:rPr>
          <w:rFonts w:ascii="Times New Roman" w:hAnsi="Times New Roman" w:eastAsiaTheme="minorEastAsia"/>
          <w:color w:val="000000"/>
          <w:sz w:val="24"/>
          <w:szCs w:val="24"/>
        </w:rPr>
        <w:t>-6可见，在同样路面清洁程度的条件下，车速越快，扬尘量越大；在同样车速条件下，路面越脏，则扬尘量越大。因此，限速行驶和保持路面的清洁是减少车辆行驶扬尘源强的有效措施。</w:t>
      </w: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3、施工船舶、车辆和机械废气</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施工车辆废气：汽车的汽柴油发动机排放的尾气主要污染物为SO</w:t>
      </w:r>
      <w:r>
        <w:rPr>
          <w:rFonts w:ascii="Times New Roman" w:hAnsi="Times New Roman" w:eastAsiaTheme="minorEastAsia"/>
          <w:color w:val="000000"/>
          <w:sz w:val="24"/>
          <w:szCs w:val="24"/>
          <w:vertAlign w:val="subscript"/>
        </w:rPr>
        <w:t>2</w:t>
      </w:r>
      <w:r>
        <w:rPr>
          <w:rFonts w:ascii="Times New Roman" w:hAnsi="Times New Roman" w:eastAsiaTheme="minorEastAsia"/>
          <w:color w:val="000000"/>
          <w:sz w:val="24"/>
          <w:szCs w:val="24"/>
        </w:rPr>
        <w:t>、CO、烃类和NOx。一般施工采用柴油汽车，按8t载重车型为例，其污染物排放情况具体见表3.</w:t>
      </w:r>
      <w:r>
        <w:rPr>
          <w:rFonts w:hint="eastAsia" w:ascii="Times New Roman" w:hAnsi="Times New Roman" w:eastAsiaTheme="minorEastAsia"/>
          <w:color w:val="000000"/>
          <w:sz w:val="24"/>
          <w:szCs w:val="24"/>
          <w:lang w:val="en-US" w:eastAsia="zh-CN"/>
        </w:rPr>
        <w:t>4</w:t>
      </w:r>
      <w:r>
        <w:rPr>
          <w:rFonts w:ascii="Times New Roman" w:hAnsi="Times New Roman" w:eastAsiaTheme="minorEastAsia"/>
          <w:color w:val="000000"/>
          <w:sz w:val="24"/>
          <w:szCs w:val="24"/>
        </w:rPr>
        <w:t>-7。</w:t>
      </w:r>
    </w:p>
    <w:p>
      <w:pPr>
        <w:tabs>
          <w:tab w:val="left" w:pos="900"/>
        </w:tabs>
        <w:adjustRightInd w:val="0"/>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表3.</w:t>
      </w:r>
      <w:r>
        <w:rPr>
          <w:rFonts w:hint="eastAsia" w:ascii="Times New Roman" w:hAnsi="Times New Roman" w:eastAsiaTheme="minorEastAsia"/>
          <w:b/>
          <w:color w:val="000000"/>
          <w:sz w:val="24"/>
          <w:szCs w:val="24"/>
          <w:lang w:val="en-US" w:eastAsia="zh-CN"/>
        </w:rPr>
        <w:t>4</w:t>
      </w:r>
      <w:r>
        <w:rPr>
          <w:rFonts w:ascii="Times New Roman" w:hAnsi="Times New Roman" w:eastAsiaTheme="minorEastAsia"/>
          <w:b/>
          <w:color w:val="000000"/>
          <w:sz w:val="24"/>
          <w:szCs w:val="24"/>
        </w:rPr>
        <w:t>-7  机动车污染物排放情况</w:t>
      </w:r>
    </w:p>
    <w:tbl>
      <w:tblPr>
        <w:tblStyle w:val="71"/>
        <w:tblW w:w="907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767"/>
        <w:gridCol w:w="2325"/>
        <w:gridCol w:w="2118"/>
        <w:gridCol w:w="286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7" w:hRule="atLeast"/>
          <w:tblHeader/>
          <w:jc w:val="center"/>
        </w:trPr>
        <w:tc>
          <w:tcPr>
            <w:tcW w:w="1767" w:type="dxa"/>
            <w:tcBorders>
              <w:top w:val="single" w:color="000000" w:sz="12" w:space="0"/>
              <w:bottom w:val="single" w:color="000000" w:sz="4" w:space="0"/>
              <w:tl2br w:val="single" w:color="000000" w:sz="4" w:space="0"/>
            </w:tcBorders>
          </w:tcPr>
          <w:p>
            <w:pPr>
              <w:autoSpaceDE w:val="0"/>
              <w:autoSpaceDN w:val="0"/>
              <w:adjustRightInd w:val="0"/>
              <w:snapToGrid w:val="0"/>
              <w:jc w:val="right"/>
              <w:rPr>
                <w:rFonts w:ascii="Times New Roman" w:hAnsi="Times New Roman" w:eastAsiaTheme="minorEastAsia"/>
                <w:b/>
                <w:color w:val="000000"/>
                <w:kern w:val="0"/>
              </w:rPr>
            </w:pPr>
            <w:r>
              <w:rPr>
                <w:rFonts w:ascii="Times New Roman" w:hAnsi="Times New Roman" w:eastAsiaTheme="minorEastAsia"/>
                <w:b/>
                <w:color w:val="000000"/>
                <w:kern w:val="0"/>
              </w:rPr>
              <w:t>类别</w:t>
            </w:r>
          </w:p>
          <w:p>
            <w:pPr>
              <w:autoSpaceDE w:val="0"/>
              <w:autoSpaceDN w:val="0"/>
              <w:adjustRightInd w:val="0"/>
              <w:snapToGrid w:val="0"/>
              <w:jc w:val="left"/>
              <w:rPr>
                <w:rFonts w:ascii="Times New Roman" w:hAnsi="Times New Roman" w:eastAsiaTheme="minorEastAsia"/>
                <w:b/>
                <w:color w:val="000000"/>
                <w:kern w:val="0"/>
              </w:rPr>
            </w:pPr>
            <w:r>
              <w:rPr>
                <w:rFonts w:ascii="Times New Roman" w:hAnsi="Times New Roman" w:eastAsiaTheme="minorEastAsia"/>
                <w:b/>
                <w:color w:val="000000"/>
                <w:kern w:val="0"/>
              </w:rPr>
              <w:t>污染物</w:t>
            </w:r>
          </w:p>
        </w:tc>
        <w:tc>
          <w:tcPr>
            <w:tcW w:w="2325" w:type="dxa"/>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污染物排放量</w:t>
            </w:r>
          </w:p>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（g/L汽油）</w:t>
            </w:r>
          </w:p>
        </w:tc>
        <w:tc>
          <w:tcPr>
            <w:tcW w:w="2118" w:type="dxa"/>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污染物排放量</w:t>
            </w:r>
          </w:p>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（g/L柴油）</w:t>
            </w:r>
          </w:p>
        </w:tc>
        <w:tc>
          <w:tcPr>
            <w:tcW w:w="2865" w:type="dxa"/>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8吨柴油载重车排放量</w:t>
            </w:r>
          </w:p>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（g/100km）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8" w:hRule="atLeast"/>
          <w:jc w:val="center"/>
        </w:trPr>
        <w:tc>
          <w:tcPr>
            <w:tcW w:w="1767" w:type="dxa"/>
            <w:tcBorders>
              <w:top w:val="single" w:color="000000" w:sz="4" w:space="0"/>
            </w:tcBorders>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SO</w:t>
            </w:r>
            <w:r>
              <w:rPr>
                <w:rFonts w:ascii="Times New Roman" w:hAnsi="Times New Roman" w:eastAsiaTheme="minorEastAsia"/>
                <w:color w:val="000000"/>
                <w:kern w:val="0"/>
                <w:vertAlign w:val="subscript"/>
              </w:rPr>
              <w:t>2</w:t>
            </w:r>
          </w:p>
        </w:tc>
        <w:tc>
          <w:tcPr>
            <w:tcW w:w="2325"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0.295</w:t>
            </w:r>
          </w:p>
        </w:tc>
        <w:tc>
          <w:tcPr>
            <w:tcW w:w="2118"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3.24</w:t>
            </w:r>
          </w:p>
        </w:tc>
        <w:tc>
          <w:tcPr>
            <w:tcW w:w="2865"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97.82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1767"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CO</w:t>
            </w:r>
          </w:p>
        </w:tc>
        <w:tc>
          <w:tcPr>
            <w:tcW w:w="2325"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169.0</w:t>
            </w:r>
          </w:p>
        </w:tc>
        <w:tc>
          <w:tcPr>
            <w:tcW w:w="2118"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27.0</w:t>
            </w:r>
          </w:p>
        </w:tc>
        <w:tc>
          <w:tcPr>
            <w:tcW w:w="2865"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815.13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1767"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NO</w:t>
            </w:r>
            <w:r>
              <w:rPr>
                <w:rFonts w:ascii="Times New Roman" w:hAnsi="Times New Roman" w:eastAsiaTheme="minorEastAsia"/>
                <w:color w:val="000000"/>
                <w:kern w:val="0"/>
                <w:vertAlign w:val="subscript"/>
              </w:rPr>
              <w:t>X</w:t>
            </w:r>
          </w:p>
        </w:tc>
        <w:tc>
          <w:tcPr>
            <w:tcW w:w="2325"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21.1</w:t>
            </w:r>
          </w:p>
        </w:tc>
        <w:tc>
          <w:tcPr>
            <w:tcW w:w="2118"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44.4</w:t>
            </w:r>
          </w:p>
        </w:tc>
        <w:tc>
          <w:tcPr>
            <w:tcW w:w="2865"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1340.44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1767"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烃类</w:t>
            </w:r>
          </w:p>
        </w:tc>
        <w:tc>
          <w:tcPr>
            <w:tcW w:w="2325"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33.3</w:t>
            </w:r>
          </w:p>
        </w:tc>
        <w:tc>
          <w:tcPr>
            <w:tcW w:w="2118"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4.44</w:t>
            </w:r>
          </w:p>
        </w:tc>
        <w:tc>
          <w:tcPr>
            <w:tcW w:w="2865"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134.04</w:t>
            </w:r>
          </w:p>
        </w:tc>
      </w:tr>
    </w:tbl>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施工机械废气：施工燃油机械产生的含CO、NOx、烃类、SO</w:t>
      </w:r>
      <w:r>
        <w:rPr>
          <w:rFonts w:ascii="Times New Roman" w:hAnsi="Times New Roman" w:eastAsiaTheme="minorEastAsia"/>
          <w:color w:val="000000"/>
          <w:sz w:val="24"/>
          <w:szCs w:val="24"/>
          <w:vertAlign w:val="subscript"/>
        </w:rPr>
        <w:t>2</w:t>
      </w:r>
      <w:r>
        <w:rPr>
          <w:rFonts w:ascii="Times New Roman" w:hAnsi="Times New Roman" w:eastAsiaTheme="minorEastAsia"/>
          <w:color w:val="000000"/>
          <w:sz w:val="24"/>
          <w:szCs w:val="24"/>
        </w:rPr>
        <w:t xml:space="preserve"> 等废气对大气环境也将产生一定的影响。</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施工船舶运行过程中排放少量燃油废气，主要污染因子为SO</w:t>
      </w:r>
      <w:r>
        <w:rPr>
          <w:rFonts w:ascii="Times New Roman" w:hAnsi="Times New Roman" w:eastAsiaTheme="minorEastAsia"/>
          <w:color w:val="000000"/>
          <w:sz w:val="24"/>
          <w:szCs w:val="24"/>
          <w:vertAlign w:val="subscript"/>
        </w:rPr>
        <w:t>2</w:t>
      </w:r>
      <w:r>
        <w:rPr>
          <w:rFonts w:ascii="Times New Roman" w:hAnsi="Times New Roman" w:eastAsiaTheme="minorEastAsia"/>
          <w:color w:val="000000"/>
          <w:sz w:val="24"/>
          <w:szCs w:val="24"/>
        </w:rPr>
        <w:t>、NO</w:t>
      </w:r>
      <w:r>
        <w:rPr>
          <w:rFonts w:ascii="Times New Roman" w:hAnsi="Times New Roman" w:eastAsiaTheme="minorEastAsia"/>
          <w:color w:val="000000"/>
          <w:sz w:val="24"/>
          <w:szCs w:val="24"/>
          <w:vertAlign w:val="subscript"/>
        </w:rPr>
        <w:t>X</w:t>
      </w:r>
      <w:r>
        <w:rPr>
          <w:rFonts w:ascii="Times New Roman" w:hAnsi="Times New Roman" w:eastAsiaTheme="minorEastAsia"/>
          <w:color w:val="000000"/>
          <w:sz w:val="24"/>
          <w:szCs w:val="24"/>
        </w:rPr>
        <w:t>和烃类等。</w:t>
      </w:r>
    </w:p>
    <w:p>
      <w:pPr>
        <w:pStyle w:val="5"/>
        <w:rPr>
          <w:rFonts w:eastAsiaTheme="minorEastAsia"/>
        </w:rPr>
      </w:pPr>
      <w:r>
        <w:rPr>
          <w:rFonts w:eastAsiaTheme="minorEastAsia"/>
        </w:rPr>
        <w:t>噪声</w:t>
      </w:r>
    </w:p>
    <w:p>
      <w:pPr>
        <w:tabs>
          <w:tab w:val="left" w:pos="900"/>
        </w:tabs>
        <w:adjustRightInd w:val="0"/>
        <w:snapToGrid w:val="0"/>
        <w:spacing w:line="360" w:lineRule="auto"/>
        <w:ind w:firstLine="480" w:firstLineChars="200"/>
        <w:rPr>
          <w:rFonts w:ascii="Times New Roman" w:hAnsi="Times New Roman" w:eastAsiaTheme="minorEastAsia"/>
          <w:kern w:val="0"/>
          <w:sz w:val="20"/>
          <w:szCs w:val="20"/>
        </w:rPr>
      </w:pPr>
      <w:r>
        <w:rPr>
          <w:rFonts w:ascii="Times New Roman" w:hAnsi="Times New Roman" w:eastAsiaTheme="minorEastAsia"/>
          <w:color w:val="000000"/>
          <w:sz w:val="24"/>
          <w:szCs w:val="24"/>
        </w:rPr>
        <w:t>施工过程中，施工机械、车辆等将产生一定的噪声，参照《港口工程环境保护设计规范》（JTS 149-1-2007），噪声源强见表3.</w:t>
      </w:r>
      <w:r>
        <w:rPr>
          <w:rFonts w:hint="eastAsia" w:ascii="Times New Roman" w:hAnsi="Times New Roman" w:eastAsiaTheme="minorEastAsia"/>
          <w:color w:val="000000"/>
          <w:sz w:val="24"/>
          <w:szCs w:val="24"/>
          <w:lang w:val="en-US" w:eastAsia="zh-CN"/>
        </w:rPr>
        <w:t>4</w:t>
      </w:r>
      <w:r>
        <w:rPr>
          <w:rFonts w:ascii="Times New Roman" w:hAnsi="Times New Roman" w:eastAsiaTheme="minorEastAsia"/>
          <w:color w:val="000000"/>
          <w:sz w:val="24"/>
          <w:szCs w:val="24"/>
        </w:rPr>
        <w:t>-8</w:t>
      </w:r>
      <w:r>
        <w:rPr>
          <w:rFonts w:ascii="Times New Roman" w:hAnsi="Times New Roman" w:eastAsiaTheme="minorEastAsia"/>
          <w:kern w:val="0"/>
          <w:sz w:val="24"/>
          <w:szCs w:val="24"/>
        </w:rPr>
        <w:t>。</w:t>
      </w:r>
    </w:p>
    <w:p>
      <w:pPr>
        <w:tabs>
          <w:tab w:val="left" w:pos="900"/>
        </w:tabs>
        <w:adjustRightInd w:val="0"/>
        <w:snapToGrid w:val="0"/>
        <w:spacing w:line="276" w:lineRule="auto"/>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表3.</w:t>
      </w:r>
      <w:r>
        <w:rPr>
          <w:rFonts w:hint="eastAsia" w:ascii="Times New Roman" w:hAnsi="Times New Roman" w:eastAsiaTheme="minorEastAsia"/>
          <w:b/>
          <w:color w:val="000000"/>
          <w:sz w:val="24"/>
          <w:szCs w:val="24"/>
          <w:lang w:val="en-US" w:eastAsia="zh-CN"/>
        </w:rPr>
        <w:t>4</w:t>
      </w:r>
      <w:r>
        <w:rPr>
          <w:rFonts w:ascii="Times New Roman" w:hAnsi="Times New Roman" w:eastAsiaTheme="minorEastAsia"/>
          <w:b/>
          <w:color w:val="000000"/>
          <w:sz w:val="24"/>
          <w:szCs w:val="24"/>
        </w:rPr>
        <w:t>-8  施工噪声源强一览表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840"/>
        <w:gridCol w:w="1990"/>
        <w:gridCol w:w="2259"/>
        <w:gridCol w:w="2214"/>
        <w:gridCol w:w="17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462"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序号</w:t>
            </w:r>
          </w:p>
        </w:tc>
        <w:tc>
          <w:tcPr>
            <w:tcW w:w="1093"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施工阶段</w:t>
            </w:r>
          </w:p>
        </w:tc>
        <w:tc>
          <w:tcPr>
            <w:tcW w:w="1241"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主要噪声源名称</w:t>
            </w:r>
          </w:p>
        </w:tc>
        <w:tc>
          <w:tcPr>
            <w:tcW w:w="1216"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测点与机械距离</w:t>
            </w:r>
          </w:p>
        </w:tc>
        <w:tc>
          <w:tcPr>
            <w:tcW w:w="987"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声压级dB(A)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2" w:type="pct"/>
            <w:vMerge w:val="restar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w:t>
            </w:r>
          </w:p>
        </w:tc>
        <w:tc>
          <w:tcPr>
            <w:tcW w:w="1093" w:type="pct"/>
            <w:vMerge w:val="restar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码头水域施工</w:t>
            </w:r>
          </w:p>
        </w:tc>
        <w:tc>
          <w:tcPr>
            <w:tcW w:w="124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8.8kw小型船舶</w:t>
            </w:r>
          </w:p>
        </w:tc>
        <w:tc>
          <w:tcPr>
            <w:tcW w:w="121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1m</w:t>
            </w:r>
          </w:p>
        </w:tc>
        <w:tc>
          <w:tcPr>
            <w:tcW w:w="98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2"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1093"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124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17.6kw小型船舶</w:t>
            </w:r>
          </w:p>
        </w:tc>
        <w:tc>
          <w:tcPr>
            <w:tcW w:w="121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1m</w:t>
            </w:r>
          </w:p>
        </w:tc>
        <w:tc>
          <w:tcPr>
            <w:tcW w:w="98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2"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1093"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124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挖掘机</w:t>
            </w:r>
          </w:p>
        </w:tc>
        <w:tc>
          <w:tcPr>
            <w:tcW w:w="121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5m</w:t>
            </w:r>
          </w:p>
        </w:tc>
        <w:tc>
          <w:tcPr>
            <w:tcW w:w="98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2"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1093"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124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装载机</w:t>
            </w:r>
          </w:p>
        </w:tc>
        <w:tc>
          <w:tcPr>
            <w:tcW w:w="121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5m</w:t>
            </w:r>
          </w:p>
        </w:tc>
        <w:tc>
          <w:tcPr>
            <w:tcW w:w="98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2"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1093"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124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卡车</w:t>
            </w:r>
          </w:p>
        </w:tc>
        <w:tc>
          <w:tcPr>
            <w:tcW w:w="121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1m</w:t>
            </w:r>
          </w:p>
        </w:tc>
        <w:tc>
          <w:tcPr>
            <w:tcW w:w="98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2" w:type="pct"/>
            <w:vMerge w:val="restar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w:t>
            </w:r>
          </w:p>
        </w:tc>
        <w:tc>
          <w:tcPr>
            <w:tcW w:w="1093" w:type="pct"/>
            <w:vMerge w:val="restar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陆域平整</w:t>
            </w:r>
          </w:p>
        </w:tc>
        <w:tc>
          <w:tcPr>
            <w:tcW w:w="124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压路机</w:t>
            </w:r>
          </w:p>
        </w:tc>
        <w:tc>
          <w:tcPr>
            <w:tcW w:w="121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5m</w:t>
            </w:r>
          </w:p>
        </w:tc>
        <w:tc>
          <w:tcPr>
            <w:tcW w:w="98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2"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1093" w:type="pct"/>
            <w:vMerge w:val="continue"/>
            <w:vAlign w:val="center"/>
          </w:tcPr>
          <w:p>
            <w:pPr>
              <w:autoSpaceDE w:val="0"/>
              <w:autoSpaceDN w:val="0"/>
              <w:adjustRightInd w:val="0"/>
              <w:snapToGrid w:val="0"/>
              <w:jc w:val="center"/>
              <w:rPr>
                <w:rFonts w:ascii="Times New Roman" w:hAnsi="Times New Roman" w:eastAsiaTheme="minorEastAsia"/>
                <w:kern w:val="0"/>
              </w:rPr>
            </w:pPr>
          </w:p>
        </w:tc>
        <w:tc>
          <w:tcPr>
            <w:tcW w:w="124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推土机</w:t>
            </w:r>
          </w:p>
        </w:tc>
        <w:tc>
          <w:tcPr>
            <w:tcW w:w="121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1m</w:t>
            </w:r>
          </w:p>
        </w:tc>
        <w:tc>
          <w:tcPr>
            <w:tcW w:w="98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2" w:type="pct"/>
            <w:vMerge w:val="restar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w:t>
            </w:r>
          </w:p>
        </w:tc>
        <w:tc>
          <w:tcPr>
            <w:tcW w:w="1093" w:type="pct"/>
            <w:vMerge w:val="restar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上部结构浇注</w:t>
            </w:r>
          </w:p>
        </w:tc>
        <w:tc>
          <w:tcPr>
            <w:tcW w:w="124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混凝土搅拌机</w:t>
            </w:r>
          </w:p>
        </w:tc>
        <w:tc>
          <w:tcPr>
            <w:tcW w:w="121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1m</w:t>
            </w:r>
          </w:p>
        </w:tc>
        <w:tc>
          <w:tcPr>
            <w:tcW w:w="98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2"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1093" w:type="pct"/>
            <w:vMerge w:val="continue"/>
            <w:vAlign w:val="center"/>
          </w:tcPr>
          <w:p>
            <w:pPr>
              <w:autoSpaceDE w:val="0"/>
              <w:autoSpaceDN w:val="0"/>
              <w:adjustRightInd w:val="0"/>
              <w:snapToGrid w:val="0"/>
              <w:jc w:val="center"/>
              <w:rPr>
                <w:rFonts w:ascii="Times New Roman" w:hAnsi="Times New Roman" w:eastAsiaTheme="minorEastAsia"/>
                <w:kern w:val="0"/>
                <w:sz w:val="24"/>
                <w:szCs w:val="24"/>
              </w:rPr>
            </w:pPr>
          </w:p>
        </w:tc>
        <w:tc>
          <w:tcPr>
            <w:tcW w:w="124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振捣机</w:t>
            </w:r>
          </w:p>
        </w:tc>
        <w:tc>
          <w:tcPr>
            <w:tcW w:w="1216"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1m</w:t>
            </w:r>
          </w:p>
        </w:tc>
        <w:tc>
          <w:tcPr>
            <w:tcW w:w="987"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84</w:t>
            </w:r>
          </w:p>
        </w:tc>
      </w:tr>
    </w:tbl>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p>
    <w:p>
      <w:pPr>
        <w:pStyle w:val="5"/>
        <w:rPr>
          <w:rFonts w:eastAsiaTheme="minorEastAsia"/>
        </w:rPr>
      </w:pPr>
      <w:r>
        <w:rPr>
          <w:rFonts w:eastAsiaTheme="minorEastAsia"/>
        </w:rPr>
        <w:t>固体废弃物</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本项目是在原有厂区内进行的提质改造，拟对原2#码头进行拆除后重建，在此过程中不会涉及大型土石方工程，产生的</w:t>
      </w:r>
      <w:r>
        <w:rPr>
          <w:rFonts w:ascii="Times New Roman" w:hAnsi="Times New Roman" w:eastAsiaTheme="minorEastAsia"/>
          <w:sz w:val="24"/>
          <w:szCs w:val="24"/>
        </w:rPr>
        <w:t>固体废弃物主要为原有码头水工建筑物拆除产生建筑垃圾、码头桩基施工产生少量河流底泥、施工建筑材料垃圾及</w:t>
      </w:r>
      <w:r>
        <w:rPr>
          <w:rFonts w:ascii="Times New Roman" w:hAnsi="Times New Roman" w:eastAsiaTheme="minorEastAsia"/>
          <w:color w:val="000000"/>
          <w:sz w:val="24"/>
          <w:szCs w:val="24"/>
        </w:rPr>
        <w:t>施工人员生活垃圾。</w:t>
      </w: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1、</w:t>
      </w:r>
      <w:r>
        <w:rPr>
          <w:rFonts w:ascii="Times New Roman" w:hAnsi="Times New Roman" w:eastAsiaTheme="minorEastAsia"/>
          <w:b/>
          <w:sz w:val="24"/>
          <w:szCs w:val="24"/>
        </w:rPr>
        <w:t>原有码头水工建筑物拆除产生建筑垃圾</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对原2#码头进行拆除约产生建筑垃圾2200m</w:t>
      </w:r>
      <w:r>
        <w:rPr>
          <w:rFonts w:ascii="Times New Roman" w:hAnsi="Times New Roman" w:eastAsiaTheme="minorEastAsia"/>
          <w:color w:val="000000"/>
          <w:sz w:val="24"/>
          <w:szCs w:val="24"/>
          <w:vertAlign w:val="superscript"/>
        </w:rPr>
        <w:t>3</w:t>
      </w:r>
      <w:r>
        <w:rPr>
          <w:rFonts w:ascii="Times New Roman" w:hAnsi="Times New Roman" w:eastAsiaTheme="minorEastAsia"/>
          <w:color w:val="000000"/>
          <w:sz w:val="24"/>
          <w:szCs w:val="24"/>
        </w:rPr>
        <w:t>，</w:t>
      </w:r>
      <w:r>
        <w:rPr>
          <w:rFonts w:ascii="Times New Roman" w:hAnsi="Times New Roman"/>
          <w:kern w:val="10"/>
          <w:sz w:val="24"/>
        </w:rPr>
        <w:t>经收集后由当地环卫部门定期清运进行统一处置。</w:t>
      </w: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2、桩基钻渣</w:t>
      </w:r>
    </w:p>
    <w:p>
      <w:pPr>
        <w:tabs>
          <w:tab w:val="left" w:pos="900"/>
        </w:tabs>
        <w:adjustRightInd w:val="0"/>
        <w:snapToGrid w:val="0"/>
        <w:spacing w:line="360" w:lineRule="auto"/>
        <w:ind w:firstLine="480" w:firstLineChars="200"/>
        <w:rPr>
          <w:rFonts w:ascii="Times New Roman" w:hAnsi="Times New Roman" w:eastAsiaTheme="minorEastAsia"/>
          <w:b/>
          <w:color w:val="000000"/>
          <w:sz w:val="24"/>
          <w:szCs w:val="24"/>
        </w:rPr>
      </w:pPr>
      <w:r>
        <w:rPr>
          <w:rFonts w:ascii="Times New Roman" w:hAnsi="Times New Roman" w:eastAsiaTheme="minorEastAsia"/>
          <w:color w:val="000000"/>
          <w:sz w:val="24"/>
          <w:szCs w:val="24"/>
        </w:rPr>
        <w:t>项目无需进行疏浚，本次提质改造</w:t>
      </w:r>
      <w:r>
        <w:rPr>
          <w:rFonts w:ascii="Times New Roman" w:hAnsi="Times New Roman"/>
          <w:sz w:val="24"/>
          <w:szCs w:val="24"/>
        </w:rPr>
        <w:t>桩基占地面积104.88m</w:t>
      </w:r>
      <w:r>
        <w:rPr>
          <w:rFonts w:ascii="Times New Roman" w:hAnsi="Times New Roman"/>
          <w:sz w:val="24"/>
          <w:szCs w:val="24"/>
          <w:vertAlign w:val="superscript"/>
        </w:rPr>
        <w:t>2</w:t>
      </w:r>
      <w:r>
        <w:rPr>
          <w:rFonts w:ascii="Times New Roman" w:hAnsi="Times New Roman"/>
          <w:sz w:val="24"/>
          <w:szCs w:val="24"/>
        </w:rPr>
        <w:t>，产生挖方550m</w:t>
      </w:r>
      <w:r>
        <w:rPr>
          <w:rFonts w:ascii="Times New Roman" w:hAnsi="Times New Roman"/>
          <w:sz w:val="24"/>
          <w:szCs w:val="24"/>
          <w:vertAlign w:val="superscript"/>
        </w:rPr>
        <w:t>3</w:t>
      </w:r>
      <w:r>
        <w:rPr>
          <w:rFonts w:ascii="Times New Roman" w:hAnsi="Times New Roman"/>
          <w:sz w:val="24"/>
          <w:szCs w:val="24"/>
        </w:rPr>
        <w:t>。</w:t>
      </w: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3、施工建筑垃圾</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根据国内港口建设项目施工现场调查资料估算，项目码头施工建筑垃圾发生总量约为52.5t，</w:t>
      </w:r>
      <w:r>
        <w:rPr>
          <w:rFonts w:ascii="Times New Roman" w:hAnsi="Times New Roman"/>
          <w:kern w:val="10"/>
          <w:sz w:val="24"/>
        </w:rPr>
        <w:t>经收集后由当地环卫部门定期清运进行统一处置。</w:t>
      </w: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4、生活垃圾</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施工期施工人员按50人/天计算，人均生活垃圾发生量按1.0kg/天估算，施工期生活垃圾发生量为0.05t/d，工程施工期为12个月，则整个施工期生活垃圾发生量为18.25t。</w:t>
      </w:r>
    </w:p>
    <w:p>
      <w:pPr>
        <w:pStyle w:val="5"/>
        <w:rPr>
          <w:rFonts w:eastAsiaTheme="minorEastAsia"/>
        </w:rPr>
      </w:pPr>
      <w:r>
        <w:rPr>
          <w:rFonts w:eastAsiaTheme="minorEastAsia"/>
        </w:rPr>
        <w:t>生态环境影响</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码头建造时，施工作业产生的悬浮泥沙、施工船只以及其它施工机械排放的油污水会对水产种质资源保护区及东洞庭湖自然保护区水生生态造成一定程度的污染。</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施工过程中施工区域及邻近江段中的鱼类将受到惊吓而远离施工现场。</w:t>
      </w:r>
    </w:p>
    <w:p>
      <w:pPr>
        <w:pStyle w:val="4"/>
        <w:rPr>
          <w:rFonts w:eastAsiaTheme="minorEastAsia"/>
        </w:rPr>
      </w:pPr>
      <w:r>
        <w:rPr>
          <w:rFonts w:eastAsiaTheme="minorEastAsia"/>
        </w:rPr>
        <w:t>营运期污染源分析</w:t>
      </w:r>
    </w:p>
    <w:p>
      <w:pPr>
        <w:pStyle w:val="5"/>
        <w:rPr>
          <w:rFonts w:eastAsiaTheme="minorEastAsia"/>
        </w:rPr>
      </w:pPr>
      <w:r>
        <w:rPr>
          <w:rFonts w:eastAsiaTheme="minorEastAsia"/>
        </w:rPr>
        <w:t>废水</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本项目接纳的均为满载运煤货船，在到港时不需设置压载舱，仅在卸煤完成后离港时需要补充新水进行压舱。因此，本项目无压舱废水产生。</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本项目产生的废水主要为船舶废水（船舶舱底油污水、船舶生活污水）、趸船冲洗废水、初期雨水以及码头员工生活污水。</w:t>
      </w:r>
    </w:p>
    <w:p>
      <w:pPr>
        <w:tabs>
          <w:tab w:val="left" w:pos="900"/>
        </w:tabs>
        <w:adjustRightInd w:val="0"/>
        <w:snapToGrid w:val="0"/>
        <w:spacing w:line="360" w:lineRule="auto"/>
        <w:ind w:firstLine="482" w:firstLineChars="200"/>
        <w:rPr>
          <w:rFonts w:ascii="Times New Roman" w:hAnsi="Times New Roman" w:eastAsiaTheme="minorEastAsia"/>
          <w:b/>
          <w:color w:val="FF0000"/>
          <w:sz w:val="24"/>
          <w:szCs w:val="24"/>
          <w:u w:val="single"/>
        </w:rPr>
      </w:pPr>
      <w:r>
        <w:rPr>
          <w:rFonts w:ascii="Times New Roman" w:hAnsi="Times New Roman" w:eastAsiaTheme="minorEastAsia"/>
          <w:b/>
          <w:color w:val="FF0000"/>
          <w:sz w:val="24"/>
          <w:szCs w:val="24"/>
          <w:u w:val="single"/>
        </w:rPr>
        <w:t>1、船舶废水</w:t>
      </w:r>
    </w:p>
    <w:p>
      <w:pPr>
        <w:tabs>
          <w:tab w:val="left" w:pos="900"/>
        </w:tabs>
        <w:adjustRightInd w:val="0"/>
        <w:snapToGrid w:val="0"/>
        <w:spacing w:line="360" w:lineRule="auto"/>
        <w:ind w:firstLine="480" w:firstLineChars="200"/>
        <w:rPr>
          <w:rFonts w:ascii="Times New Roman" w:hAnsi="Times New Roman" w:eastAsiaTheme="minorEastAsia"/>
          <w:color w:val="FF0000"/>
          <w:sz w:val="24"/>
          <w:szCs w:val="24"/>
          <w:u w:val="single"/>
        </w:rPr>
      </w:pPr>
      <w:r>
        <w:rPr>
          <w:rFonts w:hint="eastAsia" w:ascii="宋体" w:hAnsi="宋体" w:cs="宋体"/>
          <w:color w:val="FF0000"/>
          <w:sz w:val="24"/>
          <w:szCs w:val="24"/>
          <w:u w:val="single"/>
        </w:rPr>
        <w:t>⑴</w:t>
      </w:r>
      <w:r>
        <w:rPr>
          <w:rFonts w:ascii="Times New Roman" w:hAnsi="Times New Roman" w:eastAsiaTheme="minorEastAsia"/>
          <w:color w:val="FF0000"/>
          <w:sz w:val="24"/>
          <w:szCs w:val="24"/>
          <w:u w:val="single"/>
        </w:rPr>
        <w:t xml:space="preserve"> 船舶舱底油污水</w:t>
      </w:r>
    </w:p>
    <w:p>
      <w:pPr>
        <w:tabs>
          <w:tab w:val="left" w:pos="900"/>
        </w:tabs>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来港船舶机舱底由于机械运转等产生一定量的油污水，根据可研，本项目设计代表船型为3000~10000DWT级船舶，码头营运天数为330天。根据《港口工程环境保护设计规范》（JTS149-1-2007）（中华人民共和国交通部发布）的相关资料及本项目可研中到港代表船型、到港次数，估算本项目全年含油污水发生量为718.38t/a，舱底含油污水的平均含油浓度为5000mg/L，COD浓度约为400mg/L。</w:t>
      </w:r>
    </w:p>
    <w:p>
      <w:pPr>
        <w:tabs>
          <w:tab w:val="left" w:pos="900"/>
        </w:tabs>
        <w:adjustRightInd w:val="0"/>
        <w:snapToGrid w:val="0"/>
        <w:spacing w:line="360" w:lineRule="auto"/>
        <w:ind w:firstLine="480" w:firstLineChars="200"/>
        <w:rPr>
          <w:rFonts w:ascii="Times New Roman" w:hAnsi="Times New Roman"/>
          <w:color w:val="FF0000"/>
          <w:u w:val="single"/>
        </w:rPr>
      </w:pPr>
      <w:r>
        <w:rPr>
          <w:rFonts w:ascii="Times New Roman" w:hAnsi="Times New Roman"/>
          <w:color w:val="FF0000"/>
          <w:sz w:val="24"/>
          <w:szCs w:val="24"/>
          <w:u w:val="single"/>
        </w:rPr>
        <w:t>本项目船舶舱底油污水由船舶自备的油水分离器隔油处理后由船舶交给海事部门环保船接收处理，不上岸处理。船舶舱底油污水产生量及浓度见表3.</w:t>
      </w:r>
      <w:r>
        <w:rPr>
          <w:rFonts w:hint="eastAsia" w:ascii="Times New Roman" w:hAnsi="Times New Roman"/>
          <w:color w:val="FF0000"/>
          <w:sz w:val="24"/>
          <w:szCs w:val="24"/>
          <w:u w:val="single"/>
          <w:lang w:val="en-US" w:eastAsia="zh-CN"/>
        </w:rPr>
        <w:t>4</w:t>
      </w:r>
      <w:r>
        <w:rPr>
          <w:rFonts w:ascii="Times New Roman" w:hAnsi="Times New Roman"/>
          <w:color w:val="FF0000"/>
          <w:sz w:val="24"/>
          <w:szCs w:val="24"/>
          <w:u w:val="single"/>
        </w:rPr>
        <w:t>-9。</w:t>
      </w:r>
    </w:p>
    <w:p>
      <w:pPr>
        <w:tabs>
          <w:tab w:val="left" w:pos="900"/>
        </w:tabs>
        <w:adjustRightInd w:val="0"/>
        <w:snapToGrid w:val="0"/>
        <w:spacing w:line="276" w:lineRule="auto"/>
        <w:ind w:firstLine="482" w:firstLineChars="200"/>
        <w:jc w:val="center"/>
        <w:rPr>
          <w:rFonts w:ascii="Times New Roman" w:hAnsi="Times New Roman"/>
          <w:b/>
          <w:bCs/>
          <w:color w:val="FF0000"/>
          <w:kern w:val="0"/>
          <w:sz w:val="24"/>
          <w:szCs w:val="24"/>
          <w:u w:val="single"/>
        </w:rPr>
      </w:pPr>
      <w:r>
        <w:rPr>
          <w:rFonts w:ascii="Times New Roman" w:hAnsi="Times New Roman" w:eastAsiaTheme="minorEastAsia"/>
          <w:b/>
          <w:color w:val="FF0000"/>
          <w:sz w:val="24"/>
          <w:szCs w:val="24"/>
          <w:u w:val="single"/>
        </w:rPr>
        <w:t>表</w:t>
      </w:r>
      <w:r>
        <w:rPr>
          <w:rFonts w:ascii="Times New Roman" w:hAnsi="Times New Roman" w:eastAsiaTheme="minorEastAsia"/>
          <w:b/>
          <w:color w:val="FF0000"/>
          <w:sz w:val="24"/>
          <w:szCs w:val="24"/>
          <w:u w:val="single"/>
          <w:lang w:val="zh-CN"/>
        </w:rPr>
        <w:t>3.</w:t>
      </w:r>
      <w:r>
        <w:rPr>
          <w:rFonts w:hint="eastAsia" w:ascii="Times New Roman" w:hAnsi="Times New Roman" w:eastAsiaTheme="minorEastAsia"/>
          <w:b/>
          <w:color w:val="FF0000"/>
          <w:sz w:val="24"/>
          <w:szCs w:val="24"/>
          <w:u w:val="single"/>
          <w:lang w:val="en-US" w:eastAsia="zh-CN"/>
        </w:rPr>
        <w:t>4</w:t>
      </w:r>
      <w:r>
        <w:rPr>
          <w:rFonts w:ascii="Times New Roman" w:hAnsi="Times New Roman" w:eastAsiaTheme="minorEastAsia"/>
          <w:b/>
          <w:color w:val="FF0000"/>
          <w:sz w:val="24"/>
          <w:szCs w:val="24"/>
          <w:u w:val="single"/>
          <w:lang w:val="zh-CN"/>
        </w:rPr>
        <w:t>-9</w:t>
      </w:r>
      <w:r>
        <w:rPr>
          <w:rFonts w:ascii="Times New Roman" w:hAnsi="Times New Roman" w:eastAsiaTheme="minorEastAsia"/>
          <w:b/>
          <w:color w:val="FF0000"/>
          <w:sz w:val="24"/>
          <w:szCs w:val="24"/>
          <w:u w:val="single"/>
        </w:rPr>
        <w:t xml:space="preserve">  </w:t>
      </w:r>
      <w:r>
        <w:rPr>
          <w:rFonts w:ascii="Times New Roman" w:hAnsi="Times New Roman"/>
          <w:b/>
          <w:bCs/>
          <w:color w:val="FF0000"/>
          <w:kern w:val="0"/>
          <w:sz w:val="24"/>
          <w:szCs w:val="24"/>
          <w:u w:val="single"/>
        </w:rPr>
        <w:t>船舶生活污水产生源强</w:t>
      </w:r>
    </w:p>
    <w:tbl>
      <w:tblPr>
        <w:tblStyle w:val="7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514"/>
        <w:gridCol w:w="1514"/>
        <w:gridCol w:w="1518"/>
        <w:gridCol w:w="1518"/>
        <w:gridCol w:w="1518"/>
        <w:gridCol w:w="15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2" w:type="pct"/>
            <w:tcBorders>
              <w:top w:val="single" w:color="auto" w:sz="12" w:space="0"/>
              <w:left w:val="single" w:color="auto" w:sz="12" w:space="0"/>
              <w:bottom w:val="single" w:color="auto" w:sz="4" w:space="0"/>
              <w:right w:val="single" w:color="auto" w:sz="4" w:space="0"/>
            </w:tcBorders>
            <w:vAlign w:val="center"/>
          </w:tcPr>
          <w:p>
            <w:pPr>
              <w:pStyle w:val="7"/>
              <w:adjustRightInd w:val="0"/>
              <w:snapToGrid w:val="0"/>
              <w:spacing w:after="0"/>
              <w:jc w:val="center"/>
              <w:rPr>
                <w:rFonts w:ascii="Times New Roman" w:hAnsi="Times New Roman"/>
                <w:b/>
                <w:color w:val="FF0000"/>
                <w:u w:val="single"/>
              </w:rPr>
            </w:pPr>
            <w:r>
              <w:rPr>
                <w:rFonts w:ascii="Times New Roman" w:hAnsi="Times New Roman"/>
                <w:b/>
                <w:color w:val="FF0000"/>
                <w:u w:val="single"/>
              </w:rPr>
              <w:t>船舶载重（t）</w:t>
            </w:r>
          </w:p>
        </w:tc>
        <w:tc>
          <w:tcPr>
            <w:tcW w:w="832" w:type="pct"/>
            <w:tcBorders>
              <w:top w:val="single" w:color="auto" w:sz="12" w:space="0"/>
              <w:left w:val="single" w:color="auto" w:sz="4" w:space="0"/>
              <w:bottom w:val="single" w:color="auto" w:sz="4" w:space="0"/>
              <w:right w:val="single" w:color="auto" w:sz="4" w:space="0"/>
            </w:tcBorders>
            <w:vAlign w:val="center"/>
          </w:tcPr>
          <w:p>
            <w:pPr>
              <w:pStyle w:val="7"/>
              <w:adjustRightInd w:val="0"/>
              <w:snapToGrid w:val="0"/>
              <w:spacing w:after="0"/>
              <w:jc w:val="center"/>
              <w:rPr>
                <w:rFonts w:ascii="Times New Roman" w:hAnsi="Times New Roman"/>
                <w:b/>
                <w:color w:val="FF0000"/>
                <w:u w:val="single"/>
              </w:rPr>
            </w:pPr>
            <w:r>
              <w:rPr>
                <w:rFonts w:ascii="Times New Roman" w:hAnsi="Times New Roman"/>
                <w:b/>
                <w:color w:val="FF0000"/>
                <w:u w:val="single"/>
              </w:rPr>
              <w:t>平均到港次</w:t>
            </w:r>
          </w:p>
          <w:p>
            <w:pPr>
              <w:pStyle w:val="7"/>
              <w:adjustRightInd w:val="0"/>
              <w:snapToGrid w:val="0"/>
              <w:spacing w:after="0"/>
              <w:jc w:val="center"/>
              <w:rPr>
                <w:rFonts w:ascii="Times New Roman" w:hAnsi="Times New Roman"/>
                <w:b/>
                <w:color w:val="FF0000"/>
                <w:u w:val="single"/>
              </w:rPr>
            </w:pPr>
            <w:r>
              <w:rPr>
                <w:rFonts w:ascii="Times New Roman" w:hAnsi="Times New Roman"/>
                <w:b/>
                <w:color w:val="FF0000"/>
                <w:u w:val="single"/>
              </w:rPr>
              <w:t>数（艘次/d）</w:t>
            </w:r>
          </w:p>
        </w:tc>
        <w:tc>
          <w:tcPr>
            <w:tcW w:w="834" w:type="pct"/>
            <w:tcBorders>
              <w:top w:val="single" w:color="auto" w:sz="12" w:space="0"/>
              <w:left w:val="single" w:color="auto" w:sz="4" w:space="0"/>
              <w:bottom w:val="single" w:color="auto" w:sz="4" w:space="0"/>
              <w:right w:val="single" w:color="auto" w:sz="4" w:space="0"/>
            </w:tcBorders>
            <w:vAlign w:val="center"/>
          </w:tcPr>
          <w:p>
            <w:pPr>
              <w:pStyle w:val="7"/>
              <w:adjustRightInd w:val="0"/>
              <w:snapToGrid w:val="0"/>
              <w:spacing w:after="0"/>
              <w:jc w:val="center"/>
              <w:rPr>
                <w:rFonts w:ascii="Times New Roman" w:hAnsi="Times New Roman"/>
                <w:b/>
                <w:color w:val="FF0000"/>
                <w:u w:val="single"/>
              </w:rPr>
            </w:pPr>
            <w:r>
              <w:rPr>
                <w:rFonts w:ascii="Times New Roman" w:hAnsi="Times New Roman"/>
                <w:b/>
                <w:color w:val="FF0000"/>
                <w:u w:val="single"/>
              </w:rPr>
              <w:t>产生系数</w:t>
            </w:r>
          </w:p>
          <w:p>
            <w:pPr>
              <w:pStyle w:val="7"/>
              <w:adjustRightInd w:val="0"/>
              <w:snapToGrid w:val="0"/>
              <w:spacing w:after="0"/>
              <w:jc w:val="center"/>
              <w:rPr>
                <w:rFonts w:ascii="Times New Roman" w:hAnsi="Times New Roman"/>
                <w:b/>
                <w:color w:val="FF0000"/>
                <w:u w:val="single"/>
              </w:rPr>
            </w:pPr>
            <w:r>
              <w:rPr>
                <w:rFonts w:ascii="Times New Roman" w:hAnsi="Times New Roman"/>
                <w:b/>
                <w:color w:val="FF0000"/>
                <w:u w:val="single"/>
              </w:rPr>
              <w:t>（t/d·艘）</w:t>
            </w:r>
          </w:p>
        </w:tc>
        <w:tc>
          <w:tcPr>
            <w:tcW w:w="834" w:type="pct"/>
            <w:tcBorders>
              <w:top w:val="single" w:color="auto" w:sz="12" w:space="0"/>
              <w:left w:val="single" w:color="auto" w:sz="4" w:space="0"/>
              <w:bottom w:val="single" w:color="auto" w:sz="4" w:space="0"/>
              <w:right w:val="single" w:color="auto" w:sz="4" w:space="0"/>
            </w:tcBorders>
            <w:vAlign w:val="center"/>
          </w:tcPr>
          <w:p>
            <w:pPr>
              <w:pStyle w:val="7"/>
              <w:adjustRightInd w:val="0"/>
              <w:snapToGrid w:val="0"/>
              <w:spacing w:after="0"/>
              <w:jc w:val="center"/>
              <w:rPr>
                <w:rFonts w:ascii="Times New Roman" w:hAnsi="Times New Roman"/>
                <w:b/>
                <w:color w:val="FF0000"/>
                <w:u w:val="single"/>
              </w:rPr>
            </w:pPr>
            <w:r>
              <w:rPr>
                <w:rFonts w:ascii="Times New Roman" w:hAnsi="Times New Roman"/>
                <w:b/>
                <w:color w:val="FF0000"/>
                <w:u w:val="single"/>
              </w:rPr>
              <w:t>油污水产生</w:t>
            </w:r>
          </w:p>
          <w:p>
            <w:pPr>
              <w:pStyle w:val="7"/>
              <w:adjustRightInd w:val="0"/>
              <w:snapToGrid w:val="0"/>
              <w:spacing w:after="0"/>
              <w:jc w:val="center"/>
              <w:rPr>
                <w:rFonts w:ascii="Times New Roman" w:hAnsi="Times New Roman"/>
                <w:b/>
                <w:color w:val="FF0000"/>
                <w:u w:val="single"/>
              </w:rPr>
            </w:pPr>
            <w:r>
              <w:rPr>
                <w:rFonts w:ascii="Times New Roman" w:hAnsi="Times New Roman"/>
                <w:b/>
                <w:color w:val="FF0000"/>
                <w:u w:val="single"/>
              </w:rPr>
              <w:t>量（t/a）</w:t>
            </w:r>
          </w:p>
        </w:tc>
        <w:tc>
          <w:tcPr>
            <w:tcW w:w="834" w:type="pct"/>
            <w:tcBorders>
              <w:top w:val="single" w:color="auto" w:sz="12" w:space="0"/>
              <w:left w:val="single" w:color="auto" w:sz="4" w:space="0"/>
              <w:bottom w:val="single" w:color="auto" w:sz="4" w:space="0"/>
              <w:right w:val="single" w:color="auto" w:sz="4" w:space="0"/>
            </w:tcBorders>
            <w:vAlign w:val="center"/>
          </w:tcPr>
          <w:p>
            <w:pPr>
              <w:pStyle w:val="7"/>
              <w:adjustRightInd w:val="0"/>
              <w:snapToGrid w:val="0"/>
              <w:spacing w:after="0"/>
              <w:jc w:val="center"/>
              <w:rPr>
                <w:rFonts w:ascii="Times New Roman" w:hAnsi="Times New Roman"/>
                <w:b/>
                <w:color w:val="FF0000"/>
                <w:u w:val="single"/>
              </w:rPr>
            </w:pPr>
            <w:r>
              <w:rPr>
                <w:rFonts w:ascii="Times New Roman" w:hAnsi="Times New Roman"/>
                <w:b/>
                <w:color w:val="FF0000"/>
                <w:u w:val="single"/>
              </w:rPr>
              <w:t>石油类浓度</w:t>
            </w:r>
          </w:p>
          <w:p>
            <w:pPr>
              <w:pStyle w:val="7"/>
              <w:adjustRightInd w:val="0"/>
              <w:snapToGrid w:val="0"/>
              <w:spacing w:after="0"/>
              <w:jc w:val="center"/>
              <w:rPr>
                <w:rFonts w:ascii="Times New Roman" w:hAnsi="Times New Roman"/>
                <w:b/>
                <w:color w:val="FF0000"/>
                <w:u w:val="single"/>
              </w:rPr>
            </w:pPr>
            <w:r>
              <w:rPr>
                <w:rFonts w:ascii="Times New Roman" w:hAnsi="Times New Roman"/>
                <w:b/>
                <w:color w:val="FF0000"/>
                <w:u w:val="single"/>
              </w:rPr>
              <w:t>（mg/L）</w:t>
            </w:r>
          </w:p>
        </w:tc>
        <w:tc>
          <w:tcPr>
            <w:tcW w:w="834" w:type="pct"/>
            <w:tcBorders>
              <w:top w:val="single" w:color="auto" w:sz="12" w:space="0"/>
              <w:left w:val="single" w:color="auto" w:sz="4" w:space="0"/>
              <w:bottom w:val="single" w:color="auto" w:sz="4" w:space="0"/>
              <w:right w:val="single" w:color="auto" w:sz="12" w:space="0"/>
            </w:tcBorders>
            <w:vAlign w:val="center"/>
          </w:tcPr>
          <w:p>
            <w:pPr>
              <w:pStyle w:val="7"/>
              <w:adjustRightInd w:val="0"/>
              <w:snapToGrid w:val="0"/>
              <w:spacing w:after="0"/>
              <w:jc w:val="center"/>
              <w:rPr>
                <w:rFonts w:ascii="Times New Roman" w:hAnsi="Times New Roman"/>
                <w:b/>
                <w:color w:val="FF0000"/>
                <w:u w:val="single"/>
              </w:rPr>
            </w:pPr>
            <w:r>
              <w:rPr>
                <w:rFonts w:ascii="Times New Roman" w:hAnsi="Times New Roman"/>
                <w:b/>
                <w:color w:val="FF0000"/>
                <w:u w:val="single"/>
              </w:rPr>
              <w:t>COD 浓度</w:t>
            </w:r>
          </w:p>
          <w:p>
            <w:pPr>
              <w:pStyle w:val="7"/>
              <w:adjustRightInd w:val="0"/>
              <w:snapToGrid w:val="0"/>
              <w:spacing w:after="0"/>
              <w:jc w:val="center"/>
              <w:rPr>
                <w:rFonts w:ascii="Times New Roman" w:hAnsi="Times New Roman"/>
                <w:b/>
                <w:color w:val="FF0000"/>
                <w:u w:val="single"/>
              </w:rPr>
            </w:pPr>
            <w:r>
              <w:rPr>
                <w:rFonts w:ascii="Times New Roman" w:hAnsi="Times New Roman"/>
                <w:b/>
                <w:color w:val="FF0000"/>
                <w:u w:val="single"/>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2" w:type="pct"/>
            <w:tcBorders>
              <w:top w:val="single" w:color="auto" w:sz="4" w:space="0"/>
              <w:left w:val="single" w:color="auto" w:sz="12" w:space="0"/>
              <w:bottom w:val="single" w:color="auto" w:sz="4" w:space="0"/>
              <w:right w:val="single" w:color="auto" w:sz="4" w:space="0"/>
            </w:tcBorders>
            <w:vAlign w:val="center"/>
          </w:tcPr>
          <w:p>
            <w:pPr>
              <w:pStyle w:val="7"/>
              <w:adjustRightInd w:val="0"/>
              <w:snapToGrid w:val="0"/>
              <w:spacing w:after="0"/>
              <w:jc w:val="center"/>
              <w:rPr>
                <w:rFonts w:ascii="Times New Roman" w:hAnsi="Times New Roman"/>
                <w:color w:val="FF0000"/>
                <w:u w:val="single"/>
              </w:rPr>
            </w:pPr>
            <w:r>
              <w:rPr>
                <w:rFonts w:ascii="Times New Roman" w:hAnsi="Times New Roman"/>
                <w:color w:val="FF0000"/>
                <w:u w:val="single"/>
              </w:rPr>
              <w:t>3000</w:t>
            </w:r>
          </w:p>
        </w:tc>
        <w:tc>
          <w:tcPr>
            <w:tcW w:w="83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ascii="Times New Roman" w:hAnsi="Times New Roman"/>
                <w:color w:val="FF0000"/>
                <w:u w:val="single"/>
              </w:rPr>
            </w:pPr>
            <w:r>
              <w:rPr>
                <w:rFonts w:ascii="Times New Roman" w:hAnsi="Times New Roman"/>
                <w:color w:val="FF0000"/>
                <w:u w:val="single"/>
              </w:rPr>
              <w:t>0.0545</w:t>
            </w:r>
          </w:p>
        </w:tc>
        <w:tc>
          <w:tcPr>
            <w:tcW w:w="83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top"/>
              <w:rPr>
                <w:rFonts w:ascii="Times New Roman" w:hAnsi="Times New Roman"/>
                <w:color w:val="FF0000"/>
                <w:u w:val="single"/>
              </w:rPr>
            </w:pPr>
            <w:r>
              <w:rPr>
                <w:rFonts w:ascii="Times New Roman" w:hAnsi="Times New Roman"/>
                <w:color w:val="FF0000"/>
                <w:u w:val="single"/>
              </w:rPr>
              <w:t>0.81</w:t>
            </w:r>
          </w:p>
        </w:tc>
        <w:tc>
          <w:tcPr>
            <w:tcW w:w="83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ascii="Times New Roman" w:hAnsi="Times New Roman"/>
                <w:color w:val="FF0000"/>
                <w:u w:val="single"/>
              </w:rPr>
            </w:pPr>
            <w:r>
              <w:rPr>
                <w:rFonts w:ascii="Times New Roman" w:hAnsi="Times New Roman"/>
                <w:color w:val="FF0000"/>
                <w:u w:val="single"/>
              </w:rPr>
              <w:t>14.57</w:t>
            </w:r>
          </w:p>
        </w:tc>
        <w:tc>
          <w:tcPr>
            <w:tcW w:w="834" w:type="pct"/>
            <w:tcBorders>
              <w:top w:val="single" w:color="auto" w:sz="4" w:space="0"/>
              <w:left w:val="single" w:color="auto" w:sz="4" w:space="0"/>
              <w:bottom w:val="single" w:color="auto" w:sz="4" w:space="0"/>
              <w:right w:val="single" w:color="auto" w:sz="4" w:space="0"/>
            </w:tcBorders>
            <w:vAlign w:val="center"/>
          </w:tcPr>
          <w:p>
            <w:pPr>
              <w:pStyle w:val="7"/>
              <w:adjustRightInd w:val="0"/>
              <w:snapToGrid w:val="0"/>
              <w:spacing w:after="0"/>
              <w:jc w:val="center"/>
              <w:rPr>
                <w:rFonts w:ascii="Times New Roman" w:hAnsi="Times New Roman"/>
                <w:color w:val="FF0000"/>
                <w:u w:val="single"/>
              </w:rPr>
            </w:pPr>
            <w:r>
              <w:rPr>
                <w:rFonts w:ascii="Times New Roman" w:hAnsi="Times New Roman"/>
                <w:color w:val="FF0000"/>
                <w:u w:val="single"/>
              </w:rPr>
              <w:t>5000</w:t>
            </w:r>
          </w:p>
        </w:tc>
        <w:tc>
          <w:tcPr>
            <w:tcW w:w="834" w:type="pct"/>
            <w:tcBorders>
              <w:top w:val="single" w:color="auto" w:sz="4" w:space="0"/>
              <w:left w:val="single" w:color="auto" w:sz="4" w:space="0"/>
              <w:bottom w:val="single" w:color="auto" w:sz="4" w:space="0"/>
              <w:right w:val="single" w:color="auto" w:sz="12" w:space="0"/>
            </w:tcBorders>
            <w:vAlign w:val="center"/>
          </w:tcPr>
          <w:p>
            <w:pPr>
              <w:pStyle w:val="7"/>
              <w:adjustRightInd w:val="0"/>
              <w:snapToGrid w:val="0"/>
              <w:spacing w:after="0"/>
              <w:jc w:val="center"/>
              <w:rPr>
                <w:rFonts w:ascii="Times New Roman" w:hAnsi="Times New Roman"/>
                <w:color w:val="FF0000"/>
                <w:u w:val="single"/>
              </w:rPr>
            </w:pPr>
            <w:r>
              <w:rPr>
                <w:rFonts w:ascii="Times New Roman" w:hAnsi="Times New Roman"/>
                <w:color w:val="FF0000"/>
                <w:u w:val="single"/>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2" w:type="pct"/>
            <w:tcBorders>
              <w:top w:val="single" w:color="auto" w:sz="4" w:space="0"/>
              <w:left w:val="single" w:color="auto" w:sz="12" w:space="0"/>
              <w:bottom w:val="single" w:color="auto" w:sz="4" w:space="0"/>
              <w:right w:val="single" w:color="auto" w:sz="4" w:space="0"/>
            </w:tcBorders>
            <w:vAlign w:val="center"/>
          </w:tcPr>
          <w:p>
            <w:pPr>
              <w:pStyle w:val="7"/>
              <w:adjustRightInd w:val="0"/>
              <w:snapToGrid w:val="0"/>
              <w:spacing w:after="0"/>
              <w:jc w:val="center"/>
              <w:rPr>
                <w:rFonts w:ascii="Times New Roman" w:hAnsi="Times New Roman"/>
                <w:color w:val="FF0000"/>
                <w:u w:val="single"/>
              </w:rPr>
            </w:pPr>
            <w:r>
              <w:rPr>
                <w:rFonts w:ascii="Times New Roman" w:hAnsi="Times New Roman"/>
                <w:color w:val="FF0000"/>
                <w:u w:val="single"/>
              </w:rPr>
              <w:t>5000</w:t>
            </w:r>
          </w:p>
        </w:tc>
        <w:tc>
          <w:tcPr>
            <w:tcW w:w="83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ascii="Times New Roman" w:hAnsi="Times New Roman"/>
                <w:color w:val="FF0000"/>
                <w:u w:val="single"/>
              </w:rPr>
            </w:pPr>
            <w:r>
              <w:rPr>
                <w:rFonts w:ascii="Times New Roman" w:hAnsi="Times New Roman"/>
                <w:color w:val="FF0000"/>
                <w:u w:val="single"/>
              </w:rPr>
              <w:t>0.5455</w:t>
            </w:r>
          </w:p>
        </w:tc>
        <w:tc>
          <w:tcPr>
            <w:tcW w:w="83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top"/>
              <w:rPr>
                <w:rFonts w:ascii="Times New Roman" w:hAnsi="Times New Roman"/>
                <w:color w:val="FF0000"/>
                <w:u w:val="single"/>
              </w:rPr>
            </w:pPr>
            <w:r>
              <w:rPr>
                <w:rFonts w:ascii="Times New Roman" w:hAnsi="Times New Roman"/>
                <w:color w:val="FF0000"/>
                <w:u w:val="single"/>
              </w:rPr>
              <w:t>1.39</w:t>
            </w:r>
          </w:p>
        </w:tc>
        <w:tc>
          <w:tcPr>
            <w:tcW w:w="83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ascii="Times New Roman" w:hAnsi="Times New Roman"/>
                <w:color w:val="FF0000"/>
                <w:u w:val="single"/>
              </w:rPr>
            </w:pPr>
            <w:r>
              <w:rPr>
                <w:rFonts w:ascii="Times New Roman" w:hAnsi="Times New Roman"/>
                <w:color w:val="FF0000"/>
                <w:u w:val="single"/>
              </w:rPr>
              <w:t>250.22</w:t>
            </w:r>
          </w:p>
        </w:tc>
        <w:tc>
          <w:tcPr>
            <w:tcW w:w="834" w:type="pct"/>
            <w:tcBorders>
              <w:top w:val="single" w:color="auto" w:sz="4" w:space="0"/>
              <w:left w:val="single" w:color="auto" w:sz="4" w:space="0"/>
              <w:bottom w:val="single" w:color="auto" w:sz="4" w:space="0"/>
              <w:right w:val="single" w:color="auto" w:sz="4" w:space="0"/>
            </w:tcBorders>
            <w:vAlign w:val="center"/>
          </w:tcPr>
          <w:p>
            <w:pPr>
              <w:pStyle w:val="7"/>
              <w:adjustRightInd w:val="0"/>
              <w:snapToGrid w:val="0"/>
              <w:spacing w:after="0"/>
              <w:jc w:val="center"/>
              <w:rPr>
                <w:rFonts w:ascii="Times New Roman" w:hAnsi="Times New Roman"/>
                <w:color w:val="FF0000"/>
                <w:u w:val="single"/>
              </w:rPr>
            </w:pPr>
            <w:r>
              <w:rPr>
                <w:rFonts w:ascii="Times New Roman" w:hAnsi="Times New Roman"/>
                <w:color w:val="FF0000"/>
                <w:u w:val="single"/>
              </w:rPr>
              <w:t>5000</w:t>
            </w:r>
          </w:p>
        </w:tc>
        <w:tc>
          <w:tcPr>
            <w:tcW w:w="834" w:type="pct"/>
            <w:tcBorders>
              <w:top w:val="single" w:color="auto" w:sz="4" w:space="0"/>
              <w:left w:val="single" w:color="auto" w:sz="4" w:space="0"/>
              <w:bottom w:val="single" w:color="auto" w:sz="4" w:space="0"/>
              <w:right w:val="single" w:color="auto" w:sz="12" w:space="0"/>
            </w:tcBorders>
            <w:vAlign w:val="center"/>
          </w:tcPr>
          <w:p>
            <w:pPr>
              <w:pStyle w:val="7"/>
              <w:adjustRightInd w:val="0"/>
              <w:snapToGrid w:val="0"/>
              <w:spacing w:after="0"/>
              <w:jc w:val="center"/>
              <w:rPr>
                <w:rFonts w:ascii="Times New Roman" w:hAnsi="Times New Roman"/>
                <w:color w:val="FF0000"/>
                <w:u w:val="single"/>
              </w:rPr>
            </w:pPr>
            <w:r>
              <w:rPr>
                <w:rFonts w:ascii="Times New Roman" w:hAnsi="Times New Roman"/>
                <w:color w:val="FF0000"/>
                <w:u w:val="single"/>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2" w:type="pct"/>
            <w:tcBorders>
              <w:top w:val="single" w:color="auto" w:sz="4" w:space="0"/>
              <w:left w:val="single" w:color="auto" w:sz="12" w:space="0"/>
              <w:bottom w:val="single" w:color="auto" w:sz="4" w:space="0"/>
              <w:right w:val="single" w:color="auto" w:sz="4" w:space="0"/>
            </w:tcBorders>
            <w:vAlign w:val="center"/>
          </w:tcPr>
          <w:p>
            <w:pPr>
              <w:pStyle w:val="7"/>
              <w:adjustRightInd w:val="0"/>
              <w:snapToGrid w:val="0"/>
              <w:spacing w:after="0"/>
              <w:jc w:val="center"/>
              <w:rPr>
                <w:rFonts w:ascii="Times New Roman" w:hAnsi="Times New Roman"/>
                <w:color w:val="FF0000"/>
                <w:u w:val="single"/>
              </w:rPr>
            </w:pPr>
            <w:r>
              <w:rPr>
                <w:rFonts w:ascii="Times New Roman" w:hAnsi="Times New Roman"/>
                <w:color w:val="FF0000"/>
                <w:u w:val="single"/>
              </w:rPr>
              <w:t>10000</w:t>
            </w:r>
          </w:p>
        </w:tc>
        <w:tc>
          <w:tcPr>
            <w:tcW w:w="83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ascii="Times New Roman" w:hAnsi="Times New Roman"/>
                <w:color w:val="FF0000"/>
                <w:u w:val="single"/>
              </w:rPr>
            </w:pPr>
            <w:r>
              <w:rPr>
                <w:rFonts w:ascii="Times New Roman" w:hAnsi="Times New Roman"/>
                <w:color w:val="FF0000"/>
                <w:u w:val="single"/>
              </w:rPr>
              <w:t>0.4909</w:t>
            </w:r>
          </w:p>
        </w:tc>
        <w:tc>
          <w:tcPr>
            <w:tcW w:w="83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top"/>
              <w:rPr>
                <w:rFonts w:ascii="Times New Roman" w:hAnsi="Times New Roman"/>
                <w:color w:val="FF0000"/>
                <w:u w:val="single"/>
              </w:rPr>
            </w:pPr>
            <w:r>
              <w:rPr>
                <w:rFonts w:ascii="Times New Roman" w:hAnsi="Times New Roman"/>
                <w:color w:val="FF0000"/>
                <w:u w:val="single"/>
              </w:rPr>
              <w:t>2.8</w:t>
            </w:r>
          </w:p>
        </w:tc>
        <w:tc>
          <w:tcPr>
            <w:tcW w:w="834"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rFonts w:ascii="Times New Roman" w:hAnsi="Times New Roman"/>
                <w:color w:val="FF0000"/>
                <w:u w:val="single"/>
              </w:rPr>
            </w:pPr>
            <w:r>
              <w:rPr>
                <w:rFonts w:ascii="Times New Roman" w:hAnsi="Times New Roman"/>
                <w:color w:val="FF0000"/>
                <w:u w:val="single"/>
              </w:rPr>
              <w:t>453.59</w:t>
            </w:r>
          </w:p>
        </w:tc>
        <w:tc>
          <w:tcPr>
            <w:tcW w:w="834" w:type="pct"/>
            <w:tcBorders>
              <w:top w:val="single" w:color="auto" w:sz="4" w:space="0"/>
              <w:left w:val="single" w:color="auto" w:sz="4" w:space="0"/>
              <w:bottom w:val="single" w:color="auto" w:sz="4" w:space="0"/>
              <w:right w:val="single" w:color="auto" w:sz="4" w:space="0"/>
            </w:tcBorders>
            <w:vAlign w:val="center"/>
          </w:tcPr>
          <w:p>
            <w:pPr>
              <w:pStyle w:val="7"/>
              <w:adjustRightInd w:val="0"/>
              <w:snapToGrid w:val="0"/>
              <w:spacing w:after="0"/>
              <w:jc w:val="center"/>
              <w:rPr>
                <w:rFonts w:ascii="Times New Roman" w:hAnsi="Times New Roman"/>
                <w:color w:val="FF0000"/>
                <w:u w:val="single"/>
              </w:rPr>
            </w:pPr>
            <w:r>
              <w:rPr>
                <w:rFonts w:ascii="Times New Roman" w:hAnsi="Times New Roman"/>
                <w:color w:val="FF0000"/>
                <w:u w:val="single"/>
              </w:rPr>
              <w:t>5000</w:t>
            </w:r>
          </w:p>
        </w:tc>
        <w:tc>
          <w:tcPr>
            <w:tcW w:w="834" w:type="pct"/>
            <w:tcBorders>
              <w:top w:val="single" w:color="auto" w:sz="4" w:space="0"/>
              <w:left w:val="single" w:color="auto" w:sz="4" w:space="0"/>
              <w:bottom w:val="single" w:color="auto" w:sz="4" w:space="0"/>
              <w:right w:val="single" w:color="auto" w:sz="12" w:space="0"/>
            </w:tcBorders>
            <w:vAlign w:val="center"/>
          </w:tcPr>
          <w:p>
            <w:pPr>
              <w:pStyle w:val="7"/>
              <w:adjustRightInd w:val="0"/>
              <w:snapToGrid w:val="0"/>
              <w:spacing w:after="0"/>
              <w:jc w:val="center"/>
              <w:rPr>
                <w:rFonts w:ascii="Times New Roman" w:hAnsi="Times New Roman"/>
                <w:color w:val="FF0000"/>
                <w:u w:val="single"/>
              </w:rPr>
            </w:pPr>
            <w:r>
              <w:rPr>
                <w:rFonts w:ascii="Times New Roman" w:hAnsi="Times New Roman"/>
                <w:color w:val="FF0000"/>
                <w:u w:val="single"/>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2" w:type="pct"/>
            <w:tcBorders>
              <w:top w:val="single" w:color="auto" w:sz="4" w:space="0"/>
              <w:left w:val="single" w:color="auto" w:sz="12" w:space="0"/>
              <w:bottom w:val="single" w:color="auto" w:sz="12" w:space="0"/>
              <w:right w:val="single" w:color="auto" w:sz="4" w:space="0"/>
            </w:tcBorders>
            <w:vAlign w:val="center"/>
          </w:tcPr>
          <w:p>
            <w:pPr>
              <w:pStyle w:val="7"/>
              <w:adjustRightInd w:val="0"/>
              <w:snapToGrid w:val="0"/>
              <w:spacing w:after="0"/>
              <w:jc w:val="center"/>
              <w:rPr>
                <w:rFonts w:ascii="Times New Roman" w:hAnsi="Times New Roman"/>
                <w:color w:val="FF0000"/>
                <w:u w:val="single"/>
              </w:rPr>
            </w:pPr>
            <w:r>
              <w:rPr>
                <w:rFonts w:ascii="Times New Roman" w:hAnsi="Times New Roman"/>
                <w:color w:val="FF0000"/>
                <w:u w:val="single"/>
              </w:rPr>
              <w:t>合计</w:t>
            </w:r>
          </w:p>
        </w:tc>
        <w:tc>
          <w:tcPr>
            <w:tcW w:w="832" w:type="pct"/>
            <w:tcBorders>
              <w:top w:val="single" w:color="auto" w:sz="4" w:space="0"/>
              <w:left w:val="single" w:color="auto" w:sz="4" w:space="0"/>
              <w:bottom w:val="single" w:color="auto" w:sz="12" w:space="0"/>
              <w:right w:val="single" w:color="auto" w:sz="4" w:space="0"/>
            </w:tcBorders>
            <w:vAlign w:val="center"/>
          </w:tcPr>
          <w:p>
            <w:pPr>
              <w:widowControl/>
              <w:adjustRightInd w:val="0"/>
              <w:snapToGrid w:val="0"/>
              <w:jc w:val="center"/>
              <w:textAlignment w:val="center"/>
              <w:rPr>
                <w:rFonts w:ascii="Times New Roman" w:hAnsi="Times New Roman"/>
                <w:color w:val="FF0000"/>
                <w:u w:val="single"/>
              </w:rPr>
            </w:pPr>
            <w:r>
              <w:rPr>
                <w:rFonts w:ascii="Times New Roman" w:hAnsi="Times New Roman"/>
                <w:color w:val="FF0000"/>
                <w:u w:val="single"/>
              </w:rPr>
              <w:t>1.0909</w:t>
            </w:r>
          </w:p>
        </w:tc>
        <w:tc>
          <w:tcPr>
            <w:tcW w:w="834" w:type="pct"/>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olor w:val="FF0000"/>
                <w:u w:val="single"/>
              </w:rPr>
            </w:pPr>
          </w:p>
        </w:tc>
        <w:tc>
          <w:tcPr>
            <w:tcW w:w="834" w:type="pct"/>
            <w:tcBorders>
              <w:top w:val="single" w:color="auto" w:sz="4" w:space="0"/>
              <w:left w:val="single" w:color="auto" w:sz="4" w:space="0"/>
              <w:bottom w:val="single" w:color="auto" w:sz="12" w:space="0"/>
              <w:right w:val="single" w:color="auto" w:sz="4" w:space="0"/>
            </w:tcBorders>
            <w:vAlign w:val="center"/>
          </w:tcPr>
          <w:p>
            <w:pPr>
              <w:widowControl/>
              <w:adjustRightInd w:val="0"/>
              <w:snapToGrid w:val="0"/>
              <w:jc w:val="center"/>
              <w:textAlignment w:val="center"/>
              <w:rPr>
                <w:rFonts w:ascii="Times New Roman" w:hAnsi="Times New Roman"/>
                <w:color w:val="FF0000"/>
                <w:u w:val="single"/>
              </w:rPr>
            </w:pPr>
            <w:r>
              <w:rPr>
                <w:rFonts w:ascii="Times New Roman" w:hAnsi="Times New Roman"/>
                <w:color w:val="FF0000"/>
                <w:u w:val="single"/>
              </w:rPr>
              <w:t>718.38</w:t>
            </w:r>
          </w:p>
        </w:tc>
        <w:tc>
          <w:tcPr>
            <w:tcW w:w="834" w:type="pct"/>
            <w:tcBorders>
              <w:top w:val="single" w:color="auto" w:sz="4" w:space="0"/>
              <w:left w:val="single" w:color="auto" w:sz="4" w:space="0"/>
              <w:bottom w:val="single" w:color="auto" w:sz="12" w:space="0"/>
              <w:right w:val="single" w:color="auto" w:sz="4" w:space="0"/>
            </w:tcBorders>
            <w:vAlign w:val="center"/>
          </w:tcPr>
          <w:p>
            <w:pPr>
              <w:pStyle w:val="7"/>
              <w:adjustRightInd w:val="0"/>
              <w:snapToGrid w:val="0"/>
              <w:spacing w:after="0"/>
              <w:jc w:val="center"/>
              <w:rPr>
                <w:rFonts w:ascii="Times New Roman" w:hAnsi="Times New Roman"/>
                <w:color w:val="FF0000"/>
                <w:u w:val="single"/>
              </w:rPr>
            </w:pPr>
          </w:p>
        </w:tc>
        <w:tc>
          <w:tcPr>
            <w:tcW w:w="834" w:type="pct"/>
            <w:tcBorders>
              <w:top w:val="single" w:color="auto" w:sz="4" w:space="0"/>
              <w:left w:val="single" w:color="auto" w:sz="4" w:space="0"/>
              <w:bottom w:val="single" w:color="auto" w:sz="12" w:space="0"/>
              <w:right w:val="single" w:color="auto" w:sz="12" w:space="0"/>
            </w:tcBorders>
            <w:vAlign w:val="center"/>
          </w:tcPr>
          <w:p>
            <w:pPr>
              <w:pStyle w:val="7"/>
              <w:adjustRightInd w:val="0"/>
              <w:snapToGrid w:val="0"/>
              <w:spacing w:after="0"/>
              <w:jc w:val="center"/>
              <w:rPr>
                <w:rFonts w:ascii="Times New Roman" w:hAnsi="Times New Roman"/>
                <w:color w:val="FF0000"/>
                <w:u w:val="single"/>
              </w:rPr>
            </w:pPr>
          </w:p>
        </w:tc>
      </w:tr>
    </w:tbl>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hint="eastAsia" w:ascii="宋体" w:hAnsi="宋体" w:cs="宋体"/>
          <w:color w:val="000000"/>
          <w:sz w:val="24"/>
          <w:szCs w:val="24"/>
        </w:rPr>
        <w:t>⑵</w:t>
      </w:r>
      <w:r>
        <w:rPr>
          <w:rFonts w:ascii="Times New Roman" w:hAnsi="Times New Roman" w:eastAsiaTheme="minorEastAsia"/>
          <w:color w:val="000000"/>
          <w:sz w:val="24"/>
          <w:szCs w:val="24"/>
        </w:rPr>
        <w:t xml:space="preserve"> 船舶生活污水</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themeColor="text1"/>
          <w:sz w:val="24"/>
          <w:szCs w:val="24"/>
          <w14:textFill>
            <w14:solidFill>
              <w14:schemeClr w14:val="tx1"/>
            </w14:solidFill>
          </w14:textFill>
        </w:rPr>
        <w:t>到港船舶的船员以6人/艘估算，用水量按150L/人·d，按日平均到港1艘船计算，则船舶生活用水量为0.9m</w:t>
      </w:r>
      <w:r>
        <w:rPr>
          <w:rFonts w:ascii="Times New Roman" w:hAnsi="Times New Roman" w:eastAsiaTheme="minorEastAsia"/>
          <w:color w:val="000000" w:themeColor="text1"/>
          <w:sz w:val="24"/>
          <w:szCs w:val="24"/>
          <w:vertAlign w:val="super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/d，297m</w:t>
      </w:r>
      <w:r>
        <w:rPr>
          <w:rFonts w:ascii="Times New Roman" w:hAnsi="Times New Roman" w:eastAsiaTheme="minorEastAsia"/>
          <w:color w:val="000000" w:themeColor="text1"/>
          <w:sz w:val="24"/>
          <w:szCs w:val="24"/>
          <w:vertAlign w:val="super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/a。</w:t>
      </w:r>
      <w:r>
        <w:rPr>
          <w:rFonts w:ascii="Times New Roman" w:hAnsi="Times New Roman" w:eastAsiaTheme="minorEastAsia"/>
          <w:color w:val="000000"/>
          <w:sz w:val="24"/>
          <w:szCs w:val="24"/>
        </w:rPr>
        <w:t>生活污水排放量按用水量的80%计，则船舶生活污水的产生量为0.72m</w:t>
      </w:r>
      <w:r>
        <w:rPr>
          <w:rFonts w:ascii="Times New Roman" w:hAnsi="Times New Roman" w:eastAsiaTheme="minorEastAsia"/>
          <w:color w:val="000000"/>
          <w:sz w:val="24"/>
          <w:szCs w:val="24"/>
          <w:vertAlign w:val="superscript"/>
        </w:rPr>
        <w:t>3</w:t>
      </w:r>
      <w:r>
        <w:rPr>
          <w:rFonts w:ascii="Times New Roman" w:hAnsi="Times New Roman" w:eastAsiaTheme="minorEastAsia"/>
          <w:color w:val="000000"/>
          <w:sz w:val="24"/>
          <w:szCs w:val="24"/>
        </w:rPr>
        <w:t>/d，237.6m</w:t>
      </w:r>
      <w:r>
        <w:rPr>
          <w:rFonts w:ascii="Times New Roman" w:hAnsi="Times New Roman" w:eastAsiaTheme="minorEastAsia"/>
          <w:color w:val="000000"/>
          <w:sz w:val="24"/>
          <w:szCs w:val="24"/>
          <w:vertAlign w:val="superscript"/>
        </w:rPr>
        <w:t>3</w:t>
      </w:r>
      <w:r>
        <w:rPr>
          <w:rFonts w:ascii="Times New Roman" w:hAnsi="Times New Roman" w:eastAsiaTheme="minorEastAsia"/>
          <w:color w:val="000000"/>
          <w:sz w:val="24"/>
          <w:szCs w:val="24"/>
        </w:rPr>
        <w:t>/a。污水中COD、BOD</w:t>
      </w:r>
      <w:r>
        <w:rPr>
          <w:rFonts w:ascii="Times New Roman" w:hAnsi="Times New Roman" w:eastAsiaTheme="minorEastAsia"/>
          <w:color w:val="000000"/>
          <w:sz w:val="24"/>
          <w:szCs w:val="24"/>
          <w:vertAlign w:val="subscript"/>
        </w:rPr>
        <w:t>5</w:t>
      </w:r>
      <w:r>
        <w:rPr>
          <w:rFonts w:ascii="Times New Roman" w:hAnsi="Times New Roman" w:eastAsiaTheme="minorEastAsia"/>
          <w:color w:val="000000"/>
          <w:sz w:val="24"/>
          <w:szCs w:val="24"/>
        </w:rPr>
        <w:t>、SS、NH</w:t>
      </w:r>
      <w:r>
        <w:rPr>
          <w:rFonts w:ascii="Times New Roman" w:hAnsi="Times New Roman" w:eastAsiaTheme="minorEastAsia"/>
          <w:color w:val="000000"/>
          <w:sz w:val="24"/>
          <w:szCs w:val="24"/>
          <w:vertAlign w:val="subscript"/>
        </w:rPr>
        <w:t>3</w:t>
      </w:r>
      <w:r>
        <w:rPr>
          <w:rFonts w:ascii="Times New Roman" w:hAnsi="Times New Roman" w:eastAsiaTheme="minorEastAsia"/>
          <w:color w:val="000000"/>
          <w:sz w:val="24"/>
          <w:szCs w:val="24"/>
        </w:rPr>
        <w:t>-N浓度分别约为350mg/L、250mg/L、SS300mg/L、40mg/L。船舶生活污水污染源强见表3.</w:t>
      </w:r>
      <w:r>
        <w:rPr>
          <w:rFonts w:hint="eastAsia" w:ascii="Times New Roman" w:hAnsi="Times New Roman" w:eastAsiaTheme="minorEastAsia"/>
          <w:color w:val="000000"/>
          <w:sz w:val="24"/>
          <w:szCs w:val="24"/>
          <w:lang w:val="en-US" w:eastAsia="zh-CN"/>
        </w:rPr>
        <w:t>4</w:t>
      </w:r>
      <w:r>
        <w:rPr>
          <w:rFonts w:ascii="Times New Roman" w:hAnsi="Times New Roman" w:eastAsiaTheme="minorEastAsia"/>
          <w:color w:val="000000"/>
          <w:sz w:val="24"/>
          <w:szCs w:val="24"/>
        </w:rPr>
        <w:t>-10。</w:t>
      </w:r>
    </w:p>
    <w:p>
      <w:pPr>
        <w:tabs>
          <w:tab w:val="left" w:pos="900"/>
        </w:tabs>
        <w:adjustRightInd w:val="0"/>
        <w:snapToGrid w:val="0"/>
        <w:spacing w:line="276" w:lineRule="auto"/>
        <w:ind w:firstLine="482" w:firstLineChars="200"/>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w:t>
      </w:r>
      <w:r>
        <w:rPr>
          <w:rFonts w:ascii="Times New Roman" w:hAnsi="Times New Roman" w:eastAsiaTheme="minorEastAsia"/>
          <w:b/>
          <w:sz w:val="24"/>
          <w:szCs w:val="24"/>
          <w:lang w:val="zh-CN"/>
        </w:rPr>
        <w:t>3.</w:t>
      </w:r>
      <w:r>
        <w:rPr>
          <w:rFonts w:hint="eastAsia" w:ascii="Times New Roman" w:hAnsi="Times New Roman" w:eastAsiaTheme="minorEastAsia"/>
          <w:b/>
          <w:sz w:val="24"/>
          <w:szCs w:val="24"/>
          <w:lang w:val="en-US" w:eastAsia="zh-CN"/>
        </w:rPr>
        <w:t>4</w:t>
      </w:r>
      <w:r>
        <w:rPr>
          <w:rFonts w:ascii="Times New Roman" w:hAnsi="Times New Roman" w:eastAsiaTheme="minorEastAsia"/>
          <w:b/>
          <w:sz w:val="24"/>
          <w:szCs w:val="24"/>
          <w:lang w:val="zh-CN"/>
        </w:rPr>
        <w:t>-10</w:t>
      </w:r>
      <w:r>
        <w:rPr>
          <w:rFonts w:ascii="Times New Roman" w:hAnsi="Times New Roman" w:eastAsiaTheme="minorEastAsia"/>
          <w:b/>
          <w:color w:val="000000"/>
          <w:sz w:val="24"/>
          <w:szCs w:val="24"/>
        </w:rPr>
        <w:t xml:space="preserve">  船舶生活污水产生源强</w:t>
      </w:r>
    </w:p>
    <w:tbl>
      <w:tblPr>
        <w:tblStyle w:val="71"/>
        <w:tblW w:w="5000" w:type="pct"/>
        <w:jc w:val="center"/>
        <w:tblLayout w:type="autofit"/>
        <w:tblCellMar>
          <w:top w:w="0" w:type="dxa"/>
          <w:left w:w="0" w:type="dxa"/>
          <w:bottom w:w="0" w:type="dxa"/>
          <w:right w:w="0" w:type="dxa"/>
        </w:tblCellMar>
      </w:tblPr>
      <w:tblGrid>
        <w:gridCol w:w="901"/>
        <w:gridCol w:w="799"/>
        <w:gridCol w:w="670"/>
        <w:gridCol w:w="872"/>
        <w:gridCol w:w="686"/>
        <w:gridCol w:w="829"/>
        <w:gridCol w:w="685"/>
        <w:gridCol w:w="910"/>
        <w:gridCol w:w="701"/>
        <w:gridCol w:w="832"/>
        <w:gridCol w:w="1215"/>
      </w:tblGrid>
      <w:tr>
        <w:tblPrEx>
          <w:tblCellMar>
            <w:top w:w="0" w:type="dxa"/>
            <w:left w:w="0" w:type="dxa"/>
            <w:bottom w:w="0" w:type="dxa"/>
            <w:right w:w="0" w:type="dxa"/>
          </w:tblCellMar>
        </w:tblPrEx>
        <w:trPr>
          <w:trHeight w:val="340" w:hRule="atLeast"/>
          <w:jc w:val="center"/>
        </w:trPr>
        <w:tc>
          <w:tcPr>
            <w:tcW w:w="895" w:type="dxa"/>
            <w:vMerge w:val="restart"/>
            <w:tcBorders>
              <w:top w:val="single" w:color="auto" w:sz="12" w:space="0"/>
              <w:left w:val="single" w:color="auto" w:sz="12" w:space="0"/>
              <w:bottom w:val="single" w:color="000000"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项目</w:t>
            </w:r>
          </w:p>
        </w:tc>
        <w:tc>
          <w:tcPr>
            <w:tcW w:w="794" w:type="dxa"/>
            <w:vMerge w:val="restart"/>
            <w:tcBorders>
              <w:top w:val="single" w:color="auto" w:sz="12"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废水量t/a</w:t>
            </w:r>
          </w:p>
        </w:tc>
        <w:tc>
          <w:tcPr>
            <w:tcW w:w="1532" w:type="dxa"/>
            <w:gridSpan w:val="2"/>
            <w:tcBorders>
              <w:top w:val="single" w:color="auto" w:sz="12"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COD</w:t>
            </w:r>
          </w:p>
        </w:tc>
        <w:tc>
          <w:tcPr>
            <w:tcW w:w="1505" w:type="dxa"/>
            <w:gridSpan w:val="2"/>
            <w:tcBorders>
              <w:top w:val="single" w:color="auto" w:sz="12"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BOD</w:t>
            </w:r>
            <w:r>
              <w:rPr>
                <w:rFonts w:ascii="Times New Roman" w:hAnsi="Times New Roman" w:eastAsiaTheme="minorEastAsia"/>
                <w:b/>
                <w:color w:val="000000"/>
                <w:kern w:val="0"/>
                <w:vertAlign w:val="subscript"/>
              </w:rPr>
              <w:t>5</w:t>
            </w:r>
          </w:p>
        </w:tc>
        <w:tc>
          <w:tcPr>
            <w:tcW w:w="1584" w:type="dxa"/>
            <w:gridSpan w:val="2"/>
            <w:tcBorders>
              <w:top w:val="single" w:color="auto" w:sz="12"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SS</w:t>
            </w:r>
          </w:p>
        </w:tc>
        <w:tc>
          <w:tcPr>
            <w:tcW w:w="1523" w:type="dxa"/>
            <w:gridSpan w:val="2"/>
            <w:tcBorders>
              <w:top w:val="single" w:color="auto" w:sz="12"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氨氮</w:t>
            </w:r>
          </w:p>
        </w:tc>
        <w:tc>
          <w:tcPr>
            <w:tcW w:w="1207" w:type="dxa"/>
            <w:vMerge w:val="restart"/>
            <w:tcBorders>
              <w:top w:val="single" w:color="auto" w:sz="12" w:space="0"/>
              <w:left w:val="single" w:color="auto" w:sz="4" w:space="0"/>
              <w:bottom w:val="single" w:color="auto" w:sz="4" w:space="0"/>
              <w:right w:val="single" w:color="auto" w:sz="12"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处理方式</w:t>
            </w:r>
          </w:p>
        </w:tc>
      </w:tr>
      <w:tr>
        <w:tblPrEx>
          <w:tblCellMar>
            <w:top w:w="0" w:type="dxa"/>
            <w:left w:w="0" w:type="dxa"/>
            <w:bottom w:w="0" w:type="dxa"/>
            <w:right w:w="0" w:type="dxa"/>
          </w:tblCellMar>
        </w:tblPrEx>
        <w:trPr>
          <w:trHeight w:val="340" w:hRule="atLeast"/>
          <w:jc w:val="center"/>
        </w:trPr>
        <w:tc>
          <w:tcPr>
            <w:tcW w:w="895" w:type="dxa"/>
            <w:vMerge w:val="continue"/>
            <w:tcBorders>
              <w:top w:val="single" w:color="auto" w:sz="4" w:space="0"/>
              <w:left w:val="single" w:color="auto" w:sz="12" w:space="0"/>
              <w:bottom w:val="single" w:color="000000" w:sz="4" w:space="0"/>
              <w:right w:val="single" w:color="auto" w:sz="4" w:space="0"/>
            </w:tcBorders>
            <w:vAlign w:val="center"/>
          </w:tcPr>
          <w:p>
            <w:pPr>
              <w:widowControl/>
              <w:adjustRightInd w:val="0"/>
              <w:snapToGrid w:val="0"/>
              <w:jc w:val="left"/>
              <w:rPr>
                <w:rFonts w:ascii="Times New Roman" w:hAnsi="Times New Roman" w:eastAsiaTheme="minorEastAsia"/>
                <w:b/>
                <w:color w:val="000000"/>
                <w:kern w:val="0"/>
              </w:rPr>
            </w:pPr>
          </w:p>
        </w:tc>
        <w:tc>
          <w:tcPr>
            <w:tcW w:w="794"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Times New Roman" w:hAnsi="Times New Roman" w:eastAsiaTheme="minorEastAsia"/>
                <w:b/>
                <w:color w:val="000000"/>
                <w:kern w:val="0"/>
              </w:rPr>
            </w:pPr>
          </w:p>
        </w:tc>
        <w:tc>
          <w:tcPr>
            <w:tcW w:w="66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mg/L</w:t>
            </w:r>
          </w:p>
        </w:tc>
        <w:tc>
          <w:tcPr>
            <w:tcW w:w="86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t/a</w:t>
            </w:r>
          </w:p>
        </w:tc>
        <w:tc>
          <w:tcPr>
            <w:tcW w:w="681"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mg/L</w:t>
            </w:r>
          </w:p>
        </w:tc>
        <w:tc>
          <w:tcPr>
            <w:tcW w:w="82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t/a</w:t>
            </w:r>
          </w:p>
        </w:tc>
        <w:tc>
          <w:tcPr>
            <w:tcW w:w="680"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mg/L</w:t>
            </w:r>
          </w:p>
        </w:tc>
        <w:tc>
          <w:tcPr>
            <w:tcW w:w="90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t/a</w:t>
            </w:r>
          </w:p>
        </w:tc>
        <w:tc>
          <w:tcPr>
            <w:tcW w:w="696"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mg/L</w:t>
            </w:r>
          </w:p>
        </w:tc>
        <w:tc>
          <w:tcPr>
            <w:tcW w:w="82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t/a</w:t>
            </w:r>
          </w:p>
        </w:tc>
        <w:tc>
          <w:tcPr>
            <w:tcW w:w="1207" w:type="dxa"/>
            <w:vMerge w:val="continue"/>
            <w:tcBorders>
              <w:top w:val="single" w:color="auto" w:sz="4" w:space="0"/>
              <w:left w:val="single" w:color="auto" w:sz="4" w:space="0"/>
              <w:bottom w:val="single" w:color="auto" w:sz="4" w:space="0"/>
              <w:right w:val="single" w:color="auto" w:sz="12" w:space="0"/>
            </w:tcBorders>
            <w:vAlign w:val="center"/>
          </w:tcPr>
          <w:p>
            <w:pPr>
              <w:widowControl/>
              <w:adjustRightInd w:val="0"/>
              <w:snapToGrid w:val="0"/>
              <w:jc w:val="left"/>
              <w:rPr>
                <w:rFonts w:ascii="Times New Roman" w:hAnsi="Times New Roman" w:eastAsiaTheme="minorEastAsia"/>
                <w:b/>
                <w:color w:val="000000"/>
                <w:kern w:val="0"/>
              </w:rPr>
            </w:pPr>
          </w:p>
        </w:tc>
      </w:tr>
      <w:tr>
        <w:tblPrEx>
          <w:tblCellMar>
            <w:top w:w="0" w:type="dxa"/>
            <w:left w:w="0" w:type="dxa"/>
            <w:bottom w:w="0" w:type="dxa"/>
            <w:right w:w="0" w:type="dxa"/>
          </w:tblCellMar>
        </w:tblPrEx>
        <w:trPr>
          <w:trHeight w:val="340" w:hRule="atLeast"/>
          <w:jc w:val="center"/>
        </w:trPr>
        <w:tc>
          <w:tcPr>
            <w:tcW w:w="895" w:type="dxa"/>
            <w:tcBorders>
              <w:top w:val="nil"/>
              <w:left w:val="single" w:color="auto" w:sz="12" w:space="0"/>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船舶生活污水</w:t>
            </w:r>
          </w:p>
        </w:tc>
        <w:tc>
          <w:tcPr>
            <w:tcW w:w="794" w:type="dxa"/>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237.6</w:t>
            </w:r>
          </w:p>
        </w:tc>
        <w:tc>
          <w:tcPr>
            <w:tcW w:w="666" w:type="dxa"/>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350</w:t>
            </w:r>
          </w:p>
        </w:tc>
        <w:tc>
          <w:tcPr>
            <w:tcW w:w="866" w:type="dxa"/>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0.083</w:t>
            </w:r>
          </w:p>
        </w:tc>
        <w:tc>
          <w:tcPr>
            <w:tcW w:w="681" w:type="dxa"/>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250</w:t>
            </w:r>
          </w:p>
        </w:tc>
        <w:tc>
          <w:tcPr>
            <w:tcW w:w="824" w:type="dxa"/>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0.059</w:t>
            </w:r>
          </w:p>
        </w:tc>
        <w:tc>
          <w:tcPr>
            <w:tcW w:w="680" w:type="dxa"/>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300</w:t>
            </w:r>
          </w:p>
        </w:tc>
        <w:tc>
          <w:tcPr>
            <w:tcW w:w="904" w:type="dxa"/>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0.071</w:t>
            </w:r>
          </w:p>
        </w:tc>
        <w:tc>
          <w:tcPr>
            <w:tcW w:w="696" w:type="dxa"/>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40</w:t>
            </w:r>
          </w:p>
        </w:tc>
        <w:tc>
          <w:tcPr>
            <w:tcW w:w="827" w:type="dxa"/>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0.009</w:t>
            </w:r>
          </w:p>
        </w:tc>
        <w:tc>
          <w:tcPr>
            <w:tcW w:w="1207" w:type="dxa"/>
            <w:tcBorders>
              <w:top w:val="nil"/>
              <w:left w:val="nil"/>
              <w:bottom w:val="single" w:color="auto" w:sz="12" w:space="0"/>
              <w:right w:val="single" w:color="auto" w:sz="12" w:space="0"/>
            </w:tcBorders>
            <w:shd w:val="clear" w:color="auto" w:fill="auto"/>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海事部门环保船舶带走</w:t>
            </w:r>
          </w:p>
        </w:tc>
      </w:tr>
    </w:tbl>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根据《1973 年国际防止船舶造成污染公约及其1978议定》（交通部令2005年第11号）、《中华人民共和国防治船舶污染内河水域环境管理规定》（2006年1月1日），船舶生活污水不得在码头水域随意排放，船舶生活污水应在指定有处理能力的码头排放。</w:t>
      </w:r>
    </w:p>
    <w:p>
      <w:pPr>
        <w:tabs>
          <w:tab w:val="left" w:pos="900"/>
        </w:tabs>
        <w:adjustRightInd w:val="0"/>
        <w:snapToGrid w:val="0"/>
        <w:spacing w:line="360" w:lineRule="auto"/>
        <w:ind w:firstLine="482" w:firstLineChars="200"/>
        <w:rPr>
          <w:rFonts w:ascii="Times New Roman" w:hAnsi="Times New Roman" w:eastAsiaTheme="minorEastAsia"/>
          <w:b/>
          <w:color w:val="FF0000"/>
          <w:sz w:val="24"/>
          <w:szCs w:val="24"/>
          <w:u w:val="single"/>
        </w:rPr>
      </w:pPr>
      <w:r>
        <w:rPr>
          <w:rFonts w:ascii="Times New Roman" w:hAnsi="Times New Roman" w:eastAsiaTheme="minorEastAsia"/>
          <w:b/>
          <w:color w:val="FF0000"/>
          <w:sz w:val="24"/>
          <w:szCs w:val="24"/>
          <w:u w:val="single"/>
        </w:rPr>
        <w:t>2、趸船冲洗废水</w:t>
      </w:r>
    </w:p>
    <w:p>
      <w:pPr>
        <w:tabs>
          <w:tab w:val="left" w:pos="900"/>
        </w:tabs>
        <w:adjustRightInd w:val="0"/>
        <w:snapToGrid w:val="0"/>
        <w:spacing w:line="360" w:lineRule="auto"/>
        <w:ind w:firstLine="480" w:firstLineChars="200"/>
        <w:rPr>
          <w:rFonts w:ascii="Times New Roman" w:hAnsi="Times New Roman" w:eastAsiaTheme="minorEastAsia"/>
          <w:color w:val="FF0000"/>
          <w:sz w:val="24"/>
          <w:szCs w:val="24"/>
          <w:u w:val="single"/>
        </w:rPr>
      </w:pPr>
      <w:bookmarkStart w:id="42" w:name="_Toc370110274"/>
      <w:r>
        <w:rPr>
          <w:rFonts w:ascii="Times New Roman" w:hAnsi="Times New Roman" w:eastAsiaTheme="minorEastAsia"/>
          <w:color w:val="FF0000"/>
          <w:sz w:val="24"/>
          <w:szCs w:val="24"/>
          <w:u w:val="single"/>
        </w:rPr>
        <w:t>本项目营运期生产废水主要为码头趸船冲煤废水。根据分析，在本项目建成后，码头与煤炭电厂之间煤炭的运输将采用带式输送带（运输皮带为完全封闭设置）进行；相对现有的汽车运输而言，带式输送带的运输方式煤炭的洒落量将大大降低，相应的陆域平台地面的干净程度将大大改善，从而导致码头陆域平台冲洗的冲洗频率也将降低。</w:t>
      </w:r>
    </w:p>
    <w:p>
      <w:pPr>
        <w:tabs>
          <w:tab w:val="left" w:pos="900"/>
        </w:tabs>
        <w:adjustRightInd w:val="0"/>
        <w:snapToGrid w:val="0"/>
        <w:spacing w:line="360" w:lineRule="auto"/>
        <w:ind w:firstLine="480" w:firstLineChars="200"/>
        <w:rPr>
          <w:rFonts w:ascii="Times New Roman" w:hAnsi="Times New Roman"/>
          <w:color w:val="FF0000"/>
          <w:u w:val="single"/>
        </w:rPr>
      </w:pPr>
      <w:r>
        <w:rPr>
          <w:rFonts w:ascii="Times New Roman" w:hAnsi="Times New Roman" w:eastAsiaTheme="minorEastAsia"/>
          <w:color w:val="FF0000"/>
          <w:sz w:val="24"/>
          <w:szCs w:val="24"/>
          <w:u w:val="single"/>
        </w:rPr>
        <w:t>根据建设方提供的相关资料，本项目建成后码头陆域平台的冲洗频率将由目前的每天冲洗2次，</w:t>
      </w:r>
      <w:r>
        <w:rPr>
          <w:rFonts w:ascii="Times New Roman" w:hAnsi="Times New Roman"/>
          <w:color w:val="FF0000"/>
          <w:sz w:val="24"/>
          <w:szCs w:val="24"/>
          <w:u w:val="single"/>
        </w:rPr>
        <w:t>冲洗水量按2L/m</w:t>
      </w:r>
      <w:r>
        <w:rPr>
          <w:rFonts w:ascii="Times New Roman" w:hAnsi="Times New Roman"/>
          <w:color w:val="FF0000"/>
          <w:sz w:val="24"/>
          <w:szCs w:val="24"/>
          <w:u w:val="single"/>
          <w:vertAlign w:val="superscript"/>
        </w:rPr>
        <w:t>2</w:t>
      </w:r>
      <w:r>
        <w:rPr>
          <w:rFonts w:ascii="Times New Roman" w:hAnsi="Times New Roman"/>
          <w:color w:val="FF0000"/>
          <w:sz w:val="24"/>
          <w:szCs w:val="24"/>
          <w:u w:val="single"/>
        </w:rPr>
        <w:t>计算，码头面积1600m</w:t>
      </w:r>
      <w:r>
        <w:rPr>
          <w:rFonts w:ascii="Times New Roman" w:hAnsi="Times New Roman"/>
          <w:color w:val="FF0000"/>
          <w:sz w:val="24"/>
          <w:szCs w:val="24"/>
          <w:u w:val="single"/>
          <w:vertAlign w:val="superscript"/>
        </w:rPr>
        <w:t>2</w:t>
      </w:r>
      <w:r>
        <w:rPr>
          <w:rFonts w:ascii="Times New Roman" w:hAnsi="Times New Roman"/>
          <w:color w:val="FF0000"/>
          <w:u w:val="single"/>
        </w:rPr>
        <w:t>，</w:t>
      </w:r>
      <w:r>
        <w:rPr>
          <w:rFonts w:ascii="Times New Roman" w:hAnsi="Times New Roman"/>
          <w:color w:val="FF0000"/>
          <w:sz w:val="24"/>
          <w:szCs w:val="24"/>
          <w:u w:val="single"/>
        </w:rPr>
        <w:t>则每日用水量6.4m</w:t>
      </w:r>
      <w:r>
        <w:rPr>
          <w:rFonts w:ascii="Times New Roman" w:hAnsi="Times New Roman"/>
          <w:color w:val="FF0000"/>
          <w:sz w:val="24"/>
          <w:szCs w:val="24"/>
          <w:u w:val="single"/>
          <w:vertAlign w:val="superscript"/>
        </w:rPr>
        <w:t>3</w:t>
      </w:r>
      <w:r>
        <w:rPr>
          <w:rFonts w:ascii="Times New Roman" w:hAnsi="Times New Roman"/>
          <w:color w:val="FF0000"/>
          <w:sz w:val="24"/>
          <w:szCs w:val="24"/>
          <w:u w:val="single"/>
        </w:rPr>
        <w:t>/d，考虑蒸发等损耗，实际产生冲洗废水5.76m</w:t>
      </w:r>
      <w:r>
        <w:rPr>
          <w:rFonts w:ascii="Times New Roman" w:hAnsi="Times New Roman"/>
          <w:color w:val="FF0000"/>
          <w:sz w:val="24"/>
          <w:szCs w:val="24"/>
          <w:u w:val="single"/>
          <w:vertAlign w:val="superscript"/>
        </w:rPr>
        <w:t>3</w:t>
      </w:r>
      <w:r>
        <w:rPr>
          <w:rFonts w:ascii="Times New Roman" w:hAnsi="Times New Roman"/>
          <w:color w:val="FF0000"/>
          <w:sz w:val="24"/>
          <w:szCs w:val="24"/>
          <w:u w:val="single"/>
        </w:rPr>
        <w:t>/d。主要污染物为SS，浓度为1000mg/L，SS产生量为5.76kg/d，即1.9t/a。</w:t>
      </w:r>
    </w:p>
    <w:p>
      <w:pPr>
        <w:tabs>
          <w:tab w:val="left" w:pos="900"/>
        </w:tabs>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由于工程在现场不设煤堆场，码头冲洗废水中悬浮物的浓度不会很高；冲洗废水经码头设置的收集坎，收集后进入趸船内设煤水收集池，经沉淀处理后泵送上岸进入后方码头院内的散货污水处理站处理达到《污水综合排放标准》（GB8978-1996）一级标准后，再通过管道泵送至电厂厂区用作绿化用水。</w:t>
      </w: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3、微雾抑尘用水</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在码头装卸平台、转运站T1~T4位置设置雾炮机、水雾喷嘴，每小时用水量月10m</w:t>
      </w:r>
      <w:r>
        <w:rPr>
          <w:rFonts w:ascii="Times New Roman" w:hAnsi="Times New Roman" w:eastAsiaTheme="minorEastAsia"/>
          <w:color w:val="000000"/>
          <w:sz w:val="24"/>
          <w:szCs w:val="24"/>
          <w:vertAlign w:val="superscript"/>
        </w:rPr>
        <w:t>3</w:t>
      </w:r>
      <w:r>
        <w:rPr>
          <w:rFonts w:ascii="Times New Roman" w:hAnsi="Times New Roman" w:eastAsiaTheme="minorEastAsia"/>
          <w:color w:val="000000"/>
          <w:sz w:val="24"/>
          <w:szCs w:val="24"/>
        </w:rPr>
        <w:t>，按19.5小时计算，每天用水约195m</w:t>
      </w:r>
      <w:r>
        <w:rPr>
          <w:rFonts w:ascii="Times New Roman" w:hAnsi="Times New Roman" w:eastAsiaTheme="minorEastAsia"/>
          <w:color w:val="000000"/>
          <w:sz w:val="24"/>
          <w:szCs w:val="24"/>
          <w:vertAlign w:val="superscript"/>
        </w:rPr>
        <w:t>3</w:t>
      </w:r>
      <w:r>
        <w:rPr>
          <w:rFonts w:ascii="Times New Roman" w:hAnsi="Times New Roman" w:eastAsiaTheme="minorEastAsia"/>
          <w:color w:val="000000"/>
          <w:sz w:val="24"/>
          <w:szCs w:val="24"/>
        </w:rPr>
        <w:t>。粉尘与水雾一起沉降，无废水产生。</w:t>
      </w:r>
    </w:p>
    <w:bookmarkEnd w:id="42"/>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4、初期雨水</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初期雨水量按下式计算：</w:t>
      </w:r>
    </w:p>
    <w:p>
      <w:pPr>
        <w:tabs>
          <w:tab w:val="left" w:pos="900"/>
        </w:tabs>
        <w:adjustRightInd w:val="0"/>
        <w:snapToGrid w:val="0"/>
        <w:spacing w:line="360" w:lineRule="auto"/>
        <w:ind w:firstLine="480" w:firstLineChars="200"/>
        <w:jc w:val="center"/>
        <w:rPr>
          <w:rFonts w:ascii="Times New Roman" w:hAnsi="Times New Roman" w:eastAsiaTheme="minorEastAsia"/>
          <w:color w:val="000000"/>
          <w:sz w:val="24"/>
          <w:szCs w:val="24"/>
        </w:rPr>
      </w:pPr>
      <w:r>
        <w:rPr>
          <w:rFonts w:ascii="Times New Roman" w:hAnsi="Times New Roman" w:eastAsiaTheme="minorEastAsia"/>
          <w:i/>
          <w:color w:val="000000"/>
          <w:sz w:val="24"/>
          <w:szCs w:val="24"/>
        </w:rPr>
        <w:t>Q</w:t>
      </w:r>
      <w:r>
        <w:rPr>
          <w:rFonts w:ascii="Times New Roman" w:hAnsi="Times New Roman" w:eastAsiaTheme="minorEastAsia"/>
          <w:color w:val="000000"/>
          <w:sz w:val="24"/>
          <w:szCs w:val="24"/>
        </w:rPr>
        <w:t>=</w:t>
      </w:r>
      <w:r>
        <w:rPr>
          <w:rFonts w:ascii="Times New Roman" w:hAnsi="Times New Roman" w:eastAsiaTheme="minorEastAsia"/>
          <w:i/>
          <w:color w:val="000000" w:themeColor="text1"/>
          <w:kern w:val="0"/>
          <w:sz w:val="24"/>
          <w14:textFill>
            <w14:solidFill>
              <w14:schemeClr w14:val="tx1"/>
            </w14:solidFill>
          </w14:textFill>
        </w:rPr>
        <w:t>Ψ</w:t>
      </w:r>
      <w:r>
        <w:rPr>
          <w:rFonts w:ascii="Times New Roman" w:hAnsi="Times New Roman" w:eastAsiaTheme="minorEastAsia"/>
          <w:color w:val="000000" w:themeColor="text1"/>
          <w:kern w:val="0"/>
          <w:sz w:val="24"/>
          <w14:textFill>
            <w14:solidFill>
              <w14:schemeClr w14:val="tx1"/>
            </w14:solidFill>
          </w14:textFill>
        </w:rPr>
        <w:t>·</w:t>
      </w:r>
      <w:r>
        <w:rPr>
          <w:rFonts w:ascii="Times New Roman" w:hAnsi="Times New Roman" w:eastAsiaTheme="minorEastAsia"/>
          <w:i/>
          <w:color w:val="000000"/>
          <w:sz w:val="24"/>
          <w:szCs w:val="24"/>
        </w:rPr>
        <w:t>q</w:t>
      </w:r>
      <w:r>
        <w:rPr>
          <w:rFonts w:ascii="Times New Roman" w:hAnsi="Times New Roman" w:eastAsiaTheme="minorEastAsia"/>
          <w:color w:val="000000" w:themeColor="text1"/>
          <w:kern w:val="0"/>
          <w:sz w:val="24"/>
          <w14:textFill>
            <w14:solidFill>
              <w14:schemeClr w14:val="tx1"/>
            </w14:solidFill>
          </w14:textFill>
        </w:rPr>
        <w:t>·</w:t>
      </w:r>
      <w:r>
        <w:rPr>
          <w:rFonts w:ascii="Times New Roman" w:hAnsi="Times New Roman" w:eastAsiaTheme="minorEastAsia"/>
          <w:i/>
          <w:color w:val="000000"/>
          <w:sz w:val="24"/>
          <w:szCs w:val="24"/>
        </w:rPr>
        <w:t>F</w:t>
      </w:r>
    </w:p>
    <w:p>
      <w:pPr>
        <w:widowControl/>
        <w:spacing w:line="360" w:lineRule="auto"/>
        <w:ind w:firstLine="480" w:firstLineChars="200"/>
        <w:rPr>
          <w:rFonts w:ascii="Times New Roman" w:hAnsi="Times New Roman" w:eastAsiaTheme="minorEastAsia"/>
          <w:color w:val="000000" w:themeColor="text1"/>
          <w:kern w:val="0"/>
          <w:sz w:val="24"/>
          <w14:textFill>
            <w14:solidFill>
              <w14:schemeClr w14:val="tx1"/>
            </w14:solidFill>
          </w14:textFill>
        </w:rPr>
      </w:pPr>
      <w:r>
        <w:rPr>
          <w:rFonts w:ascii="Times New Roman" w:hAnsi="Times New Roman" w:eastAsiaTheme="minorEastAsia"/>
          <w:color w:val="000000" w:themeColor="text1"/>
          <w:kern w:val="0"/>
          <w:sz w:val="24"/>
          <w14:textFill>
            <w14:solidFill>
              <w14:schemeClr w14:val="tx1"/>
            </w14:solidFill>
          </w14:textFill>
        </w:rPr>
        <w:t>式中：Qs——设计流量（L/s）；</w:t>
      </w:r>
    </w:p>
    <w:p>
      <w:pPr>
        <w:widowControl/>
        <w:spacing w:line="360" w:lineRule="auto"/>
        <w:ind w:firstLine="1200" w:firstLineChars="500"/>
        <w:rPr>
          <w:rFonts w:ascii="Times New Roman" w:hAnsi="Times New Roman" w:eastAsiaTheme="minorEastAsia"/>
          <w:color w:val="000000" w:themeColor="text1"/>
          <w:kern w:val="0"/>
          <w:sz w:val="24"/>
          <w14:textFill>
            <w14:solidFill>
              <w14:schemeClr w14:val="tx1"/>
            </w14:solidFill>
          </w14:textFill>
        </w:rPr>
      </w:pPr>
      <w:r>
        <w:rPr>
          <w:rFonts w:ascii="Times New Roman" w:hAnsi="Times New Roman" w:eastAsiaTheme="minorEastAsia"/>
          <w:color w:val="000000" w:themeColor="text1"/>
          <w:kern w:val="0"/>
          <w:sz w:val="24"/>
          <w14:textFill>
            <w14:solidFill>
              <w14:schemeClr w14:val="tx1"/>
            </w14:solidFill>
          </w14:textFill>
        </w:rPr>
        <w:t>Ψ——径流系数，取0.15；</w:t>
      </w:r>
    </w:p>
    <w:p>
      <w:pPr>
        <w:widowControl/>
        <w:spacing w:line="360" w:lineRule="auto"/>
        <w:ind w:firstLine="1200" w:firstLineChars="500"/>
        <w:rPr>
          <w:rFonts w:ascii="Times New Roman" w:hAnsi="Times New Roman" w:eastAsiaTheme="minorEastAsia"/>
          <w:color w:val="000000" w:themeColor="text1"/>
          <w:kern w:val="0"/>
          <w:sz w:val="24"/>
          <w14:textFill>
            <w14:solidFill>
              <w14:schemeClr w14:val="tx1"/>
            </w14:solidFill>
          </w14:textFill>
        </w:rPr>
      </w:pPr>
      <w:r>
        <w:rPr>
          <w:rFonts w:ascii="Times New Roman" w:hAnsi="Times New Roman" w:eastAsiaTheme="minorEastAsia"/>
          <w:color w:val="000000" w:themeColor="text1"/>
          <w:kern w:val="0"/>
          <w:sz w:val="24"/>
          <w14:textFill>
            <w14:solidFill>
              <w14:schemeClr w14:val="tx1"/>
            </w14:solidFill>
          </w14:textFill>
        </w:rPr>
        <w:t>q——设计暴雨强度[L/(s·hm</w:t>
      </w:r>
      <w:r>
        <w:rPr>
          <w:rFonts w:ascii="Times New Roman" w:hAnsi="Times New Roman" w:eastAsiaTheme="minorEastAsia"/>
          <w:color w:val="000000" w:themeColor="text1"/>
          <w:kern w:val="0"/>
          <w:sz w:val="24"/>
          <w:vertAlign w:val="superscript"/>
          <w14:textFill>
            <w14:solidFill>
              <w14:schemeClr w14:val="tx1"/>
            </w14:solidFill>
          </w14:textFill>
        </w:rPr>
        <w:t>2</w:t>
      </w:r>
      <w:r>
        <w:rPr>
          <w:rFonts w:ascii="Times New Roman" w:hAnsi="Times New Roman" w:eastAsiaTheme="minorEastAsia"/>
          <w:color w:val="000000" w:themeColor="text1"/>
          <w:kern w:val="0"/>
          <w:sz w:val="24"/>
          <w14:textFill>
            <w14:solidFill>
              <w14:schemeClr w14:val="tx1"/>
            </w14:solidFill>
          </w14:textFill>
        </w:rPr>
        <w:t>)]；</w:t>
      </w:r>
    </w:p>
    <w:p>
      <w:pPr>
        <w:widowControl/>
        <w:spacing w:line="360" w:lineRule="auto"/>
        <w:ind w:firstLine="1200" w:firstLineChars="500"/>
        <w:rPr>
          <w:rFonts w:ascii="Times New Roman" w:hAnsi="Times New Roman" w:eastAsiaTheme="minorEastAsia"/>
          <w:color w:val="000000" w:themeColor="text1"/>
          <w:kern w:val="0"/>
          <w:sz w:val="24"/>
          <w14:textFill>
            <w14:solidFill>
              <w14:schemeClr w14:val="tx1"/>
            </w14:solidFill>
          </w14:textFill>
        </w:rPr>
      </w:pPr>
      <w:r>
        <w:rPr>
          <w:rFonts w:ascii="Times New Roman" w:hAnsi="Times New Roman" w:eastAsiaTheme="minorEastAsia"/>
          <w:color w:val="000000" w:themeColor="text1"/>
          <w:kern w:val="0"/>
          <w:sz w:val="24"/>
          <w14:textFill>
            <w14:solidFill>
              <w14:schemeClr w14:val="tx1"/>
            </w14:solidFill>
          </w14:textFill>
        </w:rPr>
        <w:t>F——汇流面积（hm</w:t>
      </w:r>
      <w:r>
        <w:rPr>
          <w:rFonts w:ascii="Times New Roman" w:hAnsi="Times New Roman" w:eastAsiaTheme="minorEastAsia"/>
          <w:color w:val="000000" w:themeColor="text1"/>
          <w:kern w:val="0"/>
          <w:sz w:val="24"/>
          <w:vertAlign w:val="superscript"/>
          <w14:textFill>
            <w14:solidFill>
              <w14:schemeClr w14:val="tx1"/>
            </w14:solidFill>
          </w14:textFill>
        </w:rPr>
        <w:t>2</w:t>
      </w:r>
      <w:r>
        <w:rPr>
          <w:rFonts w:ascii="Times New Roman" w:hAnsi="Times New Roman" w:eastAsiaTheme="minorEastAsia"/>
          <w:color w:val="000000" w:themeColor="text1"/>
          <w:kern w:val="0"/>
          <w:sz w:val="24"/>
          <w14:textFill>
            <w14:solidFill>
              <w14:schemeClr w14:val="tx1"/>
            </w14:solidFill>
          </w14:textFill>
        </w:rPr>
        <w:t>）。</w:t>
      </w:r>
    </w:p>
    <w:p>
      <w:pPr>
        <w:spacing w:line="360" w:lineRule="auto"/>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t>岳阳当地暴雨强度公式为：</w:t>
      </w:r>
    </w:p>
    <w:p>
      <w:pPr>
        <w:spacing w:line="360" w:lineRule="auto"/>
        <w:jc w:val="center"/>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position w:val="-24"/>
          <w:sz w:val="24"/>
          <w14:textFill>
            <w14:solidFill>
              <w14:schemeClr w14:val="tx1"/>
            </w14:solidFill>
          </w14:textFill>
        </w:rPr>
        <w:object>
          <v:shape id="_x0000_i1025" o:spt="75" type="#_x0000_t75" style="height:28.65pt;width:130.35pt;" o:ole="t" filled="f" o:preferrelative="t" stroked="f" coordsize="21600,21600">
            <v:path/>
            <v:fill on="f" focussize="0,0"/>
            <v:stroke on="f" joinstyle="miter"/>
            <v:imagedata r:id="rId39" o:title=""/>
            <o:lock v:ext="edit" aspectratio="t"/>
            <w10:wrap type="none"/>
            <w10:anchorlock/>
          </v:shape>
          <o:OLEObject Type="Embed" ProgID="Equation.3" ShapeID="_x0000_i1025" DrawAspect="Content" ObjectID="_1468075725" r:id="rId38">
            <o:LockedField>false</o:LockedField>
          </o:OLEObject>
        </w:object>
      </w:r>
    </w:p>
    <w:p>
      <w:pPr>
        <w:spacing w:line="360" w:lineRule="auto"/>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t>式中：q</w:t>
      </w:r>
      <w:r>
        <w:rPr>
          <w:rFonts w:ascii="Times New Roman" w:hAnsi="Times New Roman" w:eastAsiaTheme="minorEastAsia"/>
          <w:color w:val="000000" w:themeColor="text1"/>
          <w:kern w:val="0"/>
          <w:sz w:val="24"/>
          <w14:textFill>
            <w14:solidFill>
              <w14:schemeClr w14:val="tx1"/>
            </w14:solidFill>
          </w14:textFill>
        </w:rPr>
        <w:t>——</w:t>
      </w:r>
      <w:r>
        <w:rPr>
          <w:rFonts w:ascii="Times New Roman" w:hAnsi="Times New Roman" w:eastAsiaTheme="minorEastAsia"/>
          <w:color w:val="000000" w:themeColor="text1"/>
          <w:sz w:val="24"/>
          <w14:textFill>
            <w14:solidFill>
              <w14:schemeClr w14:val="tx1"/>
            </w14:solidFill>
          </w14:textFill>
        </w:rPr>
        <w:t>暴雨强度（L/s·ha）；</w:t>
      </w:r>
    </w:p>
    <w:p>
      <w:pPr>
        <w:spacing w:line="360" w:lineRule="auto"/>
        <w:ind w:firstLine="1200" w:firstLineChars="5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t>P</w:t>
      </w:r>
      <w:r>
        <w:rPr>
          <w:rFonts w:ascii="Times New Roman" w:hAnsi="Times New Roman" w:eastAsiaTheme="minorEastAsia"/>
          <w:color w:val="000000" w:themeColor="text1"/>
          <w:kern w:val="0"/>
          <w:sz w:val="24"/>
          <w14:textFill>
            <w14:solidFill>
              <w14:schemeClr w14:val="tx1"/>
            </w14:solidFill>
          </w14:textFill>
        </w:rPr>
        <w:t>——</w:t>
      </w:r>
      <w:r>
        <w:rPr>
          <w:rFonts w:ascii="Times New Roman" w:hAnsi="Times New Roman" w:eastAsiaTheme="minorEastAsia"/>
          <w:color w:val="000000" w:themeColor="text1"/>
          <w:sz w:val="24"/>
          <w14:textFill>
            <w14:solidFill>
              <w14:schemeClr w14:val="tx1"/>
            </w14:solidFill>
          </w14:textFill>
        </w:rPr>
        <w:t>重现期（a，本次取值20a）；</w:t>
      </w:r>
    </w:p>
    <w:p>
      <w:pPr>
        <w:spacing w:line="360" w:lineRule="auto"/>
        <w:ind w:firstLine="1200" w:firstLineChars="5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t>t</w:t>
      </w:r>
      <w:r>
        <w:rPr>
          <w:rFonts w:ascii="Times New Roman" w:hAnsi="Times New Roman" w:eastAsiaTheme="minorEastAsia"/>
          <w:color w:val="000000" w:themeColor="text1"/>
          <w:kern w:val="0"/>
          <w:sz w:val="24"/>
          <w14:textFill>
            <w14:solidFill>
              <w14:schemeClr w14:val="tx1"/>
            </w14:solidFill>
          </w14:textFill>
        </w:rPr>
        <w:t>——</w:t>
      </w:r>
      <w:r>
        <w:rPr>
          <w:rFonts w:ascii="Times New Roman" w:hAnsi="Times New Roman" w:eastAsiaTheme="minorEastAsia"/>
          <w:color w:val="000000" w:themeColor="text1"/>
          <w:sz w:val="24"/>
          <w14:textFill>
            <w14:solidFill>
              <w14:schemeClr w14:val="tx1"/>
            </w14:solidFill>
          </w14:textFill>
        </w:rPr>
        <w:t>降雨历时（min，本次取60min）；</w:t>
      </w:r>
    </w:p>
    <w:p>
      <w:pPr>
        <w:spacing w:line="360" w:lineRule="auto"/>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t>经计算，暴雨强度为208L/s</w:t>
      </w:r>
      <w:r>
        <w:rPr>
          <w:rFonts w:hint="default" w:ascii="Times New Roman" w:hAnsi="Times New Roman" w:cs="Times New Roman" w:eastAsiaTheme="minorEastAsia"/>
          <w:color w:val="000000"/>
          <w:sz w:val="24"/>
          <w:szCs w:val="24"/>
          <w:lang w:val="en-US" w:eastAsia="zh-CN"/>
        </w:rPr>
        <w:t>·</w:t>
      </w:r>
      <w:r>
        <w:rPr>
          <w:rFonts w:ascii="Times New Roman" w:hAnsi="Times New Roman" w:eastAsiaTheme="minorEastAsia"/>
          <w:color w:val="000000" w:themeColor="text1"/>
          <w:sz w:val="24"/>
          <w14:textFill>
            <w14:solidFill>
              <w14:schemeClr w14:val="tx1"/>
            </w14:solidFill>
          </w14:textFill>
        </w:rPr>
        <w:t>hm</w:t>
      </w:r>
      <w:r>
        <w:rPr>
          <w:rFonts w:ascii="Times New Roman" w:hAnsi="Times New Roman" w:eastAsiaTheme="minorEastAsia"/>
          <w:color w:val="000000" w:themeColor="text1"/>
          <w:sz w:val="24"/>
          <w:vertAlign w:val="superscript"/>
          <w14:textFill>
            <w14:solidFill>
              <w14:schemeClr w14:val="tx1"/>
            </w14:solidFill>
          </w14:textFill>
        </w:rPr>
        <w:t>2</w:t>
      </w:r>
      <w:r>
        <w:rPr>
          <w:rFonts w:ascii="Times New Roman" w:hAnsi="Times New Roman" w:eastAsiaTheme="minorEastAsia"/>
          <w:color w:val="000000" w:themeColor="text1"/>
          <w:sz w:val="24"/>
          <w14:textFill>
            <w14:solidFill>
              <w14:schemeClr w14:val="tx1"/>
            </w14:solidFill>
          </w14:textFill>
        </w:rPr>
        <w:t>，汇流面积为0.16hm</w:t>
      </w:r>
      <w:r>
        <w:rPr>
          <w:rFonts w:ascii="Times New Roman" w:hAnsi="Times New Roman" w:eastAsiaTheme="minorEastAsia"/>
          <w:color w:val="000000" w:themeColor="text1"/>
          <w:sz w:val="24"/>
          <w:vertAlign w:val="superscript"/>
          <w14:textFill>
            <w14:solidFill>
              <w14:schemeClr w14:val="tx1"/>
            </w14:solidFill>
          </w14:textFill>
        </w:rPr>
        <w:t>2</w:t>
      </w:r>
      <w:r>
        <w:rPr>
          <w:rFonts w:ascii="Times New Roman" w:hAnsi="Times New Roman" w:eastAsiaTheme="minorEastAsia"/>
          <w:color w:val="000000" w:themeColor="text1"/>
          <w:sz w:val="24"/>
          <w14:textFill>
            <w14:solidFill>
              <w14:schemeClr w14:val="tx1"/>
            </w14:solidFill>
          </w14:textFill>
        </w:rPr>
        <w:t>，计算初期雨水量Q=4.992L/s，初期雨水产生量为17.9712m</w:t>
      </w:r>
      <w:r>
        <w:rPr>
          <w:rFonts w:ascii="Times New Roman" w:hAnsi="Times New Roman" w:eastAsiaTheme="minorEastAsia"/>
          <w:color w:val="000000" w:themeColor="text1"/>
          <w:sz w:val="24"/>
          <w:vertAlign w:val="superscript"/>
          <w14:textFill>
            <w14:solidFill>
              <w14:schemeClr w14:val="tx1"/>
            </w14:solidFill>
          </w14:textFill>
        </w:rPr>
        <w:t>3</w:t>
      </w:r>
      <w:r>
        <w:rPr>
          <w:rFonts w:ascii="Times New Roman" w:hAnsi="Times New Roman" w:eastAsiaTheme="minorEastAsia"/>
          <w:color w:val="000000" w:themeColor="text1"/>
          <w:sz w:val="24"/>
          <w14:textFill>
            <w14:solidFill>
              <w14:schemeClr w14:val="tx1"/>
            </w14:solidFill>
          </w14:textFill>
        </w:rPr>
        <w:t>/次，初期雨水收集池有效容积为25m</w:t>
      </w:r>
      <w:r>
        <w:rPr>
          <w:rFonts w:ascii="Times New Roman" w:hAnsi="Times New Roman" w:eastAsiaTheme="minorEastAsia"/>
          <w:color w:val="000000" w:themeColor="text1"/>
          <w:sz w:val="24"/>
          <w:vertAlign w:val="superscript"/>
          <w14:textFill>
            <w14:solidFill>
              <w14:schemeClr w14:val="tx1"/>
            </w14:solidFill>
          </w14:textFill>
        </w:rPr>
        <w:t>3</w:t>
      </w:r>
      <w:r>
        <w:rPr>
          <w:rFonts w:ascii="Times New Roman" w:hAnsi="Times New Roman" w:eastAsiaTheme="minorEastAsia"/>
          <w:color w:val="000000" w:themeColor="text1"/>
          <w:sz w:val="24"/>
          <w14:textFill>
            <w14:solidFill>
              <w14:schemeClr w14:val="tx1"/>
            </w14:solidFill>
          </w14:textFill>
        </w:rPr>
        <w:t>。年暴雨次数按20次计，则项目运行期初期雨水总量为359.424m</w:t>
      </w:r>
      <w:r>
        <w:rPr>
          <w:rFonts w:ascii="Times New Roman" w:hAnsi="Times New Roman" w:eastAsiaTheme="minorEastAsia"/>
          <w:color w:val="000000" w:themeColor="text1"/>
          <w:sz w:val="24"/>
          <w:vertAlign w:val="superscript"/>
          <w14:textFill>
            <w14:solidFill>
              <w14:schemeClr w14:val="tx1"/>
            </w14:solidFill>
          </w14:textFill>
        </w:rPr>
        <w:t>3</w:t>
      </w:r>
      <w:r>
        <w:rPr>
          <w:rFonts w:ascii="Times New Roman" w:hAnsi="Times New Roman" w:eastAsiaTheme="minorEastAsia"/>
          <w:color w:val="000000" w:themeColor="text1"/>
          <w:sz w:val="24"/>
          <w14:textFill>
            <w14:solidFill>
              <w14:schemeClr w14:val="tx1"/>
            </w14:solidFill>
          </w14:textFill>
        </w:rPr>
        <w:t>/a。初期雨水主要污染物因子为SS，SS浓度约为100mg/L。</w:t>
      </w:r>
    </w:p>
    <w:p>
      <w:pPr>
        <w:spacing w:line="360" w:lineRule="auto"/>
        <w:ind w:firstLine="480" w:firstLineChars="200"/>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t>趸船装卸区四周设收集坎，趸船内设污水箱，初期雨水经收集后，与冲煤废水一同</w:t>
      </w:r>
      <w:r>
        <w:rPr>
          <w:rFonts w:ascii="Times New Roman" w:hAnsi="Times New Roman" w:eastAsiaTheme="minorEastAsia"/>
          <w:color w:val="000000"/>
          <w:sz w:val="24"/>
          <w:szCs w:val="24"/>
        </w:rPr>
        <w:t>泵送上岸进入后方码头院内的散货污水处理站处理达到《污水综合排放标准》（GB8978-1996）一级标准后，再通过管道泵送至电厂厂区用作绿化用水。</w:t>
      </w:r>
    </w:p>
    <w:p>
      <w:pPr>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4、员工生活污水</w:t>
      </w:r>
    </w:p>
    <w:p>
      <w:pPr>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劳动定员25人，生活用水量取50L/d</w:t>
      </w:r>
      <w:r>
        <w:rPr>
          <w:rFonts w:hint="default" w:ascii="Times New Roman" w:hAnsi="Times New Roman" w:cs="Times New Roman" w:eastAsiaTheme="minorEastAsia"/>
          <w:color w:val="000000"/>
          <w:sz w:val="24"/>
          <w:szCs w:val="24"/>
          <w:lang w:val="en-US" w:eastAsia="zh-CN"/>
        </w:rPr>
        <w:t>·</w:t>
      </w:r>
      <w:r>
        <w:rPr>
          <w:rFonts w:ascii="Times New Roman" w:hAnsi="Times New Roman" w:eastAsiaTheme="minorEastAsia"/>
          <w:color w:val="000000"/>
          <w:sz w:val="24"/>
          <w:szCs w:val="24"/>
        </w:rPr>
        <w:t>人，生活用水量为412.5m</w:t>
      </w:r>
      <w:r>
        <w:rPr>
          <w:rFonts w:ascii="Times New Roman" w:hAnsi="Times New Roman" w:eastAsiaTheme="minorEastAsia"/>
          <w:color w:val="000000"/>
          <w:sz w:val="24"/>
          <w:szCs w:val="24"/>
          <w:vertAlign w:val="superscript"/>
        </w:rPr>
        <w:t>3</w:t>
      </w:r>
      <w:r>
        <w:rPr>
          <w:rFonts w:ascii="Times New Roman" w:hAnsi="Times New Roman" w:eastAsiaTheme="minorEastAsia"/>
          <w:color w:val="000000"/>
          <w:sz w:val="24"/>
          <w:szCs w:val="24"/>
        </w:rPr>
        <w:t>/a，排污系数取0.8，生活污水排放量为330m</w:t>
      </w:r>
      <w:r>
        <w:rPr>
          <w:rFonts w:ascii="Times New Roman" w:hAnsi="Times New Roman" w:eastAsiaTheme="minorEastAsia"/>
          <w:color w:val="000000"/>
          <w:sz w:val="24"/>
          <w:szCs w:val="24"/>
          <w:vertAlign w:val="superscript"/>
        </w:rPr>
        <w:t>3</w:t>
      </w:r>
      <w:r>
        <w:rPr>
          <w:rFonts w:ascii="Times New Roman" w:hAnsi="Times New Roman" w:eastAsiaTheme="minorEastAsia"/>
          <w:color w:val="000000"/>
          <w:sz w:val="24"/>
          <w:szCs w:val="24"/>
        </w:rPr>
        <w:t>/a，码头设置简易环保型厕所，污水泵送至后方码头院内生活污水处理站处理达到《污水综合排放标准》（GB8978-1996）一级标准后，再通过管道泵送至电厂厂区用作绿化用水。</w:t>
      </w:r>
    </w:p>
    <w:p>
      <w:pPr>
        <w:spacing w:line="360" w:lineRule="auto"/>
        <w:ind w:firstLine="482" w:firstLineChars="200"/>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w:t>
      </w:r>
      <w:r>
        <w:rPr>
          <w:rFonts w:ascii="Times New Roman" w:hAnsi="Times New Roman" w:eastAsiaTheme="minorEastAsia"/>
          <w:b/>
          <w:sz w:val="24"/>
          <w:szCs w:val="24"/>
          <w:lang w:val="zh-CN"/>
        </w:rPr>
        <w:t>3.</w:t>
      </w:r>
      <w:r>
        <w:rPr>
          <w:rFonts w:hint="eastAsia" w:ascii="Times New Roman" w:hAnsi="Times New Roman" w:eastAsiaTheme="minorEastAsia"/>
          <w:b/>
          <w:sz w:val="24"/>
          <w:szCs w:val="24"/>
          <w:lang w:val="en-US" w:eastAsia="zh-CN"/>
        </w:rPr>
        <w:t>4</w:t>
      </w:r>
      <w:r>
        <w:rPr>
          <w:rFonts w:ascii="Times New Roman" w:hAnsi="Times New Roman" w:eastAsiaTheme="minorEastAsia"/>
          <w:b/>
          <w:sz w:val="24"/>
          <w:szCs w:val="24"/>
          <w:lang w:val="zh-CN"/>
        </w:rPr>
        <w:t>-11</w:t>
      </w:r>
      <w:r>
        <w:rPr>
          <w:rFonts w:ascii="Times New Roman" w:hAnsi="Times New Roman" w:eastAsiaTheme="minorEastAsia"/>
          <w:b/>
          <w:color w:val="000000"/>
          <w:sz w:val="24"/>
          <w:szCs w:val="24"/>
        </w:rPr>
        <w:t xml:space="preserve">  港区生活废水产生源强</w:t>
      </w:r>
    </w:p>
    <w:tbl>
      <w:tblPr>
        <w:tblStyle w:val="71"/>
        <w:tblW w:w="5000" w:type="pct"/>
        <w:jc w:val="center"/>
        <w:tblLayout w:type="autofit"/>
        <w:tblCellMar>
          <w:top w:w="0" w:type="dxa"/>
          <w:left w:w="0" w:type="dxa"/>
          <w:bottom w:w="0" w:type="dxa"/>
          <w:right w:w="0" w:type="dxa"/>
        </w:tblCellMar>
      </w:tblPr>
      <w:tblGrid>
        <w:gridCol w:w="1183"/>
        <w:gridCol w:w="987"/>
        <w:gridCol w:w="769"/>
        <w:gridCol w:w="1099"/>
        <w:gridCol w:w="830"/>
        <w:gridCol w:w="1009"/>
        <w:gridCol w:w="690"/>
        <w:gridCol w:w="921"/>
        <w:gridCol w:w="690"/>
        <w:gridCol w:w="922"/>
      </w:tblGrid>
      <w:tr>
        <w:tblPrEx>
          <w:tblCellMar>
            <w:top w:w="0" w:type="dxa"/>
            <w:left w:w="0" w:type="dxa"/>
            <w:bottom w:w="0" w:type="dxa"/>
            <w:right w:w="0" w:type="dxa"/>
          </w:tblCellMar>
        </w:tblPrEx>
        <w:trPr>
          <w:trHeight w:val="340" w:hRule="atLeast"/>
          <w:jc w:val="center"/>
        </w:trPr>
        <w:tc>
          <w:tcPr>
            <w:tcW w:w="1207" w:type="dxa"/>
            <w:vMerge w:val="restart"/>
            <w:tcBorders>
              <w:top w:val="single" w:color="auto" w:sz="12" w:space="0"/>
              <w:left w:val="single" w:color="auto" w:sz="12" w:space="0"/>
              <w:bottom w:val="single" w:color="000000"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项目</w:t>
            </w:r>
          </w:p>
        </w:tc>
        <w:tc>
          <w:tcPr>
            <w:tcW w:w="1007" w:type="dxa"/>
            <w:vMerge w:val="restart"/>
            <w:tcBorders>
              <w:top w:val="single" w:color="auto" w:sz="12"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废水量t/a</w:t>
            </w:r>
          </w:p>
        </w:tc>
        <w:tc>
          <w:tcPr>
            <w:tcW w:w="1907" w:type="dxa"/>
            <w:gridSpan w:val="2"/>
            <w:tcBorders>
              <w:top w:val="single" w:color="auto" w:sz="12"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COD</w:t>
            </w:r>
          </w:p>
        </w:tc>
        <w:tc>
          <w:tcPr>
            <w:tcW w:w="1877" w:type="dxa"/>
            <w:gridSpan w:val="2"/>
            <w:tcBorders>
              <w:top w:val="single" w:color="auto" w:sz="12"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BOD</w:t>
            </w:r>
            <w:r>
              <w:rPr>
                <w:rFonts w:ascii="Times New Roman" w:hAnsi="Times New Roman" w:eastAsiaTheme="minorEastAsia"/>
                <w:b/>
                <w:color w:val="000000"/>
                <w:kern w:val="0"/>
                <w:sz w:val="22"/>
                <w:szCs w:val="22"/>
                <w:vertAlign w:val="subscript"/>
              </w:rPr>
              <w:t>5</w:t>
            </w:r>
          </w:p>
        </w:tc>
        <w:tc>
          <w:tcPr>
            <w:tcW w:w="1644" w:type="dxa"/>
            <w:gridSpan w:val="2"/>
            <w:tcBorders>
              <w:top w:val="single" w:color="auto" w:sz="12" w:space="0"/>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SS</w:t>
            </w:r>
          </w:p>
        </w:tc>
        <w:tc>
          <w:tcPr>
            <w:tcW w:w="1644" w:type="dxa"/>
            <w:gridSpan w:val="2"/>
            <w:tcBorders>
              <w:top w:val="single" w:color="auto" w:sz="12" w:space="0"/>
              <w:left w:val="nil"/>
              <w:bottom w:val="single" w:color="auto" w:sz="4" w:space="0"/>
              <w:right w:val="single" w:color="auto" w:sz="12"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氨氮</w:t>
            </w:r>
          </w:p>
        </w:tc>
      </w:tr>
      <w:tr>
        <w:tblPrEx>
          <w:tblCellMar>
            <w:top w:w="0" w:type="dxa"/>
            <w:left w:w="0" w:type="dxa"/>
            <w:bottom w:w="0" w:type="dxa"/>
            <w:right w:w="0" w:type="dxa"/>
          </w:tblCellMar>
        </w:tblPrEx>
        <w:trPr>
          <w:trHeight w:val="340" w:hRule="atLeast"/>
          <w:jc w:val="center"/>
        </w:trPr>
        <w:tc>
          <w:tcPr>
            <w:tcW w:w="1207" w:type="dxa"/>
            <w:vMerge w:val="continue"/>
            <w:tcBorders>
              <w:top w:val="single" w:color="auto" w:sz="4" w:space="0"/>
              <w:left w:val="single" w:color="auto" w:sz="12" w:space="0"/>
              <w:bottom w:val="single" w:color="000000" w:sz="4" w:space="0"/>
              <w:right w:val="single" w:color="auto" w:sz="4" w:space="0"/>
            </w:tcBorders>
            <w:vAlign w:val="center"/>
          </w:tcPr>
          <w:p>
            <w:pPr>
              <w:widowControl/>
              <w:adjustRightInd w:val="0"/>
              <w:snapToGrid w:val="0"/>
              <w:jc w:val="left"/>
              <w:rPr>
                <w:rFonts w:ascii="Times New Roman" w:hAnsi="Times New Roman" w:eastAsiaTheme="minorEastAsia"/>
                <w:b/>
                <w:color w:val="000000"/>
                <w:kern w:val="0"/>
                <w:sz w:val="22"/>
                <w:szCs w:val="22"/>
              </w:rPr>
            </w:pPr>
          </w:p>
        </w:tc>
        <w:tc>
          <w:tcPr>
            <w:tcW w:w="100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Times New Roman" w:hAnsi="Times New Roman" w:eastAsiaTheme="minorEastAsia"/>
                <w:b/>
                <w:color w:val="000000"/>
                <w:kern w:val="0"/>
                <w:sz w:val="22"/>
                <w:szCs w:val="22"/>
              </w:rPr>
            </w:pPr>
          </w:p>
        </w:tc>
        <w:tc>
          <w:tcPr>
            <w:tcW w:w="785"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mg/L</w:t>
            </w:r>
          </w:p>
        </w:tc>
        <w:tc>
          <w:tcPr>
            <w:tcW w:w="1122"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t/a</w:t>
            </w:r>
          </w:p>
        </w:tc>
        <w:tc>
          <w:tcPr>
            <w:tcW w:w="847"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mg/L</w:t>
            </w:r>
          </w:p>
        </w:tc>
        <w:tc>
          <w:tcPr>
            <w:tcW w:w="1030"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t/a</w:t>
            </w:r>
          </w:p>
        </w:tc>
        <w:tc>
          <w:tcPr>
            <w:tcW w:w="70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mg/L</w:t>
            </w:r>
          </w:p>
        </w:tc>
        <w:tc>
          <w:tcPr>
            <w:tcW w:w="940"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t/a</w:t>
            </w:r>
          </w:p>
        </w:tc>
        <w:tc>
          <w:tcPr>
            <w:tcW w:w="704"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mg/L</w:t>
            </w:r>
          </w:p>
        </w:tc>
        <w:tc>
          <w:tcPr>
            <w:tcW w:w="940" w:type="dxa"/>
            <w:tcBorders>
              <w:top w:val="nil"/>
              <w:left w:val="nil"/>
              <w:bottom w:val="single" w:color="auto" w:sz="4" w:space="0"/>
              <w:right w:val="single" w:color="auto" w:sz="12" w:space="0"/>
            </w:tcBorders>
            <w:shd w:val="clear" w:color="auto" w:fill="auto"/>
            <w:noWrap/>
            <w:vAlign w:val="center"/>
          </w:tcPr>
          <w:p>
            <w:pPr>
              <w:widowControl/>
              <w:adjustRightInd w:val="0"/>
              <w:snapToGrid w:val="0"/>
              <w:jc w:val="center"/>
              <w:rPr>
                <w:rFonts w:ascii="Times New Roman" w:hAnsi="Times New Roman" w:eastAsiaTheme="minorEastAsia"/>
                <w:b/>
                <w:color w:val="000000"/>
                <w:kern w:val="0"/>
                <w:sz w:val="22"/>
                <w:szCs w:val="22"/>
              </w:rPr>
            </w:pPr>
            <w:r>
              <w:rPr>
                <w:rFonts w:ascii="Times New Roman" w:hAnsi="Times New Roman" w:eastAsiaTheme="minorEastAsia"/>
                <w:b/>
                <w:color w:val="000000"/>
                <w:kern w:val="0"/>
                <w:sz w:val="22"/>
                <w:szCs w:val="22"/>
              </w:rPr>
              <w:t>t/a</w:t>
            </w:r>
          </w:p>
        </w:tc>
      </w:tr>
      <w:tr>
        <w:tblPrEx>
          <w:tblCellMar>
            <w:top w:w="0" w:type="dxa"/>
            <w:left w:w="0" w:type="dxa"/>
            <w:bottom w:w="0" w:type="dxa"/>
            <w:right w:w="0" w:type="dxa"/>
          </w:tblCellMar>
        </w:tblPrEx>
        <w:trPr>
          <w:trHeight w:val="340" w:hRule="atLeast"/>
          <w:jc w:val="center"/>
        </w:trPr>
        <w:tc>
          <w:tcPr>
            <w:tcW w:w="1207" w:type="dxa"/>
            <w:tcBorders>
              <w:top w:val="nil"/>
              <w:left w:val="single" w:color="auto" w:sz="12" w:space="0"/>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生活污水</w:t>
            </w:r>
          </w:p>
        </w:tc>
        <w:tc>
          <w:tcPr>
            <w:tcW w:w="1007" w:type="dxa"/>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330</w:t>
            </w:r>
          </w:p>
        </w:tc>
        <w:tc>
          <w:tcPr>
            <w:tcW w:w="785" w:type="dxa"/>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350</w:t>
            </w:r>
          </w:p>
        </w:tc>
        <w:tc>
          <w:tcPr>
            <w:tcW w:w="1122" w:type="dxa"/>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0.116</w:t>
            </w:r>
          </w:p>
        </w:tc>
        <w:tc>
          <w:tcPr>
            <w:tcW w:w="847" w:type="dxa"/>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250</w:t>
            </w:r>
          </w:p>
        </w:tc>
        <w:tc>
          <w:tcPr>
            <w:tcW w:w="1030" w:type="dxa"/>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0.083</w:t>
            </w:r>
          </w:p>
        </w:tc>
        <w:tc>
          <w:tcPr>
            <w:tcW w:w="704" w:type="dxa"/>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300</w:t>
            </w:r>
          </w:p>
        </w:tc>
        <w:tc>
          <w:tcPr>
            <w:tcW w:w="940" w:type="dxa"/>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0.099</w:t>
            </w:r>
          </w:p>
        </w:tc>
        <w:tc>
          <w:tcPr>
            <w:tcW w:w="704" w:type="dxa"/>
            <w:tcBorders>
              <w:top w:val="nil"/>
              <w:left w:val="nil"/>
              <w:bottom w:val="single" w:color="auto" w:sz="12" w:space="0"/>
              <w:right w:val="single" w:color="auto" w:sz="4"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40</w:t>
            </w:r>
          </w:p>
        </w:tc>
        <w:tc>
          <w:tcPr>
            <w:tcW w:w="940" w:type="dxa"/>
            <w:tcBorders>
              <w:top w:val="nil"/>
              <w:left w:val="nil"/>
              <w:bottom w:val="single" w:color="auto" w:sz="12" w:space="0"/>
              <w:right w:val="single" w:color="auto" w:sz="12" w:space="0"/>
            </w:tcBorders>
            <w:shd w:val="clear" w:color="auto" w:fill="auto"/>
            <w:noWrap/>
            <w:vAlign w:val="center"/>
          </w:tcPr>
          <w:p>
            <w:pPr>
              <w:widowControl/>
              <w:adjustRightInd w:val="0"/>
              <w:snapToGrid w:val="0"/>
              <w:jc w:val="center"/>
              <w:rPr>
                <w:rFonts w:ascii="Times New Roman" w:hAnsi="Times New Roman" w:eastAsiaTheme="minorEastAsia"/>
                <w:color w:val="000000"/>
                <w:kern w:val="0"/>
                <w:sz w:val="22"/>
                <w:szCs w:val="22"/>
              </w:rPr>
            </w:pPr>
            <w:r>
              <w:rPr>
                <w:rFonts w:ascii="Times New Roman" w:hAnsi="Times New Roman" w:eastAsiaTheme="minorEastAsia"/>
                <w:color w:val="000000"/>
                <w:kern w:val="0"/>
                <w:sz w:val="22"/>
                <w:szCs w:val="22"/>
              </w:rPr>
              <w:t>0.013</w:t>
            </w:r>
          </w:p>
        </w:tc>
      </w:tr>
    </w:tbl>
    <w:p>
      <w:pPr>
        <w:adjustRightInd w:val="0"/>
        <w:snapToGrid w:val="0"/>
        <w:spacing w:line="360" w:lineRule="auto"/>
        <w:ind w:firstLine="480" w:firstLineChars="200"/>
        <w:rPr>
          <w:rFonts w:ascii="Times New Roman" w:hAnsi="Times New Roman" w:eastAsiaTheme="minorEastAsia"/>
          <w:color w:val="000000"/>
          <w:sz w:val="24"/>
          <w:szCs w:val="24"/>
        </w:rPr>
      </w:pPr>
    </w:p>
    <w:p>
      <w:pPr>
        <w:adjustRightInd w:val="0"/>
        <w:snapToGrid w:val="0"/>
        <w:spacing w:line="360" w:lineRule="auto"/>
        <w:ind w:firstLine="480" w:firstLineChars="200"/>
        <w:rPr>
          <w:rFonts w:ascii="Times New Roman" w:hAnsi="Times New Roman" w:eastAsiaTheme="minorEastAsia"/>
          <w:color w:val="000000"/>
          <w:sz w:val="24"/>
          <w:szCs w:val="24"/>
        </w:rPr>
      </w:pPr>
      <w:r>
        <w:rPr>
          <w:rFonts w:hint="eastAsia" w:ascii="Times New Roman" w:hAnsi="Times New Roman" w:eastAsiaTheme="minorEastAsia"/>
          <w:color w:val="000000"/>
          <w:sz w:val="24"/>
          <w:szCs w:val="24"/>
          <w:lang w:eastAsia="zh-CN"/>
        </w:rPr>
        <w:t>本</w:t>
      </w:r>
      <w:r>
        <w:rPr>
          <w:rFonts w:ascii="Times New Roman" w:hAnsi="Times New Roman" w:eastAsiaTheme="minorEastAsia"/>
          <w:color w:val="000000"/>
          <w:sz w:val="24"/>
          <w:szCs w:val="24"/>
        </w:rPr>
        <w:t>项目用水平衡表见表3.</w:t>
      </w:r>
      <w:r>
        <w:rPr>
          <w:rFonts w:hint="eastAsia" w:ascii="Times New Roman" w:hAnsi="Times New Roman" w:eastAsiaTheme="minorEastAsia"/>
          <w:color w:val="000000"/>
          <w:sz w:val="24"/>
          <w:szCs w:val="24"/>
          <w:lang w:val="en-US" w:eastAsia="zh-CN"/>
        </w:rPr>
        <w:t>4</w:t>
      </w:r>
      <w:r>
        <w:rPr>
          <w:rFonts w:ascii="Times New Roman" w:hAnsi="Times New Roman" w:eastAsiaTheme="minorEastAsia"/>
          <w:color w:val="000000"/>
          <w:sz w:val="24"/>
          <w:szCs w:val="24"/>
        </w:rPr>
        <w:t>-12，用水平衡图见图3.</w:t>
      </w:r>
      <w:r>
        <w:rPr>
          <w:rFonts w:hint="eastAsia" w:ascii="Times New Roman" w:hAnsi="Times New Roman" w:eastAsiaTheme="minorEastAsia"/>
          <w:color w:val="000000"/>
          <w:sz w:val="24"/>
          <w:szCs w:val="24"/>
          <w:lang w:val="en-US" w:eastAsia="zh-CN"/>
        </w:rPr>
        <w:t>4</w:t>
      </w:r>
      <w:r>
        <w:rPr>
          <w:rFonts w:ascii="Times New Roman" w:hAnsi="Times New Roman" w:eastAsiaTheme="minorEastAsia"/>
          <w:color w:val="000000"/>
          <w:sz w:val="24"/>
          <w:szCs w:val="24"/>
        </w:rPr>
        <w:t>-3。</w:t>
      </w:r>
    </w:p>
    <w:p>
      <w:pPr>
        <w:wordWrap w:val="0"/>
        <w:spacing w:line="276" w:lineRule="auto"/>
        <w:ind w:firstLine="482" w:firstLineChars="200"/>
        <w:jc w:val="right"/>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w:t>
      </w:r>
      <w:r>
        <w:rPr>
          <w:rFonts w:ascii="Times New Roman" w:hAnsi="Times New Roman" w:eastAsiaTheme="minorEastAsia"/>
          <w:b/>
          <w:sz w:val="24"/>
          <w:szCs w:val="24"/>
          <w:lang w:val="zh-CN"/>
        </w:rPr>
        <w:t>3.</w:t>
      </w:r>
      <w:r>
        <w:rPr>
          <w:rFonts w:hint="eastAsia" w:ascii="Times New Roman" w:hAnsi="Times New Roman" w:eastAsiaTheme="minorEastAsia"/>
          <w:b/>
          <w:sz w:val="24"/>
          <w:szCs w:val="24"/>
          <w:lang w:val="en-US" w:eastAsia="zh-CN"/>
        </w:rPr>
        <w:t>4</w:t>
      </w:r>
      <w:r>
        <w:rPr>
          <w:rFonts w:ascii="Times New Roman" w:hAnsi="Times New Roman" w:eastAsiaTheme="minorEastAsia"/>
          <w:b/>
          <w:sz w:val="24"/>
          <w:szCs w:val="24"/>
          <w:lang w:val="zh-CN"/>
        </w:rPr>
        <w:t xml:space="preserve">-12 </w:t>
      </w:r>
      <w:r>
        <w:rPr>
          <w:rFonts w:ascii="Times New Roman" w:hAnsi="Times New Roman" w:eastAsiaTheme="minorEastAsia"/>
          <w:b/>
          <w:color w:val="000000"/>
          <w:sz w:val="24"/>
          <w:szCs w:val="24"/>
        </w:rPr>
        <w:t xml:space="preserve"> 本项目工程水平衡表              </w:t>
      </w:r>
      <w:r>
        <w:rPr>
          <w:rFonts w:ascii="Times New Roman" w:hAnsi="Times New Roman" w:eastAsiaTheme="minorEastAsia"/>
          <w:color w:val="000000"/>
          <w:sz w:val="24"/>
          <w:szCs w:val="24"/>
        </w:rPr>
        <w:t>单位：m</w:t>
      </w:r>
      <w:r>
        <w:rPr>
          <w:rFonts w:ascii="Times New Roman" w:hAnsi="Times New Roman" w:eastAsiaTheme="minorEastAsia"/>
          <w:color w:val="000000"/>
          <w:sz w:val="24"/>
          <w:szCs w:val="24"/>
          <w:vertAlign w:val="superscript"/>
        </w:rPr>
        <w:t>3</w:t>
      </w:r>
      <w:r>
        <w:rPr>
          <w:rFonts w:ascii="Times New Roman" w:hAnsi="Times New Roman" w:eastAsiaTheme="minorEastAsia"/>
          <w:color w:val="000000"/>
          <w:sz w:val="24"/>
          <w:szCs w:val="24"/>
        </w:rPr>
        <w:t>/a</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728"/>
        <w:gridCol w:w="1141"/>
        <w:gridCol w:w="1167"/>
        <w:gridCol w:w="922"/>
        <w:gridCol w:w="926"/>
        <w:gridCol w:w="1033"/>
        <w:gridCol w:w="21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978" w:type="pct"/>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分类</w:t>
            </w:r>
          </w:p>
        </w:tc>
        <w:tc>
          <w:tcPr>
            <w:tcW w:w="614" w:type="pct"/>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总用水量</w:t>
            </w:r>
          </w:p>
        </w:tc>
        <w:tc>
          <w:tcPr>
            <w:tcW w:w="628" w:type="pct"/>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新鲜给水</w:t>
            </w:r>
          </w:p>
        </w:tc>
        <w:tc>
          <w:tcPr>
            <w:tcW w:w="496" w:type="pct"/>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损耗</w:t>
            </w:r>
          </w:p>
        </w:tc>
        <w:tc>
          <w:tcPr>
            <w:tcW w:w="498" w:type="pct"/>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回水量</w:t>
            </w:r>
          </w:p>
        </w:tc>
        <w:tc>
          <w:tcPr>
            <w:tcW w:w="555" w:type="pct"/>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排水</w:t>
            </w:r>
          </w:p>
        </w:tc>
        <w:tc>
          <w:tcPr>
            <w:tcW w:w="1227" w:type="pct"/>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78" w:type="pct"/>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船舶舱底油污水</w:t>
            </w:r>
          </w:p>
        </w:tc>
        <w:tc>
          <w:tcPr>
            <w:tcW w:w="614" w:type="pct"/>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ascii="Times New Roman" w:hAnsi="Times New Roman" w:eastAsiaTheme="minorEastAsia"/>
                <w:color w:val="000000"/>
                <w:kern w:val="0"/>
                <w:sz w:val="21"/>
                <w:szCs w:val="21"/>
              </w:rPr>
              <w:t>/</w:t>
            </w:r>
          </w:p>
        </w:tc>
        <w:tc>
          <w:tcPr>
            <w:tcW w:w="628" w:type="pct"/>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ascii="Times New Roman" w:hAnsi="Times New Roman" w:eastAsiaTheme="minorEastAsia"/>
                <w:color w:val="000000"/>
                <w:kern w:val="0"/>
                <w:sz w:val="21"/>
                <w:szCs w:val="21"/>
              </w:rPr>
              <w:t>/</w:t>
            </w:r>
          </w:p>
        </w:tc>
        <w:tc>
          <w:tcPr>
            <w:tcW w:w="496" w:type="pct"/>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ascii="Times New Roman" w:hAnsi="Times New Roman" w:eastAsiaTheme="minorEastAsia"/>
                <w:color w:val="000000"/>
                <w:kern w:val="0"/>
                <w:sz w:val="21"/>
                <w:szCs w:val="21"/>
              </w:rPr>
              <w:t>0</w:t>
            </w:r>
          </w:p>
        </w:tc>
        <w:tc>
          <w:tcPr>
            <w:tcW w:w="498" w:type="pct"/>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ascii="Times New Roman" w:hAnsi="Times New Roman" w:eastAsiaTheme="minorEastAsia"/>
                <w:color w:val="000000"/>
                <w:kern w:val="0"/>
                <w:sz w:val="21"/>
                <w:szCs w:val="21"/>
              </w:rPr>
              <w:t>0</w:t>
            </w:r>
          </w:p>
        </w:tc>
        <w:tc>
          <w:tcPr>
            <w:tcW w:w="555" w:type="pct"/>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ascii="Times New Roman" w:hAnsi="Times New Roman" w:eastAsiaTheme="minorEastAsia"/>
                <w:color w:val="000000"/>
                <w:kern w:val="0"/>
                <w:sz w:val="21"/>
                <w:szCs w:val="21"/>
              </w:rPr>
              <w:t>718.38</w:t>
            </w:r>
          </w:p>
        </w:tc>
        <w:tc>
          <w:tcPr>
            <w:tcW w:w="1227" w:type="pct"/>
            <w:vMerge w:val="restart"/>
            <w:shd w:val="clear" w:color="auto" w:fill="auto"/>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由海事部门环保船回收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78" w:type="pct"/>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船舶生活污水</w:t>
            </w:r>
          </w:p>
        </w:tc>
        <w:tc>
          <w:tcPr>
            <w:tcW w:w="614" w:type="pct"/>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ascii="Times New Roman" w:hAnsi="Times New Roman" w:eastAsiaTheme="minorEastAsia"/>
                <w:color w:val="000000"/>
                <w:kern w:val="0"/>
                <w:sz w:val="21"/>
                <w:szCs w:val="21"/>
              </w:rPr>
              <w:t>297</w:t>
            </w:r>
          </w:p>
        </w:tc>
        <w:tc>
          <w:tcPr>
            <w:tcW w:w="628" w:type="pct"/>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ascii="Times New Roman" w:hAnsi="Times New Roman" w:eastAsiaTheme="minorEastAsia"/>
                <w:color w:val="000000"/>
                <w:kern w:val="0"/>
                <w:sz w:val="21"/>
                <w:szCs w:val="21"/>
              </w:rPr>
              <w:t>297</w:t>
            </w:r>
          </w:p>
        </w:tc>
        <w:tc>
          <w:tcPr>
            <w:tcW w:w="496" w:type="pct"/>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ascii="Times New Roman" w:hAnsi="Times New Roman" w:eastAsiaTheme="minorEastAsia"/>
                <w:color w:val="000000"/>
                <w:kern w:val="0"/>
                <w:sz w:val="21"/>
                <w:szCs w:val="21"/>
              </w:rPr>
              <w:t>59.4</w:t>
            </w:r>
          </w:p>
        </w:tc>
        <w:tc>
          <w:tcPr>
            <w:tcW w:w="498" w:type="pct"/>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ascii="Times New Roman" w:hAnsi="Times New Roman" w:eastAsiaTheme="minorEastAsia"/>
                <w:color w:val="000000"/>
                <w:kern w:val="0"/>
                <w:sz w:val="21"/>
                <w:szCs w:val="21"/>
              </w:rPr>
              <w:t>0</w:t>
            </w:r>
          </w:p>
        </w:tc>
        <w:tc>
          <w:tcPr>
            <w:tcW w:w="555" w:type="pct"/>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ascii="Times New Roman" w:hAnsi="Times New Roman" w:eastAsiaTheme="minorEastAsia"/>
                <w:color w:val="000000"/>
                <w:kern w:val="0"/>
                <w:sz w:val="21"/>
                <w:szCs w:val="21"/>
              </w:rPr>
              <w:t>237.6</w:t>
            </w:r>
          </w:p>
        </w:tc>
        <w:tc>
          <w:tcPr>
            <w:tcW w:w="1227" w:type="pct"/>
            <w:vMerge w:val="continue"/>
            <w:vAlign w:val="center"/>
          </w:tcPr>
          <w:p>
            <w:pPr>
              <w:widowControl/>
              <w:adjustRightInd w:val="0"/>
              <w:snapToGrid w:val="0"/>
              <w:jc w:val="left"/>
              <w:rPr>
                <w:rFonts w:ascii="Times New Roman" w:hAnsi="Times New Roman" w:eastAsiaTheme="minorEastAsia"/>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78" w:type="pct"/>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趸船冲洗废水</w:t>
            </w:r>
          </w:p>
        </w:tc>
        <w:tc>
          <w:tcPr>
            <w:tcW w:w="614" w:type="pct"/>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ascii="Times New Roman" w:hAnsi="Times New Roman" w:eastAsiaTheme="minorEastAsia"/>
                <w:color w:val="000000"/>
                <w:kern w:val="0"/>
                <w:sz w:val="21"/>
                <w:szCs w:val="21"/>
              </w:rPr>
              <w:t>2112</w:t>
            </w:r>
          </w:p>
        </w:tc>
        <w:tc>
          <w:tcPr>
            <w:tcW w:w="628" w:type="pct"/>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ascii="Times New Roman" w:hAnsi="Times New Roman" w:eastAsiaTheme="minorEastAsia"/>
                <w:color w:val="000000"/>
                <w:kern w:val="0"/>
                <w:sz w:val="21"/>
                <w:szCs w:val="21"/>
              </w:rPr>
              <w:t>2112</w:t>
            </w:r>
          </w:p>
        </w:tc>
        <w:tc>
          <w:tcPr>
            <w:tcW w:w="496" w:type="pct"/>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ascii="Times New Roman" w:hAnsi="Times New Roman" w:eastAsiaTheme="minorEastAsia"/>
                <w:color w:val="000000"/>
                <w:kern w:val="0"/>
                <w:sz w:val="21"/>
                <w:szCs w:val="21"/>
              </w:rPr>
              <w:t>211.2</w:t>
            </w:r>
          </w:p>
        </w:tc>
        <w:tc>
          <w:tcPr>
            <w:tcW w:w="498" w:type="pct"/>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ascii="Times New Roman" w:hAnsi="Times New Roman" w:eastAsiaTheme="minorEastAsia"/>
                <w:color w:val="000000"/>
                <w:kern w:val="0"/>
                <w:sz w:val="21"/>
                <w:szCs w:val="21"/>
              </w:rPr>
              <w:t>0</w:t>
            </w:r>
          </w:p>
        </w:tc>
        <w:tc>
          <w:tcPr>
            <w:tcW w:w="555" w:type="pct"/>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ascii="Times New Roman" w:hAnsi="Times New Roman" w:eastAsiaTheme="minorEastAsia"/>
                <w:color w:val="000000"/>
                <w:kern w:val="0"/>
                <w:sz w:val="21"/>
                <w:szCs w:val="21"/>
              </w:rPr>
              <w:t>1900.8</w:t>
            </w:r>
          </w:p>
        </w:tc>
        <w:tc>
          <w:tcPr>
            <w:tcW w:w="1227" w:type="pct"/>
            <w:shd w:val="clear" w:color="auto" w:fill="auto"/>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收集至煤水收集池进入污水处理站处理达标后用作绿化用水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78" w:type="pct"/>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微雾抑尘用水</w:t>
            </w:r>
          </w:p>
        </w:tc>
        <w:tc>
          <w:tcPr>
            <w:tcW w:w="614" w:type="pct"/>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ascii="Times New Roman" w:hAnsi="Times New Roman" w:eastAsiaTheme="minorEastAsia"/>
                <w:color w:val="000000"/>
                <w:kern w:val="0"/>
                <w:sz w:val="21"/>
                <w:szCs w:val="21"/>
              </w:rPr>
              <w:t>64350</w:t>
            </w:r>
          </w:p>
        </w:tc>
        <w:tc>
          <w:tcPr>
            <w:tcW w:w="628" w:type="pct"/>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ascii="Times New Roman" w:hAnsi="Times New Roman" w:eastAsiaTheme="minorEastAsia"/>
                <w:color w:val="000000"/>
                <w:kern w:val="0"/>
                <w:sz w:val="21"/>
                <w:szCs w:val="21"/>
              </w:rPr>
              <w:t>64350</w:t>
            </w:r>
          </w:p>
        </w:tc>
        <w:tc>
          <w:tcPr>
            <w:tcW w:w="496" w:type="pct"/>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ascii="Times New Roman" w:hAnsi="Times New Roman" w:eastAsiaTheme="minorEastAsia"/>
                <w:color w:val="000000"/>
                <w:kern w:val="0"/>
                <w:sz w:val="21"/>
                <w:szCs w:val="21"/>
              </w:rPr>
              <w:t>64350</w:t>
            </w:r>
          </w:p>
        </w:tc>
        <w:tc>
          <w:tcPr>
            <w:tcW w:w="498" w:type="pct"/>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ascii="Times New Roman" w:hAnsi="Times New Roman" w:eastAsiaTheme="minorEastAsia"/>
                <w:color w:val="000000"/>
                <w:kern w:val="0"/>
                <w:sz w:val="21"/>
                <w:szCs w:val="21"/>
              </w:rPr>
              <w:t>0</w:t>
            </w:r>
          </w:p>
        </w:tc>
        <w:tc>
          <w:tcPr>
            <w:tcW w:w="555" w:type="pct"/>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ascii="Times New Roman" w:hAnsi="Times New Roman" w:eastAsiaTheme="minorEastAsia"/>
                <w:color w:val="000000"/>
                <w:kern w:val="0"/>
                <w:sz w:val="21"/>
                <w:szCs w:val="21"/>
              </w:rPr>
              <w:t>0</w:t>
            </w:r>
          </w:p>
        </w:tc>
        <w:tc>
          <w:tcPr>
            <w:tcW w:w="1227" w:type="pct"/>
            <w:shd w:val="clear" w:color="auto" w:fill="auto"/>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部分蒸发，部分与粉尘一起沉降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78" w:type="pct"/>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码头生活污水</w:t>
            </w:r>
          </w:p>
        </w:tc>
        <w:tc>
          <w:tcPr>
            <w:tcW w:w="614" w:type="pct"/>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ascii="Times New Roman" w:hAnsi="Times New Roman" w:eastAsiaTheme="minorEastAsia"/>
                <w:color w:val="000000"/>
                <w:kern w:val="0"/>
                <w:sz w:val="21"/>
                <w:szCs w:val="21"/>
              </w:rPr>
              <w:t>412.5</w:t>
            </w:r>
          </w:p>
        </w:tc>
        <w:tc>
          <w:tcPr>
            <w:tcW w:w="628" w:type="pct"/>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ascii="Times New Roman" w:hAnsi="Times New Roman" w:eastAsiaTheme="minorEastAsia"/>
                <w:color w:val="000000"/>
                <w:kern w:val="0"/>
                <w:sz w:val="21"/>
                <w:szCs w:val="21"/>
              </w:rPr>
              <w:t>412.5</w:t>
            </w:r>
          </w:p>
        </w:tc>
        <w:tc>
          <w:tcPr>
            <w:tcW w:w="496" w:type="pct"/>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ascii="Times New Roman" w:hAnsi="Times New Roman" w:eastAsiaTheme="minorEastAsia"/>
                <w:color w:val="000000"/>
                <w:kern w:val="0"/>
                <w:sz w:val="21"/>
                <w:szCs w:val="21"/>
              </w:rPr>
              <w:t>82.5</w:t>
            </w:r>
          </w:p>
        </w:tc>
        <w:tc>
          <w:tcPr>
            <w:tcW w:w="498" w:type="pct"/>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ascii="Times New Roman" w:hAnsi="Times New Roman" w:eastAsiaTheme="minorEastAsia"/>
                <w:color w:val="000000"/>
                <w:kern w:val="0"/>
                <w:sz w:val="21"/>
                <w:szCs w:val="21"/>
              </w:rPr>
              <w:t>0</w:t>
            </w:r>
          </w:p>
        </w:tc>
        <w:tc>
          <w:tcPr>
            <w:tcW w:w="555" w:type="pct"/>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ascii="Times New Roman" w:hAnsi="Times New Roman" w:eastAsiaTheme="minorEastAsia"/>
                <w:color w:val="000000"/>
                <w:kern w:val="0"/>
                <w:sz w:val="21"/>
                <w:szCs w:val="21"/>
              </w:rPr>
              <w:t>330</w:t>
            </w:r>
          </w:p>
        </w:tc>
        <w:tc>
          <w:tcPr>
            <w:tcW w:w="1227" w:type="pct"/>
            <w:shd w:val="clear" w:color="auto" w:fill="auto"/>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进入污水处理站处理达标后用作绿化用水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78" w:type="pct"/>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初期雨水</w:t>
            </w:r>
          </w:p>
        </w:tc>
        <w:tc>
          <w:tcPr>
            <w:tcW w:w="614" w:type="pct"/>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ascii="Times New Roman" w:hAnsi="Times New Roman" w:eastAsiaTheme="minorEastAsia"/>
                <w:color w:val="000000"/>
                <w:kern w:val="0"/>
                <w:sz w:val="21"/>
                <w:szCs w:val="21"/>
              </w:rPr>
              <w:t>/</w:t>
            </w:r>
          </w:p>
        </w:tc>
        <w:tc>
          <w:tcPr>
            <w:tcW w:w="628" w:type="pct"/>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ascii="Times New Roman" w:hAnsi="Times New Roman" w:eastAsiaTheme="minorEastAsia"/>
                <w:color w:val="000000"/>
                <w:kern w:val="0"/>
                <w:sz w:val="21"/>
                <w:szCs w:val="21"/>
              </w:rPr>
              <w:t>/</w:t>
            </w:r>
          </w:p>
        </w:tc>
        <w:tc>
          <w:tcPr>
            <w:tcW w:w="496" w:type="pct"/>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ascii="Times New Roman" w:hAnsi="Times New Roman" w:eastAsiaTheme="minorEastAsia"/>
                <w:color w:val="000000"/>
                <w:kern w:val="0"/>
                <w:sz w:val="21"/>
                <w:szCs w:val="21"/>
              </w:rPr>
              <w:t>/</w:t>
            </w:r>
          </w:p>
        </w:tc>
        <w:tc>
          <w:tcPr>
            <w:tcW w:w="498" w:type="pct"/>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ascii="Times New Roman" w:hAnsi="Times New Roman" w:eastAsiaTheme="minorEastAsia"/>
                <w:color w:val="000000"/>
                <w:kern w:val="0"/>
                <w:sz w:val="21"/>
                <w:szCs w:val="21"/>
              </w:rPr>
              <w:t>0</w:t>
            </w:r>
          </w:p>
        </w:tc>
        <w:tc>
          <w:tcPr>
            <w:tcW w:w="555" w:type="pct"/>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ascii="Times New Roman" w:hAnsi="Times New Roman" w:eastAsiaTheme="minorEastAsia"/>
                <w:color w:val="000000"/>
                <w:kern w:val="0"/>
                <w:sz w:val="21"/>
                <w:szCs w:val="21"/>
              </w:rPr>
              <w:t>359.424</w:t>
            </w:r>
          </w:p>
        </w:tc>
        <w:tc>
          <w:tcPr>
            <w:tcW w:w="1227" w:type="pct"/>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收集至初期雨水收集池进入污水处理站处理达标后用作绿化用水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78" w:type="pct"/>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合计</w:t>
            </w:r>
          </w:p>
        </w:tc>
        <w:tc>
          <w:tcPr>
            <w:tcW w:w="1141" w:type="dxa"/>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hint="eastAsia" w:ascii="Times New Roman" w:hAnsi="Times New Roman" w:eastAsiaTheme="minorEastAsia"/>
                <w:color w:val="000000"/>
                <w:kern w:val="0"/>
                <w:sz w:val="21"/>
                <w:szCs w:val="21"/>
                <w:lang w:val="en-US" w:eastAsia="zh-CN"/>
              </w:rPr>
              <w:t>66874.5</w:t>
            </w:r>
          </w:p>
        </w:tc>
        <w:tc>
          <w:tcPr>
            <w:tcW w:w="1167" w:type="dxa"/>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hint="eastAsia" w:ascii="Times New Roman" w:hAnsi="Times New Roman" w:eastAsiaTheme="minorEastAsia"/>
                <w:color w:val="000000"/>
                <w:kern w:val="0"/>
                <w:sz w:val="21"/>
                <w:szCs w:val="21"/>
                <w:lang w:val="en-US" w:eastAsia="zh-CN"/>
              </w:rPr>
              <w:t>66874.5</w:t>
            </w:r>
          </w:p>
        </w:tc>
        <w:tc>
          <w:tcPr>
            <w:tcW w:w="922" w:type="dxa"/>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hint="eastAsia" w:ascii="Times New Roman" w:hAnsi="Times New Roman" w:eastAsiaTheme="minorEastAsia"/>
                <w:color w:val="000000"/>
                <w:kern w:val="0"/>
                <w:sz w:val="21"/>
                <w:szCs w:val="21"/>
                <w:lang w:val="en-US" w:eastAsia="zh-CN"/>
              </w:rPr>
              <w:t>64643.7</w:t>
            </w:r>
          </w:p>
        </w:tc>
        <w:tc>
          <w:tcPr>
            <w:tcW w:w="926" w:type="dxa"/>
            <w:shd w:val="clear" w:color="auto" w:fill="auto"/>
            <w:noWrap/>
            <w:vAlign w:val="center"/>
          </w:tcPr>
          <w:p>
            <w:pPr>
              <w:widowControl/>
              <w:adjustRightInd w:val="0"/>
              <w:snapToGrid w:val="0"/>
              <w:jc w:val="center"/>
              <w:rPr>
                <w:rFonts w:ascii="Times New Roman" w:hAnsi="Times New Roman" w:eastAsiaTheme="minorEastAsia"/>
                <w:color w:val="000000"/>
                <w:kern w:val="0"/>
                <w:sz w:val="21"/>
                <w:szCs w:val="21"/>
              </w:rPr>
            </w:pPr>
            <w:r>
              <w:rPr>
                <w:rFonts w:hint="eastAsia" w:ascii="Times New Roman" w:hAnsi="Times New Roman" w:eastAsiaTheme="minorEastAsia"/>
                <w:color w:val="000000"/>
                <w:kern w:val="0"/>
                <w:sz w:val="21"/>
                <w:szCs w:val="21"/>
                <w:lang w:val="en-US" w:eastAsia="zh-CN"/>
              </w:rPr>
              <w:t>0</w:t>
            </w:r>
          </w:p>
        </w:tc>
        <w:tc>
          <w:tcPr>
            <w:tcW w:w="1032" w:type="dxa"/>
            <w:shd w:val="clear" w:color="auto" w:fill="auto"/>
            <w:noWrap/>
            <w:vAlign w:val="center"/>
          </w:tcPr>
          <w:p>
            <w:pPr>
              <w:widowControl/>
              <w:adjustRightInd w:val="0"/>
              <w:snapToGrid w:val="0"/>
              <w:jc w:val="center"/>
              <w:rPr>
                <w:rFonts w:hint="default" w:ascii="Times New Roman" w:hAnsi="Times New Roman" w:eastAsiaTheme="minorEastAsia"/>
                <w:color w:val="000000"/>
                <w:kern w:val="0"/>
                <w:sz w:val="21"/>
                <w:szCs w:val="21"/>
                <w:lang w:val="en-US" w:eastAsia="zh-CN"/>
              </w:rPr>
            </w:pPr>
            <w:r>
              <w:rPr>
                <w:rFonts w:hint="eastAsia" w:ascii="Times New Roman" w:hAnsi="Times New Roman" w:eastAsiaTheme="minorEastAsia"/>
                <w:color w:val="000000"/>
                <w:kern w:val="0"/>
                <w:sz w:val="21"/>
                <w:szCs w:val="21"/>
                <w:lang w:val="en-US" w:eastAsia="zh-CN"/>
              </w:rPr>
              <w:t>2590.224</w:t>
            </w:r>
          </w:p>
        </w:tc>
        <w:tc>
          <w:tcPr>
            <w:tcW w:w="1227" w:type="pct"/>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r>
    </w:tbl>
    <w:p>
      <w:pPr>
        <w:spacing w:line="360" w:lineRule="auto"/>
        <w:rPr>
          <w:rFonts w:ascii="Times New Roman" w:hAnsi="Times New Roman" w:eastAsiaTheme="minorEastAsia"/>
          <w:color w:val="000000"/>
          <w:sz w:val="24"/>
          <w:szCs w:val="24"/>
          <w:highlight w:val="yellow"/>
        </w:rPr>
      </w:pPr>
    </w:p>
    <w:p>
      <w:pPr>
        <w:spacing w:line="276" w:lineRule="auto"/>
        <w:jc w:val="right"/>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sz w:val="24"/>
          <w:szCs w:val="24"/>
        </w:rPr>
        <w:object>
          <v:shape id="_x0000_i1026" o:spt="75" type="#_x0000_t75" style="height:215pt;width:452.45pt;" o:ole="t" filled="f" o:preferrelative="t" stroked="f" coordsize="21600,21600">
            <v:path/>
            <v:fill on="f" focussize="0,0"/>
            <v:stroke on="f" joinstyle="miter"/>
            <v:imagedata r:id="rId41" o:title=""/>
            <o:lock v:ext="edit" aspectratio="f"/>
            <w10:wrap type="none"/>
            <w10:anchorlock/>
          </v:shape>
          <o:OLEObject Type="Embed" ProgID="Visio.Drawing.15" ShapeID="_x0000_i1026" DrawAspect="Content" ObjectID="_1468075726" r:id="rId40">
            <o:LockedField>false</o:LockedField>
          </o:OLEObject>
        </w:object>
      </w:r>
      <w:r>
        <w:rPr>
          <w:rFonts w:ascii="Times New Roman" w:hAnsi="Times New Roman" w:eastAsiaTheme="minorEastAsia"/>
          <w:b/>
          <w:color w:val="000000" w:themeColor="text1"/>
          <w:sz w:val="24"/>
          <w:szCs w:val="24"/>
          <w14:textFill>
            <w14:solidFill>
              <w14:schemeClr w14:val="tx1"/>
            </w14:solidFill>
          </w14:textFill>
        </w:rPr>
        <w:t>图3.</w:t>
      </w:r>
      <w:r>
        <w:rPr>
          <w:rFonts w:hint="eastAsia" w:ascii="Times New Roman" w:hAnsi="Times New Roman" w:eastAsiaTheme="minorEastAsia"/>
          <w:b/>
          <w:color w:val="000000" w:themeColor="text1"/>
          <w:sz w:val="24"/>
          <w:szCs w:val="24"/>
          <w:lang w:val="en-US" w:eastAsia="zh-CN"/>
          <w14:textFill>
            <w14:solidFill>
              <w14:schemeClr w14:val="tx1"/>
            </w14:solidFill>
          </w14:textFill>
        </w:rPr>
        <w:t>4</w:t>
      </w:r>
      <w:r>
        <w:rPr>
          <w:rFonts w:ascii="Times New Roman" w:hAnsi="Times New Roman" w:eastAsiaTheme="minorEastAsia"/>
          <w:b/>
          <w:color w:val="000000" w:themeColor="text1"/>
          <w:sz w:val="24"/>
          <w:szCs w:val="24"/>
          <w14:textFill>
            <w14:solidFill>
              <w14:schemeClr w14:val="tx1"/>
            </w14:solidFill>
          </w14:textFill>
        </w:rPr>
        <w:t xml:space="preserve">-3  本项目水平衡图                </w:t>
      </w:r>
      <w:r>
        <w:rPr>
          <w:rFonts w:ascii="Times New Roman" w:hAnsi="Times New Roman" w:eastAsiaTheme="minorEastAsia"/>
          <w:color w:val="000000" w:themeColor="text1"/>
          <w:sz w:val="24"/>
          <w:szCs w:val="24"/>
          <w14:textFill>
            <w14:solidFill>
              <w14:schemeClr w14:val="tx1"/>
            </w14:solidFill>
          </w14:textFill>
        </w:rPr>
        <w:t>单位：m</w:t>
      </w:r>
      <w:r>
        <w:rPr>
          <w:rFonts w:ascii="Times New Roman" w:hAnsi="Times New Roman" w:eastAsiaTheme="minorEastAsia"/>
          <w:color w:val="000000" w:themeColor="text1"/>
          <w:sz w:val="24"/>
          <w:szCs w:val="24"/>
          <w:vertAlign w:val="superscript"/>
          <w14:textFill>
            <w14:solidFill>
              <w14:schemeClr w14:val="tx1"/>
            </w14:solidFill>
          </w14:textFill>
        </w:rPr>
        <w:t>3</w:t>
      </w:r>
      <w:r>
        <w:rPr>
          <w:rFonts w:ascii="Times New Roman" w:hAnsi="Times New Roman" w:eastAsiaTheme="minorEastAsia"/>
          <w:color w:val="000000" w:themeColor="text1"/>
          <w:sz w:val="24"/>
          <w:szCs w:val="24"/>
          <w14:textFill>
            <w14:solidFill>
              <w14:schemeClr w14:val="tx1"/>
            </w14:solidFill>
          </w14:textFill>
        </w:rPr>
        <w:t>/a</w:t>
      </w:r>
    </w:p>
    <w:p>
      <w:pPr>
        <w:snapToGrid w:val="0"/>
        <w:spacing w:after="120"/>
        <w:ind w:firstLine="160" w:firstLineChars="200"/>
        <w:rPr>
          <w:rFonts w:ascii="Times New Roman" w:hAnsi="Times New Roman" w:eastAsiaTheme="minorEastAsia"/>
          <w:sz w:val="8"/>
          <w:szCs w:val="22"/>
          <w:lang w:val="zh-CN"/>
        </w:rPr>
      </w:pPr>
    </w:p>
    <w:p>
      <w:pPr>
        <w:pStyle w:val="5"/>
        <w:rPr>
          <w:rFonts w:eastAsiaTheme="minorEastAsia"/>
        </w:rPr>
      </w:pPr>
      <w:r>
        <w:rPr>
          <w:rFonts w:eastAsiaTheme="minorEastAsia"/>
        </w:rPr>
        <w:t>废气</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本项目营运期影响大气质量的主要污染物主要为</w:t>
      </w:r>
      <w:r>
        <w:rPr>
          <w:rFonts w:ascii="Times New Roman" w:hAnsi="Times New Roman"/>
          <w:sz w:val="24"/>
        </w:rPr>
        <w:t>码头煤炭装卸扬尘及港区装卸机械和船舶产生的燃油废气</w:t>
      </w:r>
      <w:r>
        <w:rPr>
          <w:rFonts w:ascii="Times New Roman" w:hAnsi="Times New Roman" w:eastAsiaTheme="minorEastAsia"/>
          <w:color w:val="000000" w:themeColor="text1"/>
          <w:sz w:val="24"/>
          <w:szCs w:val="24"/>
          <w14:textFill>
            <w14:solidFill>
              <w14:schemeClr w14:val="tx1"/>
            </w14:solidFill>
          </w14:textFill>
        </w:rPr>
        <w:t>。</w:t>
      </w:r>
    </w:p>
    <w:p>
      <w:pPr>
        <w:adjustRightInd w:val="0"/>
        <w:snapToGrid w:val="0"/>
        <w:spacing w:line="360" w:lineRule="auto"/>
        <w:ind w:firstLine="482" w:firstLineChars="200"/>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1、码头煤炭装卸扬尘</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到港煤炭装卸时，将会产生一部分粉尘；由于本项目运输皮带为完全封闭设置，因此此部分粉尘主要发生在由运煤船到抓斗的过程以及由卸料料斗到后续运煤栈桥的过程。降低此部分粉尘的主要措施是采取洒水措施，建设方拟在卸料料斗处设置喷淋装置、并在落料处设置返尘板来降低煤炭装卸时煤尘的产生量。</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煤尘按其粒径可分为细煤尘（小于100μm，即总悬浮微粒TSP）和粗煤尘（100μm以上），其中粗煤尘由于重力作用，很快落地，而细煤尘可随气流输送、扩散，影响范围相对较大。因此，本次评价主要考虑细煤对大气环境的影响。根据相关统计资料，一般小于100μm的细煤尘约占总煤尘量的4.7%。</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根据《港口建设项目环境影响评价规范》（JTS105-1-2011），本项目煤炭装卸扬尘量可按以下公式进行估算：</w:t>
      </w:r>
    </w:p>
    <w:p>
      <w:pPr>
        <w:adjustRightInd w:val="0"/>
        <w:snapToGrid w:val="0"/>
        <w:spacing w:line="360" w:lineRule="auto"/>
        <w:jc w:val="center"/>
        <w:rPr>
          <w:rFonts w:ascii="Times New Roman" w:hAnsi="Times New Roman"/>
          <w:sz w:val="24"/>
          <w:u w:val="single"/>
        </w:rPr>
      </w:pPr>
      <w:r>
        <w:rPr>
          <w:rFonts w:ascii="Times New Roman" w:hAnsi="Times New Roman"/>
          <w:position w:val="-10"/>
          <w:sz w:val="24"/>
        </w:rPr>
        <w:object>
          <v:shape id="_x0000_i1027" o:spt="75" type="#_x0000_t75" style="height:19.1pt;width:166.5pt;" o:ole="t" filled="f" o:preferrelative="t" stroked="f" coordsize="21600,21600">
            <v:path/>
            <v:fill on="f" focussize="0,0"/>
            <v:stroke on="f" joinstyle="miter"/>
            <v:imagedata r:id="rId43" o:title=""/>
            <o:lock v:ext="edit" aspectratio="t"/>
            <w10:wrap type="none"/>
            <w10:anchorlock/>
          </v:shape>
          <o:OLEObject Type="Embed" ProgID="Equation.3" ShapeID="_x0000_i1027" DrawAspect="Content" ObjectID="_1468075727" r:id="rId42">
            <o:LockedField>false</o:LockedField>
          </o:OLEObject>
        </w:object>
      </w:r>
    </w:p>
    <w:p>
      <w:pPr>
        <w:adjustRightInd w:val="0"/>
        <w:snapToGrid w:val="0"/>
        <w:spacing w:line="360" w:lineRule="auto"/>
        <w:ind w:firstLine="480" w:firstLineChars="200"/>
        <w:rPr>
          <w:rFonts w:ascii="Times New Roman" w:hAnsi="Times New Roman"/>
          <w:kern w:val="0"/>
          <w:sz w:val="24"/>
          <w:szCs w:val="20"/>
          <w:lang w:bidi="en-US"/>
        </w:rPr>
      </w:pPr>
      <w:r>
        <w:rPr>
          <w:rFonts w:ascii="Times New Roman" w:hAnsi="Times New Roman"/>
          <w:kern w:val="0"/>
          <w:sz w:val="24"/>
          <w:szCs w:val="20"/>
          <w:lang w:bidi="en-US"/>
        </w:rPr>
        <w:t>式中：</w:t>
      </w:r>
      <w:r>
        <w:rPr>
          <w:rFonts w:ascii="Times New Roman" w:hAnsi="Times New Roman"/>
          <w:i/>
          <w:kern w:val="0"/>
          <w:sz w:val="24"/>
          <w:szCs w:val="20"/>
          <w:lang w:bidi="en-US"/>
        </w:rPr>
        <w:t>Q</w:t>
      </w:r>
      <w:r>
        <w:rPr>
          <w:rFonts w:ascii="Times New Roman" w:hAnsi="Times New Roman"/>
          <w:i/>
          <w:kern w:val="0"/>
          <w:sz w:val="24"/>
          <w:szCs w:val="20"/>
          <w:vertAlign w:val="subscript"/>
          <w:lang w:bidi="en-US"/>
        </w:rPr>
        <w:t>2</w:t>
      </w:r>
      <w:r>
        <w:rPr>
          <w:rFonts w:ascii="Times New Roman" w:hAnsi="Times New Roman"/>
          <w:kern w:val="0"/>
          <w:sz w:val="24"/>
          <w:szCs w:val="20"/>
          <w:lang w:bidi="en-US"/>
        </w:rPr>
        <w:t>——作业起尘量，kg/h；</w:t>
      </w:r>
    </w:p>
    <w:p>
      <w:pPr>
        <w:adjustRightInd w:val="0"/>
        <w:snapToGrid w:val="0"/>
        <w:spacing w:line="360" w:lineRule="auto"/>
        <w:ind w:firstLine="1200" w:firstLineChars="500"/>
        <w:rPr>
          <w:rFonts w:ascii="Times New Roman" w:hAnsi="Times New Roman"/>
          <w:i/>
          <w:kern w:val="0"/>
          <w:sz w:val="24"/>
          <w:szCs w:val="20"/>
          <w:lang w:bidi="en-US"/>
        </w:rPr>
      </w:pPr>
      <w:r>
        <w:rPr>
          <w:rFonts w:ascii="Times New Roman" w:hAnsi="Times New Roman"/>
          <w:i/>
          <w:kern w:val="0"/>
          <w:sz w:val="24"/>
          <w:szCs w:val="20"/>
          <w:lang w:bidi="en-US"/>
        </w:rPr>
        <w:t>α</w:t>
      </w:r>
      <w:r>
        <w:rPr>
          <w:rFonts w:ascii="Times New Roman" w:hAnsi="Times New Roman"/>
          <w:kern w:val="0"/>
          <w:sz w:val="24"/>
          <w:szCs w:val="20"/>
          <w:lang w:bidi="en-US"/>
        </w:rPr>
        <w:t>——货物类型起尘调节系数，原煤类一般取0.8；</w:t>
      </w:r>
    </w:p>
    <w:p>
      <w:pPr>
        <w:adjustRightInd w:val="0"/>
        <w:snapToGrid w:val="0"/>
        <w:spacing w:line="360" w:lineRule="auto"/>
        <w:ind w:firstLine="1200" w:firstLineChars="500"/>
        <w:rPr>
          <w:rFonts w:ascii="Times New Roman" w:hAnsi="Times New Roman"/>
          <w:i/>
          <w:kern w:val="0"/>
          <w:sz w:val="24"/>
          <w:szCs w:val="20"/>
          <w:lang w:bidi="en-US"/>
        </w:rPr>
      </w:pPr>
      <w:r>
        <w:rPr>
          <w:rFonts w:ascii="Times New Roman" w:hAnsi="Times New Roman"/>
          <w:i/>
          <w:kern w:val="0"/>
          <w:sz w:val="24"/>
          <w:szCs w:val="20"/>
          <w:lang w:bidi="en-US"/>
        </w:rPr>
        <w:t>β——</w:t>
      </w:r>
      <w:r>
        <w:rPr>
          <w:rFonts w:ascii="Times New Roman" w:hAnsi="Times New Roman"/>
          <w:kern w:val="0"/>
          <w:sz w:val="24"/>
          <w:szCs w:val="20"/>
          <w:lang w:bidi="en-US"/>
        </w:rPr>
        <w:t>作业方式系数；取料时，β=1；</w:t>
      </w:r>
    </w:p>
    <w:p>
      <w:pPr>
        <w:adjustRightInd w:val="0"/>
        <w:snapToGrid w:val="0"/>
        <w:spacing w:line="360" w:lineRule="auto"/>
        <w:ind w:firstLine="1200" w:firstLineChars="500"/>
        <w:rPr>
          <w:rFonts w:ascii="Times New Roman" w:hAnsi="Times New Roman"/>
          <w:kern w:val="0"/>
          <w:sz w:val="24"/>
          <w:szCs w:val="20"/>
          <w:lang w:bidi="en-US"/>
        </w:rPr>
      </w:pPr>
      <w:r>
        <w:rPr>
          <w:rFonts w:ascii="Times New Roman" w:hAnsi="Times New Roman"/>
          <w:i/>
          <w:kern w:val="0"/>
          <w:sz w:val="24"/>
          <w:szCs w:val="20"/>
          <w:lang w:bidi="en-US"/>
        </w:rPr>
        <w:t>H</w:t>
      </w:r>
      <w:r>
        <w:rPr>
          <w:rFonts w:ascii="Times New Roman" w:hAnsi="Times New Roman"/>
          <w:kern w:val="0"/>
          <w:sz w:val="24"/>
          <w:szCs w:val="20"/>
          <w:lang w:bidi="en-US"/>
        </w:rPr>
        <w:t>——装卸作业过程中的落差，m；</w:t>
      </w:r>
    </w:p>
    <w:p>
      <w:pPr>
        <w:adjustRightInd w:val="0"/>
        <w:snapToGrid w:val="0"/>
        <w:spacing w:line="360" w:lineRule="auto"/>
        <w:ind w:firstLine="1200" w:firstLineChars="500"/>
        <w:rPr>
          <w:rFonts w:ascii="Times New Roman" w:hAnsi="Times New Roman"/>
          <w:kern w:val="0"/>
          <w:sz w:val="24"/>
          <w:szCs w:val="20"/>
          <w:lang w:bidi="en-US"/>
        </w:rPr>
      </w:pPr>
      <w:r>
        <w:rPr>
          <w:rFonts w:ascii="Times New Roman" w:hAnsi="Times New Roman"/>
          <w:i/>
          <w:kern w:val="0"/>
          <w:sz w:val="24"/>
          <w:szCs w:val="20"/>
          <w:lang w:bidi="en-US"/>
        </w:rPr>
        <w:t>ω</w:t>
      </w:r>
      <w:r>
        <w:rPr>
          <w:rFonts w:ascii="Times New Roman" w:hAnsi="Times New Roman"/>
          <w:i/>
          <w:kern w:val="0"/>
          <w:sz w:val="24"/>
          <w:szCs w:val="20"/>
          <w:vertAlign w:val="subscript"/>
          <w:lang w:bidi="en-US"/>
        </w:rPr>
        <w:t>2</w:t>
      </w:r>
      <w:r>
        <w:rPr>
          <w:rFonts w:ascii="Times New Roman" w:hAnsi="Times New Roman"/>
          <w:kern w:val="0"/>
          <w:sz w:val="24"/>
          <w:szCs w:val="20"/>
          <w:lang w:bidi="en-US"/>
        </w:rPr>
        <w:t>——水分作用系数；与散货性质有关，取0.40~0.45，本项目取0.45；</w:t>
      </w:r>
    </w:p>
    <w:p>
      <w:pPr>
        <w:adjustRightInd w:val="0"/>
        <w:snapToGrid w:val="0"/>
        <w:spacing w:line="360" w:lineRule="auto"/>
        <w:ind w:firstLine="1200" w:firstLineChars="500"/>
        <w:rPr>
          <w:rFonts w:ascii="Times New Roman" w:hAnsi="Times New Roman"/>
          <w:kern w:val="0"/>
          <w:sz w:val="24"/>
          <w:szCs w:val="20"/>
          <w:lang w:bidi="en-US"/>
        </w:rPr>
      </w:pPr>
      <w:r>
        <w:rPr>
          <w:rFonts w:ascii="Times New Roman" w:hAnsi="Times New Roman"/>
          <w:i/>
          <w:kern w:val="0"/>
          <w:sz w:val="24"/>
          <w:szCs w:val="20"/>
          <w:lang w:bidi="en-US"/>
        </w:rPr>
        <w:t>w</w:t>
      </w:r>
      <w:r>
        <w:rPr>
          <w:rFonts w:ascii="Times New Roman" w:hAnsi="Times New Roman"/>
          <w:i/>
          <w:kern w:val="0"/>
          <w:sz w:val="24"/>
          <w:szCs w:val="20"/>
          <w:vertAlign w:val="subscript"/>
          <w:lang w:bidi="en-US"/>
        </w:rPr>
        <w:t>0</w:t>
      </w:r>
      <w:r>
        <w:rPr>
          <w:rFonts w:ascii="Times New Roman" w:hAnsi="Times New Roman"/>
          <w:kern w:val="0"/>
          <w:sz w:val="24"/>
          <w:szCs w:val="20"/>
          <w:lang w:bidi="en-US"/>
        </w:rPr>
        <w:t>——水分作用效果的临界值；即含水率高于此值时水分作用效果增加不明显，与货物性质有关；本项目在运输过程中需要对煤炭表面进行喷水增湿，以防止起尘，煤炭的含水率一般（w</w:t>
      </w:r>
      <w:r>
        <w:rPr>
          <w:rFonts w:ascii="Times New Roman" w:hAnsi="Times New Roman"/>
          <w:kern w:val="0"/>
          <w:sz w:val="24"/>
          <w:szCs w:val="20"/>
          <w:vertAlign w:val="subscript"/>
          <w:lang w:bidi="en-US"/>
        </w:rPr>
        <w:t>0</w:t>
      </w:r>
      <w:r>
        <w:rPr>
          <w:rFonts w:ascii="Times New Roman" w:hAnsi="Times New Roman"/>
          <w:kern w:val="0"/>
          <w:sz w:val="24"/>
          <w:szCs w:val="20"/>
          <w:lang w:bidi="en-US"/>
        </w:rPr>
        <w:t>）为6%；</w:t>
      </w:r>
    </w:p>
    <w:p>
      <w:pPr>
        <w:adjustRightInd w:val="0"/>
        <w:snapToGrid w:val="0"/>
        <w:spacing w:line="360" w:lineRule="auto"/>
        <w:ind w:firstLine="1200" w:firstLineChars="500"/>
        <w:rPr>
          <w:rFonts w:ascii="Times New Roman" w:hAnsi="Times New Roman"/>
          <w:kern w:val="0"/>
          <w:sz w:val="24"/>
          <w:szCs w:val="20"/>
          <w:lang w:bidi="en-US"/>
        </w:rPr>
      </w:pPr>
      <w:r>
        <w:rPr>
          <w:rFonts w:ascii="Times New Roman" w:hAnsi="Times New Roman"/>
          <w:i/>
          <w:kern w:val="0"/>
          <w:sz w:val="24"/>
          <w:szCs w:val="20"/>
          <w:lang w:bidi="en-US"/>
        </w:rPr>
        <w:t>w</w:t>
      </w:r>
      <w:r>
        <w:rPr>
          <w:rFonts w:ascii="Times New Roman" w:hAnsi="Times New Roman"/>
          <w:kern w:val="0"/>
          <w:sz w:val="24"/>
          <w:szCs w:val="20"/>
          <w:lang w:bidi="en-US"/>
        </w:rPr>
        <w:t>——含水率（%）；在自然干燥状态下，煤炭的表面含水率约为3%，极易起尘；一般煤的货品质量要求其含水率不要高于8%~10%，因而本项目要求煤的含水率控制在8%左右为宜；</w:t>
      </w:r>
    </w:p>
    <w:p>
      <w:pPr>
        <w:adjustRightInd w:val="0"/>
        <w:snapToGrid w:val="0"/>
        <w:spacing w:line="360" w:lineRule="auto"/>
        <w:ind w:firstLine="1200" w:firstLineChars="500"/>
        <w:rPr>
          <w:rFonts w:ascii="Times New Roman" w:hAnsi="Times New Roman"/>
          <w:kern w:val="0"/>
          <w:sz w:val="24"/>
          <w:szCs w:val="20"/>
          <w:lang w:bidi="en-US"/>
        </w:rPr>
      </w:pPr>
      <w:r>
        <w:rPr>
          <w:rFonts w:ascii="Times New Roman" w:hAnsi="Times New Roman"/>
          <w:i/>
          <w:kern w:val="0"/>
          <w:sz w:val="24"/>
          <w:szCs w:val="20"/>
          <w:lang w:bidi="en-US"/>
        </w:rPr>
        <w:t>Y</w:t>
      </w:r>
      <w:r>
        <w:rPr>
          <w:rFonts w:ascii="Times New Roman" w:hAnsi="Times New Roman"/>
          <w:kern w:val="0"/>
          <w:sz w:val="24"/>
          <w:szCs w:val="20"/>
          <w:lang w:bidi="en-US"/>
        </w:rPr>
        <w:t>——装卸量，t/h；</w:t>
      </w:r>
    </w:p>
    <w:p>
      <w:pPr>
        <w:adjustRightInd w:val="0"/>
        <w:snapToGrid w:val="0"/>
        <w:spacing w:line="360" w:lineRule="auto"/>
        <w:ind w:firstLine="1200" w:firstLineChars="500"/>
        <w:rPr>
          <w:rFonts w:ascii="Times New Roman" w:hAnsi="Times New Roman"/>
          <w:kern w:val="0"/>
          <w:sz w:val="24"/>
          <w:szCs w:val="20"/>
          <w:lang w:bidi="en-US"/>
        </w:rPr>
      </w:pPr>
      <w:r>
        <w:rPr>
          <w:rFonts w:ascii="Times New Roman" w:hAnsi="Times New Roman"/>
          <w:i/>
          <w:kern w:val="0"/>
          <w:sz w:val="24"/>
          <w:szCs w:val="20"/>
          <w:lang w:bidi="en-US"/>
        </w:rPr>
        <w:t>v</w:t>
      </w:r>
      <w:r>
        <w:rPr>
          <w:rFonts w:ascii="Times New Roman" w:hAnsi="Times New Roman"/>
          <w:i/>
          <w:kern w:val="0"/>
          <w:sz w:val="24"/>
          <w:szCs w:val="20"/>
          <w:vertAlign w:val="subscript"/>
          <w:lang w:bidi="en-US"/>
        </w:rPr>
        <w:t>2</w:t>
      </w:r>
      <w:r>
        <w:rPr>
          <w:rFonts w:ascii="Times New Roman" w:hAnsi="Times New Roman"/>
          <w:kern w:val="0"/>
          <w:sz w:val="24"/>
          <w:szCs w:val="20"/>
          <w:lang w:bidi="en-US"/>
        </w:rPr>
        <w:t>——作业起尘量达到最大起尘量50%时的风速，m/s；取16m/s；</w:t>
      </w:r>
    </w:p>
    <w:p>
      <w:pPr>
        <w:adjustRightInd w:val="0"/>
        <w:snapToGrid w:val="0"/>
        <w:spacing w:line="360" w:lineRule="auto"/>
        <w:ind w:firstLine="1200" w:firstLineChars="500"/>
        <w:rPr>
          <w:rFonts w:ascii="Times New Roman" w:hAnsi="Times New Roman"/>
          <w:kern w:val="0"/>
          <w:sz w:val="24"/>
          <w:szCs w:val="20"/>
          <w:lang w:bidi="en-US"/>
        </w:rPr>
      </w:pPr>
      <w:r>
        <w:rPr>
          <w:rFonts w:ascii="Times New Roman" w:hAnsi="Times New Roman"/>
          <w:i/>
          <w:kern w:val="0"/>
          <w:sz w:val="24"/>
          <w:szCs w:val="20"/>
          <w:lang w:bidi="en-US"/>
        </w:rPr>
        <w:t>U</w:t>
      </w:r>
      <w:r>
        <w:rPr>
          <w:rFonts w:ascii="Times New Roman" w:hAnsi="Times New Roman"/>
          <w:kern w:val="0"/>
          <w:sz w:val="24"/>
          <w:szCs w:val="20"/>
          <w:lang w:bidi="en-US"/>
        </w:rPr>
        <w:t>——风速，m/s。</w:t>
      </w:r>
    </w:p>
    <w:p>
      <w:pPr>
        <w:adjustRightInd w:val="0"/>
        <w:snapToGrid w:val="0"/>
        <w:spacing w:line="360" w:lineRule="auto"/>
        <w:ind w:firstLine="480"/>
        <w:rPr>
          <w:rFonts w:ascii="Times New Roman" w:hAnsi="Times New Roman"/>
          <w:color w:val="FF0000"/>
          <w:sz w:val="24"/>
          <w:u w:val="single"/>
        </w:rPr>
      </w:pPr>
      <w:r>
        <w:rPr>
          <w:rFonts w:ascii="Times New Roman" w:hAnsi="Times New Roman"/>
          <w:color w:val="FF0000"/>
          <w:sz w:val="24"/>
          <w:u w:val="single"/>
        </w:rPr>
        <w:t>本项目港口煤炭年吞吐量为200万吨，平均煤炭装卸量为359.29t/h（装卸作业时间按330d/a、19.5h/d计），装卸作业过程中的落差（浮吊抓斗与趸船接受料斗间的高差）按1.0m计，工程区域常年主导风向的平均风速为3.0m/s；同时本项目在趸船料斗处设置了水雾化喷淋装置，并设有返尘板，降低装卸中煤炭跌落高度等措施，可减少80%煤尘的排放。则由此可估算出工程煤炭装卸过程中洒水抑尘前后扬尘的产生量，具体情况见表3.</w:t>
      </w:r>
      <w:r>
        <w:rPr>
          <w:rFonts w:hint="eastAsia" w:ascii="Times New Roman" w:hAnsi="Times New Roman"/>
          <w:color w:val="FF0000"/>
          <w:sz w:val="24"/>
          <w:u w:val="single"/>
          <w:lang w:val="en-US" w:eastAsia="zh-CN"/>
        </w:rPr>
        <w:t>4</w:t>
      </w:r>
      <w:r>
        <w:rPr>
          <w:rFonts w:ascii="Times New Roman" w:hAnsi="Times New Roman"/>
          <w:color w:val="FF0000"/>
          <w:sz w:val="24"/>
          <w:u w:val="single"/>
        </w:rPr>
        <w:t>-17。</w:t>
      </w:r>
    </w:p>
    <w:p>
      <w:pPr>
        <w:spacing w:line="276" w:lineRule="auto"/>
        <w:ind w:firstLine="482" w:firstLineChars="200"/>
        <w:jc w:val="center"/>
        <w:rPr>
          <w:rFonts w:ascii="Times New Roman" w:hAnsi="Times New Roman" w:eastAsiaTheme="minorEastAsia"/>
          <w:b/>
          <w:color w:val="FF0000"/>
          <w:sz w:val="24"/>
          <w:szCs w:val="24"/>
          <w:u w:val="single"/>
        </w:rPr>
      </w:pPr>
      <w:r>
        <w:rPr>
          <w:rFonts w:ascii="Times New Roman" w:hAnsi="Times New Roman" w:eastAsiaTheme="minorEastAsia"/>
          <w:b/>
          <w:color w:val="FF0000"/>
          <w:sz w:val="24"/>
          <w:szCs w:val="24"/>
          <w:u w:val="single"/>
        </w:rPr>
        <w:t>表3.</w:t>
      </w:r>
      <w:r>
        <w:rPr>
          <w:rFonts w:hint="eastAsia" w:ascii="Times New Roman" w:hAnsi="Times New Roman" w:eastAsiaTheme="minorEastAsia"/>
          <w:b/>
          <w:color w:val="FF0000"/>
          <w:sz w:val="24"/>
          <w:szCs w:val="24"/>
          <w:u w:val="single"/>
          <w:lang w:val="en-US" w:eastAsia="zh-CN"/>
        </w:rPr>
        <w:t>4</w:t>
      </w:r>
      <w:r>
        <w:rPr>
          <w:rFonts w:ascii="Times New Roman" w:hAnsi="Times New Roman" w:eastAsiaTheme="minorEastAsia"/>
          <w:b/>
          <w:color w:val="FF0000"/>
          <w:sz w:val="24"/>
          <w:szCs w:val="24"/>
          <w:u w:val="single"/>
        </w:rPr>
        <w:t>-17  本项目煤炭装卸起尘量表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283"/>
        <w:gridCol w:w="1702"/>
        <w:gridCol w:w="1303"/>
        <w:gridCol w:w="1112"/>
        <w:gridCol w:w="1551"/>
        <w:gridCol w:w="21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5" w:type="pct"/>
            <w:vMerge w:val="restart"/>
            <w:vAlign w:val="center"/>
          </w:tcPr>
          <w:p>
            <w:pPr>
              <w:autoSpaceDE w:val="0"/>
              <w:autoSpaceDN w:val="0"/>
              <w:adjustRightInd w:val="0"/>
              <w:snapToGrid w:val="0"/>
              <w:jc w:val="center"/>
              <w:rPr>
                <w:rFonts w:ascii="Times New Roman" w:hAnsi="Times New Roman" w:eastAsiaTheme="minorEastAsia"/>
                <w:b/>
                <w:color w:val="FF0000"/>
                <w:kern w:val="10"/>
                <w:u w:val="single"/>
                <w:lang w:val="zh-CN"/>
              </w:rPr>
            </w:pPr>
            <w:r>
              <w:rPr>
                <w:rFonts w:ascii="Times New Roman" w:hAnsi="Times New Roman" w:eastAsiaTheme="minorEastAsia"/>
                <w:b/>
                <w:color w:val="FF0000"/>
                <w:kern w:val="10"/>
                <w:u w:val="single"/>
                <w:lang w:val="zh-CN"/>
              </w:rPr>
              <w:t>装卸量</w:t>
            </w:r>
          </w:p>
        </w:tc>
        <w:tc>
          <w:tcPr>
            <w:tcW w:w="935" w:type="pct"/>
            <w:vMerge w:val="restart"/>
            <w:vAlign w:val="center"/>
          </w:tcPr>
          <w:p>
            <w:pPr>
              <w:autoSpaceDE w:val="0"/>
              <w:autoSpaceDN w:val="0"/>
              <w:adjustRightInd w:val="0"/>
              <w:snapToGrid w:val="0"/>
              <w:jc w:val="center"/>
              <w:rPr>
                <w:rFonts w:ascii="Times New Roman" w:hAnsi="Times New Roman" w:eastAsiaTheme="minorEastAsia"/>
                <w:b/>
                <w:color w:val="FF0000"/>
                <w:kern w:val="10"/>
                <w:u w:val="single"/>
                <w:lang w:val="zh-CN"/>
              </w:rPr>
            </w:pPr>
            <w:r>
              <w:rPr>
                <w:rFonts w:ascii="Times New Roman" w:hAnsi="Times New Roman" w:eastAsiaTheme="minorEastAsia"/>
                <w:b/>
                <w:color w:val="FF0000"/>
                <w:kern w:val="10"/>
                <w:u w:val="single"/>
                <w:lang w:val="zh-CN"/>
              </w:rPr>
              <w:t>作业落差</w:t>
            </w:r>
          </w:p>
        </w:tc>
        <w:tc>
          <w:tcPr>
            <w:tcW w:w="716" w:type="pct"/>
            <w:vMerge w:val="restart"/>
            <w:vAlign w:val="center"/>
          </w:tcPr>
          <w:p>
            <w:pPr>
              <w:autoSpaceDE w:val="0"/>
              <w:autoSpaceDN w:val="0"/>
              <w:adjustRightInd w:val="0"/>
              <w:snapToGrid w:val="0"/>
              <w:jc w:val="center"/>
              <w:rPr>
                <w:rFonts w:ascii="Times New Roman" w:hAnsi="Times New Roman" w:eastAsiaTheme="minorEastAsia"/>
                <w:b/>
                <w:color w:val="FF0000"/>
                <w:kern w:val="10"/>
                <w:u w:val="single"/>
                <w:lang w:val="zh-CN"/>
              </w:rPr>
            </w:pPr>
            <w:r>
              <w:rPr>
                <w:rFonts w:ascii="Times New Roman" w:hAnsi="Times New Roman" w:eastAsiaTheme="minorEastAsia"/>
                <w:b/>
                <w:color w:val="FF0000"/>
                <w:kern w:val="10"/>
                <w:u w:val="single"/>
                <w:lang w:val="zh-CN"/>
              </w:rPr>
              <w:t>平均风速</w:t>
            </w:r>
          </w:p>
        </w:tc>
        <w:tc>
          <w:tcPr>
            <w:tcW w:w="611" w:type="pct"/>
            <w:vMerge w:val="restart"/>
            <w:vAlign w:val="center"/>
          </w:tcPr>
          <w:p>
            <w:pPr>
              <w:autoSpaceDE w:val="0"/>
              <w:autoSpaceDN w:val="0"/>
              <w:adjustRightInd w:val="0"/>
              <w:snapToGrid w:val="0"/>
              <w:jc w:val="center"/>
              <w:rPr>
                <w:rFonts w:ascii="Times New Roman" w:hAnsi="Times New Roman" w:eastAsiaTheme="minorEastAsia"/>
                <w:b/>
                <w:color w:val="FF0000"/>
                <w:kern w:val="10"/>
                <w:u w:val="single"/>
                <w:lang w:val="zh-CN"/>
              </w:rPr>
            </w:pPr>
            <w:r>
              <w:rPr>
                <w:rFonts w:ascii="Times New Roman" w:hAnsi="Times New Roman" w:eastAsiaTheme="minorEastAsia"/>
                <w:b/>
                <w:color w:val="FF0000"/>
                <w:kern w:val="10"/>
                <w:u w:val="single"/>
                <w:lang w:val="zh-CN"/>
              </w:rPr>
              <w:t>含水率</w:t>
            </w:r>
          </w:p>
        </w:tc>
        <w:tc>
          <w:tcPr>
            <w:tcW w:w="2033" w:type="pct"/>
            <w:gridSpan w:val="2"/>
            <w:vAlign w:val="center"/>
          </w:tcPr>
          <w:p>
            <w:pPr>
              <w:autoSpaceDE w:val="0"/>
              <w:autoSpaceDN w:val="0"/>
              <w:adjustRightInd w:val="0"/>
              <w:snapToGrid w:val="0"/>
              <w:jc w:val="center"/>
              <w:rPr>
                <w:rFonts w:ascii="Times New Roman" w:hAnsi="Times New Roman" w:eastAsiaTheme="minorEastAsia"/>
                <w:b/>
                <w:color w:val="FF0000"/>
                <w:kern w:val="10"/>
                <w:u w:val="single"/>
                <w:lang w:val="zh-CN"/>
              </w:rPr>
            </w:pPr>
            <w:r>
              <w:rPr>
                <w:rFonts w:ascii="Times New Roman" w:hAnsi="Times New Roman" w:eastAsiaTheme="minorEastAsia"/>
                <w:b/>
                <w:color w:val="FF0000"/>
                <w:kern w:val="10"/>
                <w:u w:val="single"/>
                <w:lang w:val="zh-CN"/>
              </w:rPr>
              <w:t>起尘量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5" w:type="pct"/>
            <w:vMerge w:val="continue"/>
            <w:vAlign w:val="center"/>
          </w:tcPr>
          <w:p>
            <w:pPr>
              <w:autoSpaceDE w:val="0"/>
              <w:autoSpaceDN w:val="0"/>
              <w:adjustRightInd w:val="0"/>
              <w:snapToGrid w:val="0"/>
              <w:jc w:val="center"/>
              <w:rPr>
                <w:rFonts w:ascii="Times New Roman" w:hAnsi="Times New Roman" w:eastAsiaTheme="minorEastAsia"/>
                <w:b/>
                <w:color w:val="FF0000"/>
                <w:kern w:val="10"/>
                <w:u w:val="single"/>
                <w:lang w:val="zh-CN"/>
              </w:rPr>
            </w:pPr>
          </w:p>
        </w:tc>
        <w:tc>
          <w:tcPr>
            <w:tcW w:w="935" w:type="pct"/>
            <w:vMerge w:val="continue"/>
            <w:vAlign w:val="center"/>
          </w:tcPr>
          <w:p>
            <w:pPr>
              <w:autoSpaceDE w:val="0"/>
              <w:autoSpaceDN w:val="0"/>
              <w:adjustRightInd w:val="0"/>
              <w:snapToGrid w:val="0"/>
              <w:jc w:val="center"/>
              <w:rPr>
                <w:rFonts w:ascii="Times New Roman" w:hAnsi="Times New Roman" w:eastAsiaTheme="minorEastAsia"/>
                <w:b/>
                <w:color w:val="FF0000"/>
                <w:kern w:val="10"/>
                <w:u w:val="single"/>
                <w:lang w:val="zh-CN"/>
              </w:rPr>
            </w:pPr>
          </w:p>
        </w:tc>
        <w:tc>
          <w:tcPr>
            <w:tcW w:w="716" w:type="pct"/>
            <w:vMerge w:val="continue"/>
            <w:vAlign w:val="center"/>
          </w:tcPr>
          <w:p>
            <w:pPr>
              <w:autoSpaceDE w:val="0"/>
              <w:autoSpaceDN w:val="0"/>
              <w:adjustRightInd w:val="0"/>
              <w:snapToGrid w:val="0"/>
              <w:jc w:val="center"/>
              <w:rPr>
                <w:rFonts w:ascii="Times New Roman" w:hAnsi="Times New Roman" w:eastAsiaTheme="minorEastAsia"/>
                <w:b/>
                <w:color w:val="FF0000"/>
                <w:kern w:val="10"/>
                <w:u w:val="single"/>
                <w:lang w:val="zh-CN"/>
              </w:rPr>
            </w:pPr>
          </w:p>
        </w:tc>
        <w:tc>
          <w:tcPr>
            <w:tcW w:w="611" w:type="pct"/>
            <w:vMerge w:val="continue"/>
            <w:vAlign w:val="center"/>
          </w:tcPr>
          <w:p>
            <w:pPr>
              <w:autoSpaceDE w:val="0"/>
              <w:autoSpaceDN w:val="0"/>
              <w:adjustRightInd w:val="0"/>
              <w:snapToGrid w:val="0"/>
              <w:jc w:val="center"/>
              <w:rPr>
                <w:rFonts w:ascii="Times New Roman" w:hAnsi="Times New Roman" w:eastAsiaTheme="minorEastAsia"/>
                <w:b/>
                <w:color w:val="FF0000"/>
                <w:kern w:val="10"/>
                <w:u w:val="single"/>
                <w:lang w:val="zh-CN"/>
              </w:rPr>
            </w:pPr>
          </w:p>
        </w:tc>
        <w:tc>
          <w:tcPr>
            <w:tcW w:w="852" w:type="pct"/>
            <w:vAlign w:val="center"/>
          </w:tcPr>
          <w:p>
            <w:pPr>
              <w:autoSpaceDE w:val="0"/>
              <w:autoSpaceDN w:val="0"/>
              <w:adjustRightInd w:val="0"/>
              <w:snapToGrid w:val="0"/>
              <w:jc w:val="center"/>
              <w:rPr>
                <w:rFonts w:ascii="Times New Roman" w:hAnsi="Times New Roman" w:eastAsiaTheme="minorEastAsia"/>
                <w:b/>
                <w:color w:val="FF0000"/>
                <w:kern w:val="10"/>
                <w:u w:val="single"/>
                <w:lang w:val="zh-CN"/>
              </w:rPr>
            </w:pPr>
            <w:r>
              <w:rPr>
                <w:rFonts w:ascii="Times New Roman" w:hAnsi="Times New Roman" w:eastAsiaTheme="minorEastAsia"/>
                <w:b/>
                <w:color w:val="FF0000"/>
                <w:kern w:val="10"/>
                <w:u w:val="single"/>
                <w:lang w:val="zh-CN"/>
              </w:rPr>
              <w:t>粗煤尘</w:t>
            </w:r>
          </w:p>
        </w:tc>
        <w:tc>
          <w:tcPr>
            <w:tcW w:w="1181" w:type="pct"/>
            <w:vAlign w:val="center"/>
          </w:tcPr>
          <w:p>
            <w:pPr>
              <w:autoSpaceDE w:val="0"/>
              <w:autoSpaceDN w:val="0"/>
              <w:adjustRightInd w:val="0"/>
              <w:snapToGrid w:val="0"/>
              <w:jc w:val="center"/>
              <w:rPr>
                <w:rFonts w:ascii="Times New Roman" w:hAnsi="Times New Roman" w:eastAsiaTheme="minorEastAsia"/>
                <w:b/>
                <w:color w:val="FF0000"/>
                <w:kern w:val="10"/>
                <w:u w:val="single"/>
                <w:lang w:val="zh-CN"/>
              </w:rPr>
            </w:pPr>
            <w:r>
              <w:rPr>
                <w:rFonts w:ascii="Times New Roman" w:hAnsi="Times New Roman" w:eastAsiaTheme="minorEastAsia"/>
                <w:b/>
                <w:color w:val="FF0000"/>
                <w:kern w:val="10"/>
                <w:u w:val="single"/>
                <w:lang w:val="zh-CN"/>
              </w:rPr>
              <w:t>细煤尘（TSP）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5" w:type="pct"/>
            <w:vAlign w:val="center"/>
          </w:tcPr>
          <w:p>
            <w:pPr>
              <w:autoSpaceDE w:val="0"/>
              <w:autoSpaceDN w:val="0"/>
              <w:adjustRightInd w:val="0"/>
              <w:snapToGrid w:val="0"/>
              <w:jc w:val="center"/>
              <w:rPr>
                <w:rFonts w:ascii="Times New Roman" w:hAnsi="Times New Roman" w:eastAsiaTheme="minorEastAsia"/>
                <w:color w:val="FF0000"/>
                <w:kern w:val="10"/>
                <w:u w:val="single"/>
                <w:lang w:val="zh-CN"/>
              </w:rPr>
            </w:pPr>
            <w:r>
              <w:rPr>
                <w:rFonts w:ascii="Times New Roman" w:hAnsi="Times New Roman" w:eastAsiaTheme="minorEastAsia"/>
                <w:color w:val="FF0000"/>
                <w:kern w:val="10"/>
                <w:u w:val="single"/>
              </w:rPr>
              <w:t>359.29t/h</w:t>
            </w:r>
          </w:p>
        </w:tc>
        <w:tc>
          <w:tcPr>
            <w:tcW w:w="935" w:type="pct"/>
            <w:vAlign w:val="center"/>
          </w:tcPr>
          <w:p>
            <w:pPr>
              <w:autoSpaceDE w:val="0"/>
              <w:autoSpaceDN w:val="0"/>
              <w:adjustRightInd w:val="0"/>
              <w:snapToGrid w:val="0"/>
              <w:jc w:val="center"/>
              <w:rPr>
                <w:rFonts w:ascii="Times New Roman" w:hAnsi="Times New Roman" w:eastAsiaTheme="minorEastAsia"/>
                <w:color w:val="FF0000"/>
                <w:kern w:val="10"/>
                <w:u w:val="single"/>
                <w:lang w:val="zh-CN"/>
              </w:rPr>
            </w:pPr>
            <w:r>
              <w:rPr>
                <w:rFonts w:ascii="Times New Roman" w:hAnsi="Times New Roman" w:eastAsiaTheme="minorEastAsia"/>
                <w:color w:val="FF0000"/>
                <w:kern w:val="10"/>
                <w:u w:val="single"/>
                <w:lang w:val="zh-CN"/>
              </w:rPr>
              <w:t>1.0m</w:t>
            </w:r>
          </w:p>
        </w:tc>
        <w:tc>
          <w:tcPr>
            <w:tcW w:w="716" w:type="pct"/>
            <w:vAlign w:val="center"/>
          </w:tcPr>
          <w:p>
            <w:pPr>
              <w:autoSpaceDE w:val="0"/>
              <w:autoSpaceDN w:val="0"/>
              <w:adjustRightInd w:val="0"/>
              <w:snapToGrid w:val="0"/>
              <w:jc w:val="center"/>
              <w:rPr>
                <w:rFonts w:ascii="Times New Roman" w:hAnsi="Times New Roman" w:eastAsiaTheme="minorEastAsia"/>
                <w:color w:val="FF0000"/>
                <w:kern w:val="10"/>
                <w:u w:val="single"/>
                <w:lang w:val="zh-CN"/>
              </w:rPr>
            </w:pPr>
            <w:r>
              <w:rPr>
                <w:rFonts w:ascii="Times New Roman" w:hAnsi="Times New Roman" w:eastAsiaTheme="minorEastAsia"/>
                <w:color w:val="FF0000"/>
                <w:kern w:val="10"/>
                <w:u w:val="single"/>
              </w:rPr>
              <w:t>3.0</w:t>
            </w:r>
            <w:r>
              <w:rPr>
                <w:rFonts w:ascii="Times New Roman" w:hAnsi="Times New Roman" w:eastAsiaTheme="minorEastAsia"/>
                <w:color w:val="FF0000"/>
                <w:kern w:val="10"/>
                <w:u w:val="single"/>
                <w:lang w:val="zh-CN"/>
              </w:rPr>
              <w:t>m/s</w:t>
            </w:r>
          </w:p>
        </w:tc>
        <w:tc>
          <w:tcPr>
            <w:tcW w:w="611" w:type="pct"/>
            <w:vAlign w:val="center"/>
          </w:tcPr>
          <w:p>
            <w:pPr>
              <w:autoSpaceDE w:val="0"/>
              <w:autoSpaceDN w:val="0"/>
              <w:adjustRightInd w:val="0"/>
              <w:snapToGrid w:val="0"/>
              <w:jc w:val="center"/>
              <w:rPr>
                <w:rFonts w:ascii="Times New Roman" w:hAnsi="Times New Roman" w:eastAsiaTheme="minorEastAsia"/>
                <w:color w:val="FF0000"/>
                <w:kern w:val="10"/>
                <w:u w:val="single"/>
                <w:lang w:val="zh-CN"/>
              </w:rPr>
            </w:pPr>
            <w:r>
              <w:rPr>
                <w:rFonts w:ascii="Times New Roman" w:hAnsi="Times New Roman" w:eastAsiaTheme="minorEastAsia"/>
                <w:color w:val="FF0000"/>
                <w:kern w:val="10"/>
                <w:u w:val="single"/>
              </w:rPr>
              <w:t>8</w:t>
            </w:r>
            <w:r>
              <w:rPr>
                <w:rFonts w:ascii="Times New Roman" w:hAnsi="Times New Roman" w:eastAsiaTheme="minorEastAsia"/>
                <w:color w:val="FF0000"/>
                <w:kern w:val="10"/>
                <w:u w:val="single"/>
                <w:lang w:val="zh-CN"/>
              </w:rPr>
              <w:t>%</w:t>
            </w:r>
          </w:p>
        </w:tc>
        <w:tc>
          <w:tcPr>
            <w:tcW w:w="852" w:type="pct"/>
            <w:vAlign w:val="center"/>
          </w:tcPr>
          <w:p>
            <w:pPr>
              <w:autoSpaceDE w:val="0"/>
              <w:autoSpaceDN w:val="0"/>
              <w:adjustRightInd w:val="0"/>
              <w:snapToGrid w:val="0"/>
              <w:jc w:val="center"/>
              <w:rPr>
                <w:rFonts w:ascii="Times New Roman" w:hAnsi="Times New Roman" w:eastAsiaTheme="minorEastAsia"/>
                <w:color w:val="FF0000"/>
                <w:kern w:val="10"/>
                <w:u w:val="single"/>
                <w:lang w:val="zh-CN"/>
              </w:rPr>
            </w:pPr>
            <w:r>
              <w:rPr>
                <w:rFonts w:ascii="Times New Roman" w:hAnsi="Times New Roman" w:eastAsiaTheme="minorEastAsia"/>
                <w:color w:val="FF0000"/>
                <w:kern w:val="10"/>
                <w:u w:val="single"/>
                <w:lang w:val="zh-CN"/>
              </w:rPr>
              <w:t>10.133kg/h</w:t>
            </w:r>
          </w:p>
        </w:tc>
        <w:tc>
          <w:tcPr>
            <w:tcW w:w="1181" w:type="pct"/>
            <w:vAlign w:val="center"/>
          </w:tcPr>
          <w:p>
            <w:pPr>
              <w:autoSpaceDE w:val="0"/>
              <w:autoSpaceDN w:val="0"/>
              <w:adjustRightInd w:val="0"/>
              <w:snapToGrid w:val="0"/>
              <w:jc w:val="center"/>
              <w:rPr>
                <w:rFonts w:ascii="Times New Roman" w:hAnsi="Times New Roman" w:eastAsiaTheme="minorEastAsia"/>
                <w:color w:val="FF0000"/>
                <w:kern w:val="10"/>
                <w:u w:val="single"/>
                <w:lang w:val="zh-CN"/>
              </w:rPr>
            </w:pPr>
            <w:r>
              <w:rPr>
                <w:rFonts w:ascii="Times New Roman" w:hAnsi="Times New Roman" w:eastAsiaTheme="minorEastAsia"/>
                <w:color w:val="FF0000"/>
                <w:kern w:val="10"/>
                <w:u w:val="single"/>
              </w:rPr>
              <w:t>0.5</w:t>
            </w:r>
            <w:r>
              <w:rPr>
                <w:rFonts w:ascii="Times New Roman" w:hAnsi="Times New Roman" w:eastAsiaTheme="minorEastAsia"/>
                <w:color w:val="FF0000"/>
                <w:kern w:val="10"/>
                <w:u w:val="single"/>
                <w:lang w:val="zh-CN"/>
              </w:rPr>
              <w:t>kg/h</w:t>
            </w:r>
          </w:p>
        </w:tc>
      </w:tr>
    </w:tbl>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p>
    <w:p>
      <w:pPr>
        <w:adjustRightInd w:val="0"/>
        <w:snapToGrid w:val="0"/>
        <w:spacing w:line="360" w:lineRule="auto"/>
        <w:ind w:firstLine="482" w:firstLineChars="200"/>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2、港区装卸机械、船舶燃油废气</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改建港区装卸机械（如浮吊、皮带机、清仓机等）均采用电作为能源，无废气产生；而进港船舶一般以柴油作为燃料，在作业过程中将产生一定量的燃油废气，其主要污染物为CO、NOx、SO</w:t>
      </w:r>
      <w:r>
        <w:rPr>
          <w:rFonts w:ascii="Times New Roman" w:hAnsi="Times New Roman" w:eastAsiaTheme="minorEastAsia"/>
          <w:color w:val="000000" w:themeColor="text1"/>
          <w:sz w:val="24"/>
          <w:szCs w:val="24"/>
          <w:vertAlign w:val="subscript"/>
          <w14:textFill>
            <w14:solidFill>
              <w14:schemeClr w14:val="tx1"/>
            </w14:solidFill>
          </w14:textFill>
        </w:rPr>
        <w:t>2</w:t>
      </w:r>
      <w:r>
        <w:rPr>
          <w:rFonts w:ascii="Times New Roman" w:hAnsi="Times New Roman" w:eastAsiaTheme="minorEastAsia"/>
          <w:color w:val="000000" w:themeColor="text1"/>
          <w:sz w:val="24"/>
          <w:szCs w:val="24"/>
          <w14:textFill>
            <w14:solidFill>
              <w14:schemeClr w14:val="tx1"/>
            </w14:solidFill>
          </w14:textFill>
        </w:rPr>
        <w:t>及烃类物质。</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改建工程煤炭吞吐量为200万t/a，每年进港船舶约为360艘。根据同类资料，一般每燃烧1吨柴油，各污染物的排放量分别为：CO 0.238kg、NOx 8.57kg、SO</w:t>
      </w:r>
      <w:r>
        <w:rPr>
          <w:rFonts w:ascii="Times New Roman" w:hAnsi="Times New Roman" w:eastAsiaTheme="minorEastAsia"/>
          <w:color w:val="000000" w:themeColor="text1"/>
          <w:sz w:val="24"/>
          <w:szCs w:val="24"/>
          <w:vertAlign w:val="subscript"/>
          <w14:textFill>
            <w14:solidFill>
              <w14:schemeClr w14:val="tx1"/>
            </w14:solidFill>
          </w14:textFill>
        </w:rPr>
        <w:t>2</w:t>
      </w:r>
      <w:r>
        <w:rPr>
          <w:rFonts w:ascii="Times New Roman" w:hAnsi="Times New Roman" w:eastAsiaTheme="minorEastAsia"/>
          <w:color w:val="000000" w:themeColor="text1"/>
          <w:sz w:val="24"/>
          <w:szCs w:val="24"/>
          <w14:textFill>
            <w14:solidFill>
              <w14:schemeClr w14:val="tx1"/>
            </w14:solidFill>
          </w14:textFill>
        </w:rPr>
        <w:t xml:space="preserve"> 9.34kg。平均每艘船在港内燃油消耗量按0.034t计，则工程进港船舶燃油废气中各污染物的排放量分别为：CO 2.913kg/a、NOx 104.899kg/a、SO</w:t>
      </w:r>
      <w:r>
        <w:rPr>
          <w:rFonts w:ascii="Times New Roman" w:hAnsi="Times New Roman" w:eastAsiaTheme="minorEastAsia"/>
          <w:color w:val="000000" w:themeColor="text1"/>
          <w:sz w:val="24"/>
          <w:szCs w:val="24"/>
          <w:vertAlign w:val="subscript"/>
          <w14:textFill>
            <w14:solidFill>
              <w14:schemeClr w14:val="tx1"/>
            </w14:solidFill>
          </w14:textFill>
        </w:rPr>
        <w:t>2</w:t>
      </w:r>
      <w:r>
        <w:rPr>
          <w:rFonts w:ascii="Times New Roman" w:hAnsi="Times New Roman" w:eastAsiaTheme="minorEastAsia"/>
          <w:color w:val="000000" w:themeColor="text1"/>
          <w:sz w:val="24"/>
          <w:szCs w:val="24"/>
          <w14:textFill>
            <w14:solidFill>
              <w14:schemeClr w14:val="tx1"/>
            </w14:solidFill>
          </w14:textFill>
        </w:rPr>
        <w:t xml:space="preserve"> 114.322kg/a。</w:t>
      </w:r>
    </w:p>
    <w:p>
      <w:pPr>
        <w:pStyle w:val="5"/>
        <w:rPr>
          <w:rFonts w:eastAsiaTheme="minorEastAsia"/>
        </w:rPr>
      </w:pPr>
      <w:r>
        <w:rPr>
          <w:rFonts w:eastAsiaTheme="minorEastAsia"/>
        </w:rPr>
        <w:t>噪声</w:t>
      </w:r>
    </w:p>
    <w:p>
      <w:pPr>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本项目营运期噪声污染源主要为装卸噪声、船舶噪声和港口机械作业噪声等。各噪声源的噪声声级见表3.</w:t>
      </w:r>
      <w:r>
        <w:rPr>
          <w:rFonts w:hint="eastAsia" w:ascii="Times New Roman" w:hAnsi="Times New Roman" w:eastAsiaTheme="minorEastAsia"/>
          <w:color w:val="000000"/>
          <w:sz w:val="24"/>
          <w:szCs w:val="24"/>
          <w:lang w:val="en-US" w:eastAsia="zh-CN"/>
        </w:rPr>
        <w:t>4</w:t>
      </w:r>
      <w:r>
        <w:rPr>
          <w:rFonts w:ascii="Times New Roman" w:hAnsi="Times New Roman" w:eastAsiaTheme="minorEastAsia"/>
          <w:color w:val="000000"/>
          <w:sz w:val="24"/>
          <w:szCs w:val="24"/>
        </w:rPr>
        <w:t>-18。</w:t>
      </w:r>
    </w:p>
    <w:p>
      <w:pPr>
        <w:spacing w:line="276" w:lineRule="auto"/>
        <w:ind w:firstLine="482" w:firstLineChars="200"/>
        <w:jc w:val="right"/>
        <w:rPr>
          <w:rFonts w:ascii="Times New Roman" w:hAnsi="Times New Roman" w:eastAsiaTheme="minorEastAsia"/>
          <w:b/>
          <w:color w:val="000000"/>
          <w:sz w:val="24"/>
          <w:szCs w:val="24"/>
        </w:rPr>
      </w:pPr>
      <w:bookmarkStart w:id="43" w:name="_Toc370110290"/>
      <w:r>
        <w:rPr>
          <w:rFonts w:ascii="Times New Roman" w:hAnsi="Times New Roman" w:eastAsiaTheme="minorEastAsia"/>
          <w:b/>
          <w:color w:val="000000"/>
          <w:sz w:val="24"/>
          <w:szCs w:val="24"/>
        </w:rPr>
        <w:t>表3.</w:t>
      </w:r>
      <w:r>
        <w:rPr>
          <w:rFonts w:hint="eastAsia" w:ascii="Times New Roman" w:hAnsi="Times New Roman" w:eastAsiaTheme="minorEastAsia"/>
          <w:b/>
          <w:color w:val="000000"/>
          <w:sz w:val="24"/>
          <w:szCs w:val="24"/>
          <w:lang w:val="en-US" w:eastAsia="zh-CN"/>
        </w:rPr>
        <w:t>4</w:t>
      </w:r>
      <w:r>
        <w:rPr>
          <w:rFonts w:ascii="Times New Roman" w:hAnsi="Times New Roman" w:eastAsiaTheme="minorEastAsia"/>
          <w:b/>
          <w:color w:val="000000"/>
          <w:sz w:val="24"/>
          <w:szCs w:val="24"/>
        </w:rPr>
        <w:t>-18  本项目主要噪声源排放源强统计</w:t>
      </w:r>
      <w:bookmarkEnd w:id="43"/>
      <w:r>
        <w:rPr>
          <w:rFonts w:ascii="Times New Roman" w:hAnsi="Times New Roman" w:eastAsiaTheme="minorEastAsia"/>
          <w:b/>
          <w:color w:val="000000"/>
          <w:sz w:val="24"/>
          <w:szCs w:val="24"/>
        </w:rPr>
        <w:t xml:space="preserve">表      </w:t>
      </w:r>
      <w:r>
        <w:rPr>
          <w:rFonts w:ascii="Times New Roman" w:hAnsi="Times New Roman" w:eastAsiaTheme="minorEastAsia"/>
          <w:color w:val="000000"/>
          <w:sz w:val="24"/>
          <w:szCs w:val="24"/>
        </w:rPr>
        <w:t>单位：dB(A)</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7" w:type="dxa"/>
          <w:bottom w:w="0" w:type="dxa"/>
          <w:right w:w="17" w:type="dxa"/>
        </w:tblCellMar>
      </w:tblPr>
      <w:tblGrid>
        <w:gridCol w:w="1107"/>
        <w:gridCol w:w="1451"/>
        <w:gridCol w:w="1489"/>
        <w:gridCol w:w="3627"/>
        <w:gridCol w:w="14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608"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序号</w:t>
            </w:r>
          </w:p>
        </w:tc>
        <w:tc>
          <w:tcPr>
            <w:tcW w:w="797"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设备名称</w:t>
            </w:r>
          </w:p>
        </w:tc>
        <w:tc>
          <w:tcPr>
            <w:tcW w:w="818"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治理前源强</w:t>
            </w:r>
          </w:p>
        </w:tc>
        <w:tc>
          <w:tcPr>
            <w:tcW w:w="1992"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治理措施</w:t>
            </w:r>
          </w:p>
        </w:tc>
        <w:tc>
          <w:tcPr>
            <w:tcW w:w="785"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治理后源强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60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w:t>
            </w:r>
          </w:p>
        </w:tc>
        <w:tc>
          <w:tcPr>
            <w:tcW w:w="79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进港船舶</w:t>
            </w:r>
          </w:p>
        </w:tc>
        <w:tc>
          <w:tcPr>
            <w:tcW w:w="81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105</w:t>
            </w:r>
          </w:p>
        </w:tc>
        <w:tc>
          <w:tcPr>
            <w:tcW w:w="1992" w:type="pct"/>
            <w:vAlign w:val="center"/>
          </w:tcPr>
          <w:p>
            <w:pPr>
              <w:adjustRightInd w:val="0"/>
              <w:snapToGrid w:val="0"/>
              <w:rPr>
                <w:rFonts w:ascii="Times New Roman" w:hAnsi="Times New Roman" w:eastAsiaTheme="minorEastAsia"/>
              </w:rPr>
            </w:pPr>
            <w:r>
              <w:rPr>
                <w:rFonts w:ascii="Times New Roman" w:hAnsi="Times New Roman" w:eastAsiaTheme="minorEastAsia"/>
              </w:rPr>
              <w:t>降低航速，船舶发动机及排气进行隔声处理</w:t>
            </w:r>
          </w:p>
        </w:tc>
        <w:tc>
          <w:tcPr>
            <w:tcW w:w="785"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60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w:t>
            </w:r>
          </w:p>
        </w:tc>
        <w:tc>
          <w:tcPr>
            <w:tcW w:w="79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浮吊</w:t>
            </w:r>
          </w:p>
        </w:tc>
        <w:tc>
          <w:tcPr>
            <w:tcW w:w="81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80</w:t>
            </w:r>
          </w:p>
        </w:tc>
        <w:tc>
          <w:tcPr>
            <w:tcW w:w="1992" w:type="pct"/>
            <w:vMerge w:val="restart"/>
            <w:vAlign w:val="center"/>
          </w:tcPr>
          <w:p>
            <w:pPr>
              <w:adjustRightInd w:val="0"/>
              <w:snapToGrid w:val="0"/>
              <w:rPr>
                <w:rFonts w:ascii="Times New Roman" w:hAnsi="Times New Roman" w:eastAsiaTheme="minorEastAsia"/>
              </w:rPr>
            </w:pPr>
            <w:r>
              <w:rPr>
                <w:rFonts w:ascii="Times New Roman" w:hAnsi="Times New Roman" w:eastAsiaTheme="minorEastAsia"/>
              </w:rPr>
              <w:t>采用低噪声设备，建筑隔声，关键部位加胶垫以减少振动，设吸收板或隔声罩或安装消声器以减少噪声</w:t>
            </w:r>
          </w:p>
        </w:tc>
        <w:tc>
          <w:tcPr>
            <w:tcW w:w="785"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340" w:hRule="atLeast"/>
          <w:jc w:val="center"/>
        </w:trPr>
        <w:tc>
          <w:tcPr>
            <w:tcW w:w="60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w:t>
            </w:r>
          </w:p>
        </w:tc>
        <w:tc>
          <w:tcPr>
            <w:tcW w:w="79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传送带</w:t>
            </w:r>
          </w:p>
        </w:tc>
        <w:tc>
          <w:tcPr>
            <w:tcW w:w="81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86</w:t>
            </w:r>
          </w:p>
        </w:tc>
        <w:tc>
          <w:tcPr>
            <w:tcW w:w="1992" w:type="pct"/>
            <w:vMerge w:val="continue"/>
            <w:vAlign w:val="center"/>
          </w:tcPr>
          <w:p>
            <w:pPr>
              <w:adjustRightInd w:val="0"/>
              <w:snapToGrid w:val="0"/>
              <w:rPr>
                <w:rFonts w:ascii="Times New Roman" w:hAnsi="Times New Roman" w:eastAsiaTheme="minorEastAsia"/>
              </w:rPr>
            </w:pPr>
          </w:p>
        </w:tc>
        <w:tc>
          <w:tcPr>
            <w:tcW w:w="785"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71</w:t>
            </w:r>
          </w:p>
        </w:tc>
      </w:tr>
    </w:tbl>
    <w:p>
      <w:pPr>
        <w:adjustRightInd w:val="0"/>
        <w:snapToGrid w:val="0"/>
        <w:spacing w:line="360" w:lineRule="auto"/>
        <w:ind w:firstLine="480" w:firstLineChars="200"/>
        <w:rPr>
          <w:rFonts w:ascii="Times New Roman" w:hAnsi="Times New Roman" w:eastAsiaTheme="minorEastAsia"/>
          <w:color w:val="000000"/>
          <w:sz w:val="24"/>
          <w:szCs w:val="24"/>
        </w:rPr>
      </w:pPr>
    </w:p>
    <w:p>
      <w:pPr>
        <w:pStyle w:val="5"/>
        <w:rPr>
          <w:rFonts w:eastAsiaTheme="minorEastAsia"/>
        </w:rPr>
      </w:pPr>
      <w:r>
        <w:rPr>
          <w:rFonts w:eastAsiaTheme="minorEastAsia"/>
        </w:rPr>
        <w:t>固体废弃物</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lang w:val="zh-CN"/>
        </w:rPr>
      </w:pPr>
      <w:r>
        <w:rPr>
          <w:rFonts w:ascii="Times New Roman" w:hAnsi="Times New Roman" w:eastAsiaTheme="minorEastAsia"/>
          <w:color w:val="000000"/>
          <w:sz w:val="24"/>
          <w:szCs w:val="24"/>
          <w:lang w:val="zh-CN"/>
        </w:rPr>
        <w:t>项目产生的固体废物主要包括港区工作人员生活垃圾、沉淀池污泥，以及机修废物（废油渣和废含油抹布）。</w:t>
      </w: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lang w:val="zh-CN"/>
        </w:rPr>
      </w:pPr>
      <w:r>
        <w:rPr>
          <w:rFonts w:ascii="Times New Roman" w:hAnsi="Times New Roman" w:eastAsiaTheme="minorEastAsia"/>
          <w:b/>
          <w:color w:val="000000"/>
          <w:sz w:val="24"/>
          <w:szCs w:val="24"/>
          <w:lang w:val="zh-CN"/>
        </w:rPr>
        <w:t>1、港区工作人员生活垃圾</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lang w:val="zh-CN"/>
        </w:rPr>
      </w:pPr>
      <w:r>
        <w:rPr>
          <w:rFonts w:ascii="Times New Roman" w:hAnsi="Times New Roman" w:eastAsiaTheme="minorEastAsia"/>
          <w:color w:val="000000"/>
          <w:sz w:val="24"/>
          <w:szCs w:val="24"/>
          <w:lang w:val="zh-CN"/>
        </w:rPr>
        <w:t>码头定员25人。工作人员生活垃圾产生量按0.5kg/天·人计算，工作人员生活垃圾产生量为12.5kg/d，4.125t/a。</w:t>
      </w:r>
      <w:r>
        <w:rPr>
          <w:rFonts w:ascii="Times New Roman" w:hAnsi="Times New Roman"/>
          <w:sz w:val="24"/>
        </w:rPr>
        <w:t>目前，在码头设置了小型生活垃圾桶，并安排有人员收集生活垃圾，再与岳阳电厂生活垃圾一起当地交环卫部门进行统一处理。</w:t>
      </w: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lang w:val="zh-CN"/>
        </w:rPr>
      </w:pPr>
      <w:r>
        <w:rPr>
          <w:rFonts w:ascii="Times New Roman" w:hAnsi="Times New Roman" w:eastAsiaTheme="minorEastAsia"/>
          <w:b/>
          <w:color w:val="000000"/>
          <w:sz w:val="24"/>
          <w:szCs w:val="24"/>
          <w:lang w:val="zh-CN"/>
        </w:rPr>
        <w:t>2、到港船舶生活垃圾</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lang w:val="zh-CN"/>
        </w:rPr>
      </w:pPr>
      <w:r>
        <w:rPr>
          <w:rFonts w:ascii="Times New Roman" w:hAnsi="Times New Roman" w:eastAsiaTheme="minorEastAsia"/>
          <w:color w:val="000000"/>
          <w:sz w:val="24"/>
          <w:szCs w:val="24"/>
          <w:lang w:val="zh-CN"/>
        </w:rPr>
        <w:t>码头年营运天数为330天，到港船舶的船员以6人/艘估算，船员生活垃圾产生量按1kg/天·人计算，平均每天到港船舶按1艘，则到港船舶生活垃圾产生约为6kg/d，1.98t/a，由海事部门指定的船舶接收统一处理。</w:t>
      </w: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lang w:val="zh-CN"/>
        </w:rPr>
      </w:pPr>
      <w:r>
        <w:rPr>
          <w:rFonts w:ascii="Times New Roman" w:hAnsi="Times New Roman" w:eastAsiaTheme="minorEastAsia"/>
          <w:b/>
          <w:color w:val="000000"/>
          <w:sz w:val="24"/>
          <w:szCs w:val="24"/>
          <w:lang w:val="zh-CN"/>
        </w:rPr>
        <w:t>3、废含油抹布</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lang w:val="zh-CN"/>
        </w:rPr>
      </w:pPr>
      <w:r>
        <w:rPr>
          <w:rFonts w:ascii="Times New Roman" w:hAnsi="Times New Roman" w:eastAsiaTheme="minorEastAsia"/>
          <w:color w:val="000000"/>
          <w:sz w:val="24"/>
          <w:szCs w:val="24"/>
          <w:lang w:val="zh-CN"/>
        </w:rPr>
        <w:t>废含油抹布等机修废物约为3t/a，对照《国家危险废物名录》（2016年版），“废弃的含油抹布、劳保”用品可全部混入生活垃圾，全过程不按危险废物管理</w:t>
      </w:r>
      <w:r>
        <w:rPr>
          <w:rFonts w:hint="eastAsia" w:ascii="Times New Roman" w:hAnsi="Times New Roman" w:eastAsiaTheme="minorEastAsia"/>
          <w:color w:val="000000"/>
          <w:sz w:val="24"/>
          <w:szCs w:val="24"/>
          <w:lang w:val="zh-CN"/>
        </w:rPr>
        <w:t>。</w:t>
      </w:r>
      <w:r>
        <w:rPr>
          <w:rFonts w:ascii="Times New Roman" w:hAnsi="Times New Roman" w:eastAsiaTheme="minorEastAsia"/>
          <w:color w:val="000000"/>
          <w:sz w:val="24"/>
          <w:szCs w:val="24"/>
          <w:lang w:val="zh-CN"/>
        </w:rPr>
        <w:t>因此</w:t>
      </w:r>
      <w:r>
        <w:rPr>
          <w:rFonts w:hint="eastAsia" w:ascii="Times New Roman" w:hAnsi="Times New Roman" w:eastAsiaTheme="minorEastAsia"/>
          <w:color w:val="000000"/>
          <w:sz w:val="24"/>
          <w:szCs w:val="24"/>
          <w:lang w:val="zh-CN"/>
        </w:rPr>
        <w:t>，</w:t>
      </w:r>
      <w:r>
        <w:rPr>
          <w:rFonts w:ascii="Times New Roman" w:hAnsi="Times New Roman" w:eastAsiaTheme="minorEastAsia"/>
          <w:color w:val="000000"/>
          <w:sz w:val="24"/>
          <w:szCs w:val="24"/>
          <w:lang w:val="zh-CN"/>
        </w:rPr>
        <w:t>本项目含油抹布纳入到生活垃圾处理系统，收集上岸后委托环卫部门统一清运。</w:t>
      </w: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lang w:val="zh-CN"/>
        </w:rPr>
      </w:pPr>
      <w:r>
        <w:rPr>
          <w:rFonts w:ascii="Times New Roman" w:hAnsi="Times New Roman" w:eastAsiaTheme="minorEastAsia"/>
          <w:b/>
          <w:color w:val="000000"/>
          <w:sz w:val="24"/>
          <w:szCs w:val="24"/>
          <w:lang w:val="zh-CN"/>
        </w:rPr>
        <w:t>4、废油</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根据类比同类型项目，码头设备修理会产生少量废油渣，产生量约为0.2t/a，该类废物属于危险废物（HW08废矿物油与含矿物油废物，废物代码为900-249-08），交由有资质的危废处置单位统一处理。</w:t>
      </w:r>
    </w:p>
    <w:p>
      <w:pPr>
        <w:tabs>
          <w:tab w:val="left" w:pos="900"/>
        </w:tabs>
        <w:adjustRightInd w:val="0"/>
        <w:snapToGrid w:val="0"/>
        <w:spacing w:line="360" w:lineRule="auto"/>
        <w:ind w:firstLine="482" w:firstLineChars="200"/>
        <w:rPr>
          <w:rFonts w:ascii="Times New Roman" w:hAnsi="Times New Roman" w:eastAsiaTheme="minorEastAsia"/>
          <w:b/>
          <w:color w:val="000000"/>
          <w:sz w:val="24"/>
          <w:szCs w:val="24"/>
          <w:lang w:val="zh-CN"/>
        </w:rPr>
      </w:pPr>
      <w:r>
        <w:rPr>
          <w:rFonts w:ascii="Times New Roman" w:hAnsi="Times New Roman" w:eastAsiaTheme="minorEastAsia"/>
          <w:b/>
          <w:color w:val="000000"/>
          <w:sz w:val="24"/>
          <w:szCs w:val="24"/>
          <w:lang w:val="zh-CN"/>
        </w:rPr>
        <w:t>5、污泥、沉渣</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sz w:val="24"/>
          <w:szCs w:val="24"/>
        </w:rPr>
        <w:t>本项目生活污水污水处理站、明沟、沉淀池等环保设施产生的污泥产生量约62t/a，交由华能岳阳电厂进行综合利用。</w:t>
      </w:r>
    </w:p>
    <w:p>
      <w:pPr>
        <w:wordWrap w:val="0"/>
        <w:spacing w:line="360" w:lineRule="auto"/>
        <w:ind w:firstLine="482" w:firstLineChars="200"/>
        <w:jc w:val="right"/>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表3.</w:t>
      </w:r>
      <w:r>
        <w:rPr>
          <w:rFonts w:hint="eastAsia" w:ascii="Times New Roman" w:hAnsi="Times New Roman" w:eastAsiaTheme="minorEastAsia"/>
          <w:b/>
          <w:color w:val="000000"/>
          <w:sz w:val="24"/>
          <w:szCs w:val="24"/>
          <w:lang w:val="en-US" w:eastAsia="zh-CN"/>
        </w:rPr>
        <w:t>4</w:t>
      </w:r>
      <w:r>
        <w:rPr>
          <w:rFonts w:ascii="Times New Roman" w:hAnsi="Times New Roman" w:eastAsiaTheme="minorEastAsia"/>
          <w:b/>
          <w:color w:val="000000"/>
          <w:sz w:val="24"/>
          <w:szCs w:val="24"/>
        </w:rPr>
        <w:t xml:space="preserve">-18  本项目固体废物产排情况一览表           </w:t>
      </w:r>
      <w:r>
        <w:rPr>
          <w:rFonts w:ascii="Times New Roman" w:hAnsi="Times New Roman" w:eastAsiaTheme="minorEastAsia"/>
          <w:color w:val="000000"/>
          <w:sz w:val="24"/>
          <w:szCs w:val="24"/>
        </w:rPr>
        <w:t>单位：t/a</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558"/>
        <w:gridCol w:w="1081"/>
        <w:gridCol w:w="866"/>
        <w:gridCol w:w="866"/>
        <w:gridCol w:w="866"/>
        <w:gridCol w:w="866"/>
        <w:gridCol w:w="866"/>
        <w:gridCol w:w="21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549" w:type="dxa"/>
            <w:vMerge w:val="restart"/>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工序</w:t>
            </w:r>
          </w:p>
        </w:tc>
        <w:tc>
          <w:tcPr>
            <w:tcW w:w="1074" w:type="dxa"/>
            <w:vMerge w:val="restart"/>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装置</w:t>
            </w:r>
          </w:p>
        </w:tc>
        <w:tc>
          <w:tcPr>
            <w:tcW w:w="860" w:type="dxa"/>
            <w:vMerge w:val="restart"/>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固体废物名称</w:t>
            </w:r>
          </w:p>
        </w:tc>
        <w:tc>
          <w:tcPr>
            <w:tcW w:w="860" w:type="dxa"/>
            <w:vMerge w:val="restart"/>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属性</w:t>
            </w:r>
          </w:p>
        </w:tc>
        <w:tc>
          <w:tcPr>
            <w:tcW w:w="1720" w:type="dxa"/>
            <w:gridSpan w:val="2"/>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产生情况</w:t>
            </w:r>
          </w:p>
        </w:tc>
        <w:tc>
          <w:tcPr>
            <w:tcW w:w="2977" w:type="dxa"/>
            <w:gridSpan w:val="2"/>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处置情况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549" w:type="dxa"/>
            <w:vMerge w:val="continue"/>
            <w:tcBorders>
              <w:tl2br w:val="nil"/>
              <w:tr2bl w:val="nil"/>
            </w:tcBorders>
            <w:vAlign w:val="center"/>
          </w:tcPr>
          <w:p>
            <w:pPr>
              <w:widowControl/>
              <w:adjustRightInd w:val="0"/>
              <w:snapToGrid w:val="0"/>
              <w:jc w:val="left"/>
              <w:rPr>
                <w:rFonts w:ascii="Times New Roman" w:hAnsi="Times New Roman" w:eastAsiaTheme="minorEastAsia"/>
                <w:b/>
                <w:color w:val="000000"/>
                <w:kern w:val="0"/>
              </w:rPr>
            </w:pPr>
          </w:p>
        </w:tc>
        <w:tc>
          <w:tcPr>
            <w:tcW w:w="1074" w:type="dxa"/>
            <w:vMerge w:val="continue"/>
            <w:tcBorders>
              <w:tl2br w:val="nil"/>
              <w:tr2bl w:val="nil"/>
            </w:tcBorders>
            <w:vAlign w:val="center"/>
          </w:tcPr>
          <w:p>
            <w:pPr>
              <w:widowControl/>
              <w:adjustRightInd w:val="0"/>
              <w:snapToGrid w:val="0"/>
              <w:jc w:val="left"/>
              <w:rPr>
                <w:rFonts w:ascii="Times New Roman" w:hAnsi="Times New Roman" w:eastAsiaTheme="minorEastAsia"/>
                <w:b/>
                <w:color w:val="000000"/>
                <w:kern w:val="0"/>
              </w:rPr>
            </w:pPr>
          </w:p>
        </w:tc>
        <w:tc>
          <w:tcPr>
            <w:tcW w:w="860" w:type="dxa"/>
            <w:vMerge w:val="continue"/>
            <w:tcBorders>
              <w:tl2br w:val="nil"/>
              <w:tr2bl w:val="nil"/>
            </w:tcBorders>
            <w:vAlign w:val="center"/>
          </w:tcPr>
          <w:p>
            <w:pPr>
              <w:widowControl/>
              <w:adjustRightInd w:val="0"/>
              <w:snapToGrid w:val="0"/>
              <w:jc w:val="left"/>
              <w:rPr>
                <w:rFonts w:ascii="Times New Roman" w:hAnsi="Times New Roman" w:eastAsiaTheme="minorEastAsia"/>
                <w:b/>
                <w:color w:val="000000"/>
                <w:kern w:val="0"/>
              </w:rPr>
            </w:pPr>
          </w:p>
        </w:tc>
        <w:tc>
          <w:tcPr>
            <w:tcW w:w="860" w:type="dxa"/>
            <w:vMerge w:val="continue"/>
            <w:tcBorders>
              <w:tl2br w:val="nil"/>
              <w:tr2bl w:val="nil"/>
            </w:tcBorders>
            <w:vAlign w:val="center"/>
          </w:tcPr>
          <w:p>
            <w:pPr>
              <w:widowControl/>
              <w:adjustRightInd w:val="0"/>
              <w:snapToGrid w:val="0"/>
              <w:jc w:val="left"/>
              <w:rPr>
                <w:rFonts w:ascii="Times New Roman" w:hAnsi="Times New Roman" w:eastAsiaTheme="minorEastAsia"/>
                <w:b/>
                <w:color w:val="000000"/>
                <w:kern w:val="0"/>
              </w:rPr>
            </w:pPr>
          </w:p>
        </w:tc>
        <w:tc>
          <w:tcPr>
            <w:tcW w:w="860"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核算方法</w:t>
            </w:r>
          </w:p>
        </w:tc>
        <w:tc>
          <w:tcPr>
            <w:tcW w:w="860"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产生量</w:t>
            </w:r>
          </w:p>
        </w:tc>
        <w:tc>
          <w:tcPr>
            <w:tcW w:w="860"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处理量</w:t>
            </w:r>
          </w:p>
        </w:tc>
        <w:tc>
          <w:tcPr>
            <w:tcW w:w="2117"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最终去向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49"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员工生活垃圾</w:t>
            </w:r>
          </w:p>
        </w:tc>
        <w:tc>
          <w:tcPr>
            <w:tcW w:w="1074"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860"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生活垃圾</w:t>
            </w:r>
          </w:p>
        </w:tc>
        <w:tc>
          <w:tcPr>
            <w:tcW w:w="860"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生活垃圾</w:t>
            </w:r>
          </w:p>
        </w:tc>
        <w:tc>
          <w:tcPr>
            <w:tcW w:w="860"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产污系数</w:t>
            </w:r>
          </w:p>
        </w:tc>
        <w:tc>
          <w:tcPr>
            <w:tcW w:w="860"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4.125</w:t>
            </w:r>
          </w:p>
        </w:tc>
        <w:tc>
          <w:tcPr>
            <w:tcW w:w="860"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4.125</w:t>
            </w:r>
          </w:p>
        </w:tc>
        <w:tc>
          <w:tcPr>
            <w:tcW w:w="2117"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环卫部门清运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49"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到港船舶生活垃圾</w:t>
            </w:r>
          </w:p>
        </w:tc>
        <w:tc>
          <w:tcPr>
            <w:tcW w:w="1074"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860"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生活垃圾</w:t>
            </w:r>
          </w:p>
        </w:tc>
        <w:tc>
          <w:tcPr>
            <w:tcW w:w="860"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生活垃圾</w:t>
            </w:r>
          </w:p>
        </w:tc>
        <w:tc>
          <w:tcPr>
            <w:tcW w:w="860"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产污系数</w:t>
            </w:r>
          </w:p>
        </w:tc>
        <w:tc>
          <w:tcPr>
            <w:tcW w:w="860"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1.98</w:t>
            </w:r>
          </w:p>
        </w:tc>
        <w:tc>
          <w:tcPr>
            <w:tcW w:w="860"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1.98</w:t>
            </w:r>
          </w:p>
        </w:tc>
        <w:tc>
          <w:tcPr>
            <w:tcW w:w="2117" w:type="dxa"/>
            <w:tcBorders>
              <w:tl2br w:val="nil"/>
              <w:tr2bl w:val="nil"/>
            </w:tcBorders>
            <w:shd w:val="clear" w:color="auto" w:fill="auto"/>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由海事部门指定的船舶接收统一处理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49" w:type="dxa"/>
            <w:vMerge w:val="restart"/>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设备维修</w:t>
            </w:r>
          </w:p>
        </w:tc>
        <w:tc>
          <w:tcPr>
            <w:tcW w:w="1074"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w:t>
            </w:r>
          </w:p>
        </w:tc>
        <w:tc>
          <w:tcPr>
            <w:tcW w:w="860"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含油抹布</w:t>
            </w:r>
          </w:p>
        </w:tc>
        <w:tc>
          <w:tcPr>
            <w:tcW w:w="860"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危险废物</w:t>
            </w:r>
          </w:p>
        </w:tc>
        <w:tc>
          <w:tcPr>
            <w:tcW w:w="860"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类比法</w:t>
            </w:r>
          </w:p>
        </w:tc>
        <w:tc>
          <w:tcPr>
            <w:tcW w:w="860"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w:t>
            </w:r>
          </w:p>
        </w:tc>
        <w:tc>
          <w:tcPr>
            <w:tcW w:w="860"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w:t>
            </w:r>
          </w:p>
        </w:tc>
        <w:tc>
          <w:tcPr>
            <w:tcW w:w="2117"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环卫部门清运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49" w:type="dxa"/>
            <w:vMerge w:val="continue"/>
            <w:tcBorders>
              <w:tl2br w:val="nil"/>
              <w:tr2bl w:val="nil"/>
            </w:tcBorders>
            <w:vAlign w:val="center"/>
          </w:tcPr>
          <w:p>
            <w:pPr>
              <w:widowControl/>
              <w:adjustRightInd w:val="0"/>
              <w:snapToGrid w:val="0"/>
              <w:jc w:val="left"/>
              <w:rPr>
                <w:rFonts w:ascii="Times New Roman" w:hAnsi="Times New Roman" w:eastAsiaTheme="minorEastAsia"/>
                <w:color w:val="000000"/>
                <w:kern w:val="0"/>
              </w:rPr>
            </w:pPr>
          </w:p>
        </w:tc>
        <w:tc>
          <w:tcPr>
            <w:tcW w:w="1074"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油泵等设备</w:t>
            </w:r>
          </w:p>
        </w:tc>
        <w:tc>
          <w:tcPr>
            <w:tcW w:w="860"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废油渣</w:t>
            </w:r>
          </w:p>
        </w:tc>
        <w:tc>
          <w:tcPr>
            <w:tcW w:w="860"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危险废物</w:t>
            </w:r>
          </w:p>
        </w:tc>
        <w:tc>
          <w:tcPr>
            <w:tcW w:w="860"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类比法</w:t>
            </w:r>
          </w:p>
        </w:tc>
        <w:tc>
          <w:tcPr>
            <w:tcW w:w="860"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w:t>
            </w:r>
          </w:p>
        </w:tc>
        <w:tc>
          <w:tcPr>
            <w:tcW w:w="860"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w:t>
            </w:r>
          </w:p>
        </w:tc>
        <w:tc>
          <w:tcPr>
            <w:tcW w:w="2117"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hint="eastAsia" w:ascii="Times New Roman" w:hAnsi="Times New Roman" w:eastAsiaTheme="minorEastAsia"/>
                <w:color w:val="000000"/>
                <w:kern w:val="0"/>
                <w:lang w:eastAsia="zh-CN"/>
              </w:rPr>
              <w:t>与总厂区危废一同</w:t>
            </w:r>
            <w:r>
              <w:rPr>
                <w:rFonts w:ascii="Times New Roman" w:hAnsi="Times New Roman" w:eastAsiaTheme="minorEastAsia"/>
                <w:color w:val="000000"/>
                <w:kern w:val="0"/>
              </w:rPr>
              <w:t>交由有资质的危废处置单位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49" w:type="dxa"/>
            <w:tcBorders>
              <w:tl2br w:val="nil"/>
              <w:tr2bl w:val="nil"/>
            </w:tcBorders>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污水处理</w:t>
            </w:r>
          </w:p>
        </w:tc>
        <w:tc>
          <w:tcPr>
            <w:tcW w:w="1074"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污水处理设施</w:t>
            </w:r>
          </w:p>
        </w:tc>
        <w:tc>
          <w:tcPr>
            <w:tcW w:w="860"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污泥、沉渣</w:t>
            </w:r>
          </w:p>
        </w:tc>
        <w:tc>
          <w:tcPr>
            <w:tcW w:w="860"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一般工业固废</w:t>
            </w:r>
          </w:p>
        </w:tc>
        <w:tc>
          <w:tcPr>
            <w:tcW w:w="860"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类比法</w:t>
            </w:r>
          </w:p>
        </w:tc>
        <w:tc>
          <w:tcPr>
            <w:tcW w:w="860"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62</w:t>
            </w:r>
          </w:p>
        </w:tc>
        <w:tc>
          <w:tcPr>
            <w:tcW w:w="860"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62</w:t>
            </w:r>
          </w:p>
        </w:tc>
        <w:tc>
          <w:tcPr>
            <w:tcW w:w="2117" w:type="dxa"/>
            <w:tcBorders>
              <w:tl2br w:val="nil"/>
              <w:tr2bl w:val="nil"/>
            </w:tcBorders>
            <w:shd w:val="clear" w:color="auto" w:fill="auto"/>
            <w:noWrap/>
            <w:vAlign w:val="center"/>
          </w:tcPr>
          <w:p>
            <w:pPr>
              <w:widowControl/>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交由华能岳阳电厂进行综合利用</w:t>
            </w:r>
          </w:p>
        </w:tc>
      </w:tr>
    </w:tbl>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lang w:val="zh-CN"/>
        </w:rPr>
      </w:pPr>
    </w:p>
    <w:p>
      <w:pPr>
        <w:wordWrap w:val="0"/>
        <w:spacing w:line="360" w:lineRule="auto"/>
        <w:ind w:firstLine="482" w:firstLineChars="200"/>
        <w:jc w:val="right"/>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表3.</w:t>
      </w:r>
      <w:r>
        <w:rPr>
          <w:rFonts w:hint="eastAsia" w:ascii="Times New Roman" w:hAnsi="Times New Roman" w:eastAsiaTheme="minorEastAsia"/>
          <w:b/>
          <w:color w:val="000000"/>
          <w:sz w:val="24"/>
          <w:szCs w:val="24"/>
          <w:lang w:val="en-US" w:eastAsia="zh-CN"/>
        </w:rPr>
        <w:t>4</w:t>
      </w:r>
      <w:r>
        <w:rPr>
          <w:rFonts w:ascii="Times New Roman" w:hAnsi="Times New Roman" w:eastAsiaTheme="minorEastAsia"/>
          <w:b/>
          <w:color w:val="000000"/>
          <w:sz w:val="24"/>
          <w:szCs w:val="24"/>
        </w:rPr>
        <w:t xml:space="preserve">-19  本项目危险废物具体情况一览表          </w:t>
      </w:r>
      <w:r>
        <w:rPr>
          <w:rFonts w:ascii="Times New Roman" w:hAnsi="Times New Roman" w:eastAsiaTheme="minorEastAsia"/>
          <w:color w:val="000000"/>
          <w:sz w:val="24"/>
          <w:szCs w:val="24"/>
        </w:rPr>
        <w:t xml:space="preserve"> 单位：t/a</w:t>
      </w:r>
    </w:p>
    <w:tbl>
      <w:tblPr>
        <w:tblStyle w:val="71"/>
        <w:tblW w:w="907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72"/>
        <w:gridCol w:w="832"/>
        <w:gridCol w:w="832"/>
        <w:gridCol w:w="900"/>
        <w:gridCol w:w="750"/>
        <w:gridCol w:w="970"/>
        <w:gridCol w:w="640"/>
        <w:gridCol w:w="668"/>
        <w:gridCol w:w="640"/>
        <w:gridCol w:w="793"/>
        <w:gridCol w:w="668"/>
        <w:gridCol w:w="91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2" w:type="dxa"/>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序号</w:t>
            </w:r>
          </w:p>
        </w:tc>
        <w:tc>
          <w:tcPr>
            <w:tcW w:w="832" w:type="dxa"/>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危险废物名称</w:t>
            </w:r>
          </w:p>
        </w:tc>
        <w:tc>
          <w:tcPr>
            <w:tcW w:w="832" w:type="dxa"/>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危险废物类别</w:t>
            </w:r>
          </w:p>
        </w:tc>
        <w:tc>
          <w:tcPr>
            <w:tcW w:w="900" w:type="dxa"/>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危险废物代码</w:t>
            </w:r>
          </w:p>
        </w:tc>
        <w:tc>
          <w:tcPr>
            <w:tcW w:w="750" w:type="dxa"/>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产生量</w:t>
            </w:r>
          </w:p>
        </w:tc>
        <w:tc>
          <w:tcPr>
            <w:tcW w:w="970" w:type="dxa"/>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产生工序及装置</w:t>
            </w:r>
          </w:p>
        </w:tc>
        <w:tc>
          <w:tcPr>
            <w:tcW w:w="640" w:type="dxa"/>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形态</w:t>
            </w:r>
          </w:p>
        </w:tc>
        <w:tc>
          <w:tcPr>
            <w:tcW w:w="668" w:type="dxa"/>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主要成分</w:t>
            </w:r>
          </w:p>
        </w:tc>
        <w:tc>
          <w:tcPr>
            <w:tcW w:w="640" w:type="dxa"/>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有害成分</w:t>
            </w:r>
          </w:p>
        </w:tc>
        <w:tc>
          <w:tcPr>
            <w:tcW w:w="793" w:type="dxa"/>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产废周期</w:t>
            </w:r>
          </w:p>
        </w:tc>
        <w:tc>
          <w:tcPr>
            <w:tcW w:w="668" w:type="dxa"/>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危险特性</w:t>
            </w:r>
          </w:p>
        </w:tc>
        <w:tc>
          <w:tcPr>
            <w:tcW w:w="910" w:type="dxa"/>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污染防治措施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2"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w:t>
            </w:r>
          </w:p>
        </w:tc>
        <w:tc>
          <w:tcPr>
            <w:tcW w:w="832"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废油渣</w:t>
            </w:r>
          </w:p>
        </w:tc>
        <w:tc>
          <w:tcPr>
            <w:tcW w:w="832"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HW08</w:t>
            </w:r>
          </w:p>
        </w:tc>
        <w:tc>
          <w:tcPr>
            <w:tcW w:w="900"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900-24 9-08</w:t>
            </w:r>
          </w:p>
        </w:tc>
        <w:tc>
          <w:tcPr>
            <w:tcW w:w="750"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0.2</w:t>
            </w:r>
          </w:p>
        </w:tc>
        <w:tc>
          <w:tcPr>
            <w:tcW w:w="970"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设备维修</w:t>
            </w:r>
          </w:p>
        </w:tc>
        <w:tc>
          <w:tcPr>
            <w:tcW w:w="640"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液态</w:t>
            </w:r>
          </w:p>
        </w:tc>
        <w:tc>
          <w:tcPr>
            <w:tcW w:w="668"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矿物油</w:t>
            </w:r>
          </w:p>
        </w:tc>
        <w:tc>
          <w:tcPr>
            <w:tcW w:w="640"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矿物油</w:t>
            </w:r>
          </w:p>
        </w:tc>
        <w:tc>
          <w:tcPr>
            <w:tcW w:w="793"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1d</w:t>
            </w:r>
          </w:p>
        </w:tc>
        <w:tc>
          <w:tcPr>
            <w:tcW w:w="668"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T,I</w:t>
            </w:r>
          </w:p>
        </w:tc>
        <w:tc>
          <w:tcPr>
            <w:tcW w:w="910" w:type="dxa"/>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交由有资质单位处理</w:t>
            </w:r>
          </w:p>
        </w:tc>
      </w:tr>
    </w:tbl>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lang w:val="zh-CN"/>
        </w:rPr>
      </w:pPr>
    </w:p>
    <w:p>
      <w:pPr>
        <w:pStyle w:val="5"/>
        <w:rPr>
          <w:rFonts w:eastAsiaTheme="minorEastAsia"/>
        </w:rPr>
      </w:pPr>
      <w:r>
        <w:rPr>
          <w:rFonts w:eastAsiaTheme="minorEastAsia"/>
        </w:rPr>
        <w:t>项目污染物产排情况汇总</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lang w:val="zh-CN"/>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r>
        <w:rPr>
          <w:rFonts w:ascii="Times New Roman" w:hAnsi="Times New Roman" w:eastAsiaTheme="minorEastAsia"/>
          <w:color w:val="000000"/>
          <w:sz w:val="24"/>
          <w:szCs w:val="24"/>
          <w:lang w:val="zh-CN"/>
        </w:rPr>
        <w:t>本项目主要污染物产排情况汇总见下表。</w:t>
      </w:r>
    </w:p>
    <w:p>
      <w:pPr>
        <w:spacing w:line="360" w:lineRule="auto"/>
        <w:ind w:firstLine="482" w:firstLineChars="200"/>
        <w:jc w:val="center"/>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表3.</w:t>
      </w:r>
      <w:r>
        <w:rPr>
          <w:rFonts w:hint="eastAsia" w:ascii="Times New Roman" w:hAnsi="Times New Roman" w:eastAsiaTheme="minorEastAsia"/>
          <w:b/>
          <w:color w:val="000000"/>
          <w:sz w:val="24"/>
          <w:szCs w:val="24"/>
          <w:lang w:val="en-US" w:eastAsia="zh-CN"/>
        </w:rPr>
        <w:t>4</w:t>
      </w:r>
      <w:r>
        <w:rPr>
          <w:rFonts w:ascii="Times New Roman" w:hAnsi="Times New Roman" w:eastAsiaTheme="minorEastAsia"/>
          <w:b/>
          <w:color w:val="000000"/>
          <w:sz w:val="24"/>
          <w:szCs w:val="24"/>
        </w:rPr>
        <w:t>-20  项目主要污染物产排情况汇总一览表</w:t>
      </w:r>
    </w:p>
    <w:tbl>
      <w:tblPr>
        <w:tblStyle w:val="71"/>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92"/>
        <w:gridCol w:w="2189"/>
        <w:gridCol w:w="817"/>
        <w:gridCol w:w="643"/>
        <w:gridCol w:w="191"/>
        <w:gridCol w:w="340"/>
        <w:gridCol w:w="1089"/>
        <w:gridCol w:w="1181"/>
        <w:gridCol w:w="502"/>
        <w:gridCol w:w="601"/>
        <w:gridCol w:w="3129"/>
        <w:gridCol w:w="265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blHeader/>
        </w:trPr>
        <w:tc>
          <w:tcPr>
            <w:tcW w:w="1027" w:type="pct"/>
            <w:gridSpan w:val="2"/>
            <w:vMerge w:val="restart"/>
            <w:vAlign w:val="center"/>
          </w:tcPr>
          <w:p>
            <w:pPr>
              <w:adjustRightInd w:val="0"/>
              <w:snapToGrid w:val="0"/>
              <w:jc w:val="center"/>
              <w:rPr>
                <w:rFonts w:ascii="Times New Roman" w:hAnsi="Times New Roman" w:eastAsiaTheme="minorEastAsia"/>
                <w:b/>
                <w:bCs/>
              </w:rPr>
            </w:pPr>
            <w:r>
              <w:rPr>
                <w:rFonts w:ascii="Times New Roman" w:hAnsi="Times New Roman" w:eastAsiaTheme="minorEastAsia"/>
                <w:b/>
                <w:bCs/>
              </w:rPr>
              <w:t>项目</w:t>
            </w:r>
          </w:p>
        </w:tc>
        <w:tc>
          <w:tcPr>
            <w:tcW w:w="520" w:type="pct"/>
            <w:gridSpan w:val="2"/>
            <w:vMerge w:val="restart"/>
            <w:vAlign w:val="center"/>
          </w:tcPr>
          <w:p>
            <w:pPr>
              <w:adjustRightInd w:val="0"/>
              <w:snapToGrid w:val="0"/>
              <w:jc w:val="center"/>
              <w:rPr>
                <w:rFonts w:ascii="Times New Roman" w:hAnsi="Times New Roman" w:eastAsiaTheme="minorEastAsia"/>
                <w:b/>
                <w:bCs/>
              </w:rPr>
            </w:pPr>
            <w:r>
              <w:rPr>
                <w:rFonts w:ascii="Times New Roman" w:hAnsi="Times New Roman" w:eastAsiaTheme="minorEastAsia"/>
                <w:b/>
                <w:bCs/>
              </w:rPr>
              <w:t>废水量</w:t>
            </w:r>
          </w:p>
          <w:p>
            <w:pPr>
              <w:adjustRightInd w:val="0"/>
              <w:snapToGrid w:val="0"/>
              <w:jc w:val="center"/>
              <w:rPr>
                <w:rFonts w:ascii="Times New Roman" w:hAnsi="Times New Roman" w:eastAsiaTheme="minorEastAsia"/>
                <w:b/>
                <w:bCs/>
              </w:rPr>
            </w:pPr>
            <w:r>
              <w:rPr>
                <w:rFonts w:hint="eastAsia" w:ascii="Times New Roman" w:hAnsi="Times New Roman" w:eastAsiaTheme="minorEastAsia"/>
                <w:b/>
                <w:bCs/>
                <w:lang w:eastAsia="zh-CN"/>
              </w:rPr>
              <w:t>（</w:t>
            </w:r>
            <w:r>
              <w:rPr>
                <w:rFonts w:ascii="Times New Roman" w:hAnsi="Times New Roman" w:eastAsiaTheme="minorEastAsia"/>
                <w:b/>
                <w:bCs/>
              </w:rPr>
              <w:t>m</w:t>
            </w:r>
            <w:r>
              <w:rPr>
                <w:rFonts w:ascii="Times New Roman" w:hAnsi="Times New Roman" w:eastAsiaTheme="minorEastAsia"/>
                <w:b/>
                <w:bCs/>
                <w:vertAlign w:val="superscript"/>
              </w:rPr>
              <w:t>3</w:t>
            </w:r>
            <w:r>
              <w:rPr>
                <w:rFonts w:ascii="Times New Roman" w:hAnsi="Times New Roman" w:eastAsiaTheme="minorEastAsia"/>
                <w:b/>
                <w:bCs/>
              </w:rPr>
              <w:t>/a</w:t>
            </w:r>
            <w:r>
              <w:rPr>
                <w:rFonts w:hint="eastAsia" w:ascii="Times New Roman" w:hAnsi="Times New Roman" w:eastAsiaTheme="minorEastAsia"/>
                <w:b/>
                <w:bCs/>
                <w:lang w:eastAsia="zh-CN"/>
              </w:rPr>
              <w:t>）</w:t>
            </w:r>
          </w:p>
        </w:tc>
        <w:tc>
          <w:tcPr>
            <w:tcW w:w="577" w:type="pct"/>
            <w:gridSpan w:val="3"/>
            <w:vMerge w:val="restart"/>
            <w:vAlign w:val="center"/>
          </w:tcPr>
          <w:p>
            <w:pPr>
              <w:adjustRightInd w:val="0"/>
              <w:snapToGrid w:val="0"/>
              <w:jc w:val="center"/>
              <w:rPr>
                <w:rFonts w:ascii="Times New Roman" w:hAnsi="Times New Roman" w:eastAsiaTheme="minorEastAsia"/>
                <w:b/>
                <w:bCs/>
              </w:rPr>
            </w:pPr>
            <w:r>
              <w:rPr>
                <w:rFonts w:ascii="Times New Roman" w:hAnsi="Times New Roman" w:eastAsiaTheme="minorEastAsia"/>
                <w:b/>
                <w:bCs/>
              </w:rPr>
              <w:t>污染物</w:t>
            </w:r>
          </w:p>
        </w:tc>
        <w:tc>
          <w:tcPr>
            <w:tcW w:w="814" w:type="pct"/>
            <w:gridSpan w:val="3"/>
            <w:vAlign w:val="center"/>
          </w:tcPr>
          <w:p>
            <w:pPr>
              <w:adjustRightInd w:val="0"/>
              <w:snapToGrid w:val="0"/>
              <w:jc w:val="center"/>
              <w:rPr>
                <w:rFonts w:ascii="Times New Roman" w:hAnsi="Times New Roman" w:eastAsiaTheme="minorEastAsia"/>
                <w:b/>
                <w:bCs/>
              </w:rPr>
            </w:pPr>
            <w:r>
              <w:rPr>
                <w:rFonts w:ascii="Times New Roman" w:hAnsi="Times New Roman" w:eastAsiaTheme="minorEastAsia"/>
                <w:b/>
                <w:bCs/>
              </w:rPr>
              <w:t>处理前</w:t>
            </w:r>
          </w:p>
        </w:tc>
        <w:tc>
          <w:tcPr>
            <w:tcW w:w="2063" w:type="pct"/>
            <w:gridSpan w:val="2"/>
            <w:vMerge w:val="restart"/>
            <w:vAlign w:val="center"/>
          </w:tcPr>
          <w:p>
            <w:pPr>
              <w:adjustRightInd w:val="0"/>
              <w:snapToGrid w:val="0"/>
              <w:jc w:val="center"/>
              <w:rPr>
                <w:rFonts w:ascii="Times New Roman" w:hAnsi="Times New Roman" w:eastAsiaTheme="minorEastAsia"/>
                <w:b/>
                <w:bCs/>
              </w:rPr>
            </w:pPr>
            <w:r>
              <w:rPr>
                <w:rFonts w:ascii="Times New Roman" w:hAnsi="Times New Roman" w:eastAsiaTheme="minorEastAsia"/>
                <w:b/>
                <w:bCs/>
              </w:rPr>
              <w:t>治理措施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blHeader/>
        </w:trPr>
        <w:tc>
          <w:tcPr>
            <w:tcW w:w="1027" w:type="pct"/>
            <w:gridSpan w:val="2"/>
            <w:vMerge w:val="continue"/>
            <w:vAlign w:val="center"/>
          </w:tcPr>
          <w:p>
            <w:pPr>
              <w:adjustRightInd w:val="0"/>
              <w:snapToGrid w:val="0"/>
              <w:jc w:val="center"/>
              <w:rPr>
                <w:rFonts w:ascii="Times New Roman" w:hAnsi="Times New Roman" w:eastAsiaTheme="minorEastAsia"/>
                <w:b/>
                <w:bCs/>
              </w:rPr>
            </w:pPr>
          </w:p>
        </w:tc>
        <w:tc>
          <w:tcPr>
            <w:tcW w:w="520" w:type="pct"/>
            <w:gridSpan w:val="2"/>
            <w:vMerge w:val="continue"/>
            <w:vAlign w:val="center"/>
          </w:tcPr>
          <w:p>
            <w:pPr>
              <w:adjustRightInd w:val="0"/>
              <w:snapToGrid w:val="0"/>
              <w:jc w:val="center"/>
              <w:rPr>
                <w:rFonts w:ascii="Times New Roman" w:hAnsi="Times New Roman" w:eastAsiaTheme="minorEastAsia"/>
                <w:b/>
                <w:bCs/>
              </w:rPr>
            </w:pPr>
          </w:p>
        </w:tc>
        <w:tc>
          <w:tcPr>
            <w:tcW w:w="577" w:type="pct"/>
            <w:gridSpan w:val="3"/>
            <w:vMerge w:val="continue"/>
            <w:vAlign w:val="center"/>
          </w:tcPr>
          <w:p>
            <w:pPr>
              <w:adjustRightInd w:val="0"/>
              <w:snapToGrid w:val="0"/>
              <w:jc w:val="center"/>
              <w:rPr>
                <w:rFonts w:ascii="Times New Roman" w:hAnsi="Times New Roman" w:eastAsiaTheme="minorEastAsia"/>
                <w:b/>
                <w:bCs/>
              </w:rPr>
            </w:pPr>
          </w:p>
        </w:tc>
        <w:tc>
          <w:tcPr>
            <w:tcW w:w="421" w:type="pct"/>
            <w:vAlign w:val="center"/>
          </w:tcPr>
          <w:p>
            <w:pPr>
              <w:adjustRightInd w:val="0"/>
              <w:snapToGrid w:val="0"/>
              <w:jc w:val="center"/>
              <w:rPr>
                <w:rFonts w:ascii="Times New Roman" w:hAnsi="Times New Roman" w:eastAsiaTheme="minorEastAsia"/>
                <w:b/>
                <w:bCs/>
              </w:rPr>
            </w:pPr>
            <w:r>
              <w:rPr>
                <w:rFonts w:ascii="Times New Roman" w:hAnsi="Times New Roman" w:eastAsiaTheme="minorEastAsia"/>
                <w:b/>
                <w:bCs/>
              </w:rPr>
              <w:t>平均浓度</w:t>
            </w:r>
          </w:p>
        </w:tc>
        <w:tc>
          <w:tcPr>
            <w:tcW w:w="393" w:type="pct"/>
            <w:gridSpan w:val="2"/>
            <w:vAlign w:val="center"/>
          </w:tcPr>
          <w:p>
            <w:pPr>
              <w:adjustRightInd w:val="0"/>
              <w:snapToGrid w:val="0"/>
              <w:jc w:val="center"/>
              <w:rPr>
                <w:rFonts w:ascii="Times New Roman" w:hAnsi="Times New Roman" w:eastAsiaTheme="minorEastAsia"/>
                <w:b/>
                <w:bCs/>
              </w:rPr>
            </w:pPr>
            <w:r>
              <w:rPr>
                <w:rFonts w:ascii="Times New Roman" w:hAnsi="Times New Roman" w:eastAsiaTheme="minorEastAsia"/>
                <w:b/>
                <w:bCs/>
              </w:rPr>
              <w:t>产生量</w:t>
            </w:r>
          </w:p>
        </w:tc>
        <w:tc>
          <w:tcPr>
            <w:tcW w:w="2063" w:type="pct"/>
            <w:gridSpan w:val="2"/>
            <w:vMerge w:val="continue"/>
            <w:vAlign w:val="center"/>
          </w:tcPr>
          <w:p>
            <w:pPr>
              <w:adjustRightInd w:val="0"/>
              <w:snapToGrid w:val="0"/>
              <w:jc w:val="center"/>
              <w:rPr>
                <w:rFonts w:ascii="Times New Roman" w:hAnsi="Times New Roman" w:eastAsiaTheme="minorEastAsia"/>
                <w:b/>
                <w:bC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blHeader/>
        </w:trPr>
        <w:tc>
          <w:tcPr>
            <w:tcW w:w="1027" w:type="pct"/>
            <w:gridSpan w:val="2"/>
            <w:vMerge w:val="continue"/>
            <w:vAlign w:val="center"/>
          </w:tcPr>
          <w:p>
            <w:pPr>
              <w:adjustRightInd w:val="0"/>
              <w:snapToGrid w:val="0"/>
              <w:jc w:val="center"/>
              <w:rPr>
                <w:rFonts w:ascii="Times New Roman" w:hAnsi="Times New Roman" w:eastAsiaTheme="minorEastAsia"/>
                <w:b/>
                <w:bCs/>
              </w:rPr>
            </w:pPr>
          </w:p>
        </w:tc>
        <w:tc>
          <w:tcPr>
            <w:tcW w:w="520" w:type="pct"/>
            <w:gridSpan w:val="2"/>
            <w:vMerge w:val="continue"/>
            <w:vAlign w:val="center"/>
          </w:tcPr>
          <w:p>
            <w:pPr>
              <w:adjustRightInd w:val="0"/>
              <w:snapToGrid w:val="0"/>
              <w:jc w:val="center"/>
              <w:rPr>
                <w:rFonts w:ascii="Times New Roman" w:hAnsi="Times New Roman" w:eastAsiaTheme="minorEastAsia"/>
                <w:b/>
                <w:bCs/>
              </w:rPr>
            </w:pPr>
          </w:p>
        </w:tc>
        <w:tc>
          <w:tcPr>
            <w:tcW w:w="577" w:type="pct"/>
            <w:gridSpan w:val="3"/>
            <w:vMerge w:val="continue"/>
            <w:vAlign w:val="center"/>
          </w:tcPr>
          <w:p>
            <w:pPr>
              <w:adjustRightInd w:val="0"/>
              <w:snapToGrid w:val="0"/>
              <w:jc w:val="center"/>
              <w:rPr>
                <w:rFonts w:ascii="Times New Roman" w:hAnsi="Times New Roman" w:eastAsiaTheme="minorEastAsia"/>
                <w:b/>
                <w:bCs/>
              </w:rPr>
            </w:pPr>
          </w:p>
        </w:tc>
        <w:tc>
          <w:tcPr>
            <w:tcW w:w="421" w:type="pct"/>
            <w:vAlign w:val="center"/>
          </w:tcPr>
          <w:p>
            <w:pPr>
              <w:adjustRightInd w:val="0"/>
              <w:snapToGrid w:val="0"/>
              <w:jc w:val="center"/>
              <w:rPr>
                <w:rFonts w:ascii="Times New Roman" w:hAnsi="Times New Roman" w:eastAsiaTheme="minorEastAsia"/>
                <w:b/>
                <w:bCs/>
              </w:rPr>
            </w:pPr>
            <w:r>
              <w:rPr>
                <w:rFonts w:hint="eastAsia" w:ascii="Times New Roman" w:hAnsi="Times New Roman" w:eastAsiaTheme="minorEastAsia"/>
                <w:b/>
                <w:bCs/>
                <w:lang w:eastAsia="zh-CN"/>
              </w:rPr>
              <w:t>（</w:t>
            </w:r>
            <w:r>
              <w:rPr>
                <w:rFonts w:ascii="Times New Roman" w:hAnsi="Times New Roman" w:eastAsiaTheme="minorEastAsia"/>
                <w:b/>
                <w:bCs/>
              </w:rPr>
              <w:t>mg/L</w:t>
            </w:r>
            <w:r>
              <w:rPr>
                <w:rFonts w:hint="eastAsia" w:ascii="Times New Roman" w:hAnsi="Times New Roman" w:eastAsiaTheme="minorEastAsia"/>
                <w:b/>
                <w:bCs/>
                <w:lang w:eastAsia="zh-CN"/>
              </w:rPr>
              <w:t>）</w:t>
            </w:r>
          </w:p>
        </w:tc>
        <w:tc>
          <w:tcPr>
            <w:tcW w:w="393" w:type="pct"/>
            <w:gridSpan w:val="2"/>
            <w:vAlign w:val="center"/>
          </w:tcPr>
          <w:p>
            <w:pPr>
              <w:adjustRightInd w:val="0"/>
              <w:snapToGrid w:val="0"/>
              <w:jc w:val="center"/>
              <w:rPr>
                <w:rFonts w:ascii="Times New Roman" w:hAnsi="Times New Roman" w:eastAsiaTheme="minorEastAsia"/>
                <w:b/>
                <w:bCs/>
              </w:rPr>
            </w:pPr>
            <w:r>
              <w:rPr>
                <w:rFonts w:hint="eastAsia" w:ascii="Times New Roman" w:hAnsi="Times New Roman" w:eastAsiaTheme="minorEastAsia"/>
                <w:b/>
                <w:bCs/>
                <w:lang w:eastAsia="zh-CN"/>
              </w:rPr>
              <w:t>（</w:t>
            </w:r>
            <w:r>
              <w:rPr>
                <w:rFonts w:ascii="Times New Roman" w:hAnsi="Times New Roman" w:eastAsiaTheme="minorEastAsia"/>
                <w:b/>
                <w:bCs/>
              </w:rPr>
              <w:t>t/a</w:t>
            </w:r>
            <w:r>
              <w:rPr>
                <w:rFonts w:hint="eastAsia" w:ascii="Times New Roman" w:hAnsi="Times New Roman" w:eastAsiaTheme="minorEastAsia"/>
                <w:b/>
                <w:bCs/>
                <w:lang w:eastAsia="zh-CN"/>
              </w:rPr>
              <w:t>）</w:t>
            </w:r>
          </w:p>
        </w:tc>
        <w:tc>
          <w:tcPr>
            <w:tcW w:w="2063" w:type="pct"/>
            <w:gridSpan w:val="2"/>
            <w:vMerge w:val="continue"/>
            <w:vAlign w:val="center"/>
          </w:tcPr>
          <w:p>
            <w:pPr>
              <w:adjustRightInd w:val="0"/>
              <w:snapToGrid w:val="0"/>
              <w:jc w:val="center"/>
              <w:rPr>
                <w:rFonts w:ascii="Times New Roman" w:hAnsi="Times New Roman" w:eastAsiaTheme="minorEastAsia"/>
                <w:b/>
                <w:bC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47" w:type="pct"/>
            <w:vMerge w:val="restart"/>
            <w:vAlign w:val="center"/>
          </w:tcPr>
          <w:p>
            <w:pPr>
              <w:adjustRightInd w:val="0"/>
              <w:snapToGrid w:val="0"/>
              <w:jc w:val="center"/>
              <w:rPr>
                <w:rFonts w:ascii="Times New Roman" w:hAnsi="Times New Roman" w:eastAsiaTheme="minorEastAsia"/>
                <w:bCs/>
              </w:rPr>
            </w:pPr>
            <w:r>
              <w:rPr>
                <w:rFonts w:ascii="Times New Roman" w:hAnsi="Times New Roman" w:eastAsiaTheme="minorEastAsia"/>
                <w:b/>
                <w:bCs w:val="0"/>
              </w:rPr>
              <w:t>废水</w:t>
            </w:r>
          </w:p>
        </w:tc>
        <w:tc>
          <w:tcPr>
            <w:tcW w:w="779" w:type="pct"/>
            <w:vMerge w:val="restart"/>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到港船舶舱底油污水</w:t>
            </w:r>
          </w:p>
        </w:tc>
        <w:tc>
          <w:tcPr>
            <w:tcW w:w="520" w:type="pct"/>
            <w:gridSpan w:val="2"/>
            <w:vMerge w:val="restart"/>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718.38</w:t>
            </w:r>
          </w:p>
        </w:tc>
        <w:tc>
          <w:tcPr>
            <w:tcW w:w="577" w:type="pct"/>
            <w:gridSpan w:val="3"/>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COD</w:t>
            </w:r>
          </w:p>
        </w:tc>
        <w:tc>
          <w:tcPr>
            <w:tcW w:w="421" w:type="pct"/>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400</w:t>
            </w:r>
          </w:p>
        </w:tc>
        <w:tc>
          <w:tcPr>
            <w:tcW w:w="393" w:type="pct"/>
            <w:gridSpan w:val="2"/>
            <w:vAlign w:val="center"/>
          </w:tcPr>
          <w:p>
            <w:pPr>
              <w:widowControl/>
              <w:adjustRightInd w:val="0"/>
              <w:snapToGrid w:val="0"/>
              <w:jc w:val="center"/>
              <w:textAlignment w:val="center"/>
              <w:rPr>
                <w:rFonts w:ascii="Times New Roman" w:hAnsi="Times New Roman" w:eastAsiaTheme="minorEastAsia"/>
                <w:bCs/>
              </w:rPr>
            </w:pPr>
            <w:r>
              <w:rPr>
                <w:rFonts w:ascii="Times New Roman" w:hAnsi="Times New Roman"/>
                <w:color w:val="000000"/>
                <w:kern w:val="0"/>
                <w:lang w:bidi="ar"/>
              </w:rPr>
              <w:t>0.287</w:t>
            </w:r>
          </w:p>
        </w:tc>
        <w:tc>
          <w:tcPr>
            <w:tcW w:w="2063" w:type="pct"/>
            <w:gridSpan w:val="2"/>
            <w:vMerge w:val="restart"/>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由船舶自备的油水分离器隔油处理后由船舶交给海事部门环保船接收处理，不上岸处理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47" w:type="pct"/>
            <w:vMerge w:val="continue"/>
            <w:vAlign w:val="center"/>
          </w:tcPr>
          <w:p>
            <w:pPr>
              <w:adjustRightInd w:val="0"/>
              <w:snapToGrid w:val="0"/>
              <w:jc w:val="center"/>
              <w:rPr>
                <w:rFonts w:ascii="Times New Roman" w:hAnsi="Times New Roman" w:eastAsiaTheme="minorEastAsia"/>
                <w:bCs/>
              </w:rPr>
            </w:pPr>
          </w:p>
        </w:tc>
        <w:tc>
          <w:tcPr>
            <w:tcW w:w="779" w:type="pct"/>
            <w:vMerge w:val="continue"/>
            <w:vAlign w:val="center"/>
          </w:tcPr>
          <w:p>
            <w:pPr>
              <w:adjustRightInd w:val="0"/>
              <w:snapToGrid w:val="0"/>
              <w:jc w:val="center"/>
              <w:rPr>
                <w:rFonts w:ascii="Times New Roman" w:hAnsi="Times New Roman" w:eastAsiaTheme="minorEastAsia"/>
                <w:bCs/>
              </w:rPr>
            </w:pPr>
          </w:p>
        </w:tc>
        <w:tc>
          <w:tcPr>
            <w:tcW w:w="520" w:type="pct"/>
            <w:gridSpan w:val="2"/>
            <w:vMerge w:val="continue"/>
            <w:vAlign w:val="center"/>
          </w:tcPr>
          <w:p>
            <w:pPr>
              <w:adjustRightInd w:val="0"/>
              <w:snapToGrid w:val="0"/>
              <w:jc w:val="center"/>
              <w:rPr>
                <w:rFonts w:ascii="Times New Roman" w:hAnsi="Times New Roman" w:eastAsiaTheme="minorEastAsia"/>
                <w:bCs/>
              </w:rPr>
            </w:pPr>
          </w:p>
        </w:tc>
        <w:tc>
          <w:tcPr>
            <w:tcW w:w="577" w:type="pct"/>
            <w:gridSpan w:val="3"/>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石油类</w:t>
            </w:r>
          </w:p>
        </w:tc>
        <w:tc>
          <w:tcPr>
            <w:tcW w:w="421" w:type="pct"/>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5000</w:t>
            </w:r>
          </w:p>
        </w:tc>
        <w:tc>
          <w:tcPr>
            <w:tcW w:w="393" w:type="pct"/>
            <w:gridSpan w:val="2"/>
            <w:vAlign w:val="center"/>
          </w:tcPr>
          <w:p>
            <w:pPr>
              <w:widowControl/>
              <w:adjustRightInd w:val="0"/>
              <w:snapToGrid w:val="0"/>
              <w:jc w:val="center"/>
              <w:textAlignment w:val="center"/>
              <w:rPr>
                <w:rFonts w:ascii="Times New Roman" w:hAnsi="Times New Roman" w:eastAsiaTheme="minorEastAsia"/>
                <w:bCs/>
              </w:rPr>
            </w:pPr>
            <w:r>
              <w:rPr>
                <w:rFonts w:ascii="Times New Roman" w:hAnsi="Times New Roman"/>
                <w:color w:val="000000"/>
                <w:kern w:val="0"/>
                <w:lang w:bidi="ar"/>
              </w:rPr>
              <w:t>3.592</w:t>
            </w:r>
          </w:p>
        </w:tc>
        <w:tc>
          <w:tcPr>
            <w:tcW w:w="2063" w:type="pct"/>
            <w:gridSpan w:val="2"/>
            <w:vMerge w:val="continue"/>
            <w:vAlign w:val="center"/>
          </w:tcPr>
          <w:p>
            <w:pPr>
              <w:adjustRightInd w:val="0"/>
              <w:snapToGrid w:val="0"/>
              <w:jc w:val="center"/>
              <w:rPr>
                <w:rFonts w:ascii="Times New Roman" w:hAnsi="Times New Roman" w:eastAsiaTheme="minorEastAsia"/>
                <w:bC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47" w:type="pct"/>
            <w:vMerge w:val="continue"/>
            <w:vAlign w:val="center"/>
          </w:tcPr>
          <w:p>
            <w:pPr>
              <w:adjustRightInd w:val="0"/>
              <w:snapToGrid w:val="0"/>
              <w:jc w:val="center"/>
              <w:rPr>
                <w:rFonts w:ascii="Times New Roman" w:hAnsi="Times New Roman" w:eastAsiaTheme="minorEastAsia"/>
                <w:bCs/>
              </w:rPr>
            </w:pPr>
          </w:p>
        </w:tc>
        <w:tc>
          <w:tcPr>
            <w:tcW w:w="779" w:type="pct"/>
            <w:vMerge w:val="restart"/>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船舶生活污水</w:t>
            </w:r>
          </w:p>
        </w:tc>
        <w:tc>
          <w:tcPr>
            <w:tcW w:w="520" w:type="pct"/>
            <w:gridSpan w:val="2"/>
            <w:vMerge w:val="restart"/>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237.6</w:t>
            </w:r>
          </w:p>
        </w:tc>
        <w:tc>
          <w:tcPr>
            <w:tcW w:w="577" w:type="pct"/>
            <w:gridSpan w:val="3"/>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COD</w:t>
            </w:r>
          </w:p>
        </w:tc>
        <w:tc>
          <w:tcPr>
            <w:tcW w:w="421" w:type="pct"/>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350</w:t>
            </w:r>
          </w:p>
        </w:tc>
        <w:tc>
          <w:tcPr>
            <w:tcW w:w="393" w:type="pct"/>
            <w:gridSpan w:val="2"/>
            <w:vAlign w:val="center"/>
          </w:tcPr>
          <w:p>
            <w:pPr>
              <w:widowControl/>
              <w:adjustRightInd w:val="0"/>
              <w:snapToGrid w:val="0"/>
              <w:jc w:val="center"/>
              <w:textAlignment w:val="center"/>
              <w:rPr>
                <w:rFonts w:ascii="Times New Roman" w:hAnsi="Times New Roman" w:eastAsiaTheme="minorEastAsia"/>
                <w:bCs/>
              </w:rPr>
            </w:pPr>
            <w:r>
              <w:rPr>
                <w:rFonts w:ascii="Times New Roman" w:hAnsi="Times New Roman"/>
                <w:color w:val="000000"/>
                <w:kern w:val="0"/>
                <w:lang w:bidi="ar"/>
              </w:rPr>
              <w:t>0.083</w:t>
            </w:r>
          </w:p>
        </w:tc>
        <w:tc>
          <w:tcPr>
            <w:tcW w:w="2063" w:type="pct"/>
            <w:gridSpan w:val="2"/>
            <w:vMerge w:val="restart"/>
            <w:vAlign w:val="center"/>
          </w:tcPr>
          <w:p>
            <w:pPr>
              <w:adjustRightInd w:val="0"/>
              <w:snapToGrid w:val="0"/>
              <w:jc w:val="center"/>
              <w:rPr>
                <w:rFonts w:ascii="Times New Roman" w:hAnsi="Times New Roman"/>
              </w:rPr>
            </w:pPr>
            <w:r>
              <w:rPr>
                <w:rFonts w:ascii="Times New Roman" w:hAnsi="Times New Roman"/>
              </w:rPr>
              <w:t>海事部门环保船接收处理，不上岸处理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47" w:type="pct"/>
            <w:vMerge w:val="continue"/>
            <w:vAlign w:val="center"/>
          </w:tcPr>
          <w:p>
            <w:pPr>
              <w:adjustRightInd w:val="0"/>
              <w:snapToGrid w:val="0"/>
              <w:jc w:val="center"/>
              <w:rPr>
                <w:rFonts w:ascii="Times New Roman" w:hAnsi="Times New Roman" w:eastAsiaTheme="minorEastAsia"/>
                <w:bCs/>
              </w:rPr>
            </w:pPr>
          </w:p>
        </w:tc>
        <w:tc>
          <w:tcPr>
            <w:tcW w:w="779" w:type="pct"/>
            <w:vMerge w:val="continue"/>
            <w:vAlign w:val="center"/>
          </w:tcPr>
          <w:p>
            <w:pPr>
              <w:adjustRightInd w:val="0"/>
              <w:snapToGrid w:val="0"/>
              <w:jc w:val="center"/>
              <w:rPr>
                <w:rFonts w:ascii="Times New Roman" w:hAnsi="Times New Roman" w:eastAsiaTheme="minorEastAsia"/>
                <w:bCs/>
              </w:rPr>
            </w:pPr>
          </w:p>
        </w:tc>
        <w:tc>
          <w:tcPr>
            <w:tcW w:w="520" w:type="pct"/>
            <w:gridSpan w:val="2"/>
            <w:vMerge w:val="continue"/>
            <w:vAlign w:val="center"/>
          </w:tcPr>
          <w:p>
            <w:pPr>
              <w:adjustRightInd w:val="0"/>
              <w:snapToGrid w:val="0"/>
              <w:jc w:val="center"/>
              <w:rPr>
                <w:rFonts w:ascii="Times New Roman" w:hAnsi="Times New Roman" w:eastAsiaTheme="minorEastAsia"/>
                <w:bCs/>
              </w:rPr>
            </w:pPr>
          </w:p>
        </w:tc>
        <w:tc>
          <w:tcPr>
            <w:tcW w:w="577" w:type="pct"/>
            <w:gridSpan w:val="3"/>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BOD</w:t>
            </w:r>
            <w:r>
              <w:rPr>
                <w:rFonts w:ascii="Times New Roman" w:hAnsi="Times New Roman" w:eastAsiaTheme="minorEastAsia"/>
                <w:bCs/>
                <w:vertAlign w:val="subscript"/>
              </w:rPr>
              <w:t>5</w:t>
            </w:r>
          </w:p>
        </w:tc>
        <w:tc>
          <w:tcPr>
            <w:tcW w:w="421" w:type="pct"/>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250</w:t>
            </w:r>
          </w:p>
        </w:tc>
        <w:tc>
          <w:tcPr>
            <w:tcW w:w="393" w:type="pct"/>
            <w:gridSpan w:val="2"/>
            <w:vAlign w:val="center"/>
          </w:tcPr>
          <w:p>
            <w:pPr>
              <w:widowControl/>
              <w:adjustRightInd w:val="0"/>
              <w:snapToGrid w:val="0"/>
              <w:jc w:val="center"/>
              <w:textAlignment w:val="center"/>
              <w:rPr>
                <w:rFonts w:ascii="Times New Roman" w:hAnsi="Times New Roman" w:eastAsiaTheme="minorEastAsia"/>
                <w:bCs/>
              </w:rPr>
            </w:pPr>
            <w:r>
              <w:rPr>
                <w:rFonts w:ascii="Times New Roman" w:hAnsi="Times New Roman"/>
                <w:color w:val="000000"/>
                <w:kern w:val="0"/>
                <w:lang w:bidi="ar"/>
              </w:rPr>
              <w:t>0.059</w:t>
            </w:r>
          </w:p>
        </w:tc>
        <w:tc>
          <w:tcPr>
            <w:tcW w:w="2063" w:type="pct"/>
            <w:gridSpan w:val="2"/>
            <w:vMerge w:val="continue"/>
            <w:vAlign w:val="center"/>
          </w:tcPr>
          <w:p>
            <w:pPr>
              <w:adjustRightInd w:val="0"/>
              <w:snapToGrid w:val="0"/>
              <w:jc w:val="center"/>
              <w:rPr>
                <w:rFonts w:ascii="Times New Roman" w:hAnsi="Times New Roman" w:eastAsiaTheme="minorEastAsia"/>
                <w:bC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47" w:type="pct"/>
            <w:vMerge w:val="continue"/>
            <w:vAlign w:val="center"/>
          </w:tcPr>
          <w:p>
            <w:pPr>
              <w:adjustRightInd w:val="0"/>
              <w:snapToGrid w:val="0"/>
              <w:jc w:val="center"/>
              <w:rPr>
                <w:rFonts w:ascii="Times New Roman" w:hAnsi="Times New Roman" w:eastAsiaTheme="minorEastAsia"/>
                <w:bCs/>
              </w:rPr>
            </w:pPr>
          </w:p>
        </w:tc>
        <w:tc>
          <w:tcPr>
            <w:tcW w:w="779" w:type="pct"/>
            <w:vMerge w:val="continue"/>
            <w:vAlign w:val="center"/>
          </w:tcPr>
          <w:p>
            <w:pPr>
              <w:adjustRightInd w:val="0"/>
              <w:snapToGrid w:val="0"/>
              <w:jc w:val="center"/>
              <w:rPr>
                <w:rFonts w:ascii="Times New Roman" w:hAnsi="Times New Roman" w:eastAsiaTheme="minorEastAsia"/>
                <w:bCs/>
              </w:rPr>
            </w:pPr>
          </w:p>
        </w:tc>
        <w:tc>
          <w:tcPr>
            <w:tcW w:w="520" w:type="pct"/>
            <w:gridSpan w:val="2"/>
            <w:vMerge w:val="continue"/>
            <w:vAlign w:val="center"/>
          </w:tcPr>
          <w:p>
            <w:pPr>
              <w:adjustRightInd w:val="0"/>
              <w:snapToGrid w:val="0"/>
              <w:jc w:val="center"/>
              <w:rPr>
                <w:rFonts w:ascii="Times New Roman" w:hAnsi="Times New Roman" w:eastAsiaTheme="minorEastAsia"/>
                <w:bCs/>
              </w:rPr>
            </w:pPr>
          </w:p>
        </w:tc>
        <w:tc>
          <w:tcPr>
            <w:tcW w:w="577" w:type="pct"/>
            <w:gridSpan w:val="3"/>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SS</w:t>
            </w:r>
          </w:p>
        </w:tc>
        <w:tc>
          <w:tcPr>
            <w:tcW w:w="421" w:type="pct"/>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300</w:t>
            </w:r>
          </w:p>
        </w:tc>
        <w:tc>
          <w:tcPr>
            <w:tcW w:w="393" w:type="pct"/>
            <w:gridSpan w:val="2"/>
            <w:vAlign w:val="center"/>
          </w:tcPr>
          <w:p>
            <w:pPr>
              <w:widowControl/>
              <w:adjustRightInd w:val="0"/>
              <w:snapToGrid w:val="0"/>
              <w:jc w:val="center"/>
              <w:textAlignment w:val="center"/>
              <w:rPr>
                <w:rFonts w:ascii="Times New Roman" w:hAnsi="Times New Roman" w:eastAsiaTheme="minorEastAsia"/>
                <w:bCs/>
              </w:rPr>
            </w:pPr>
            <w:r>
              <w:rPr>
                <w:rFonts w:ascii="Times New Roman" w:hAnsi="Times New Roman"/>
                <w:color w:val="000000"/>
                <w:kern w:val="0"/>
                <w:lang w:bidi="ar"/>
              </w:rPr>
              <w:t>0.071</w:t>
            </w:r>
          </w:p>
        </w:tc>
        <w:tc>
          <w:tcPr>
            <w:tcW w:w="2063" w:type="pct"/>
            <w:gridSpan w:val="2"/>
            <w:vMerge w:val="continue"/>
            <w:vAlign w:val="center"/>
          </w:tcPr>
          <w:p>
            <w:pPr>
              <w:adjustRightInd w:val="0"/>
              <w:snapToGrid w:val="0"/>
              <w:jc w:val="center"/>
              <w:rPr>
                <w:rFonts w:ascii="Times New Roman" w:hAnsi="Times New Roman" w:eastAsiaTheme="minorEastAsia"/>
                <w:bC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47" w:type="pct"/>
            <w:vMerge w:val="continue"/>
            <w:vAlign w:val="center"/>
          </w:tcPr>
          <w:p>
            <w:pPr>
              <w:adjustRightInd w:val="0"/>
              <w:snapToGrid w:val="0"/>
              <w:jc w:val="center"/>
              <w:rPr>
                <w:rFonts w:ascii="Times New Roman" w:hAnsi="Times New Roman" w:eastAsiaTheme="minorEastAsia"/>
                <w:bCs/>
              </w:rPr>
            </w:pPr>
          </w:p>
        </w:tc>
        <w:tc>
          <w:tcPr>
            <w:tcW w:w="779" w:type="pct"/>
            <w:vMerge w:val="continue"/>
            <w:vAlign w:val="center"/>
          </w:tcPr>
          <w:p>
            <w:pPr>
              <w:adjustRightInd w:val="0"/>
              <w:snapToGrid w:val="0"/>
              <w:jc w:val="center"/>
              <w:rPr>
                <w:rFonts w:ascii="Times New Roman" w:hAnsi="Times New Roman" w:eastAsiaTheme="minorEastAsia"/>
                <w:bCs/>
              </w:rPr>
            </w:pPr>
          </w:p>
        </w:tc>
        <w:tc>
          <w:tcPr>
            <w:tcW w:w="520" w:type="pct"/>
            <w:gridSpan w:val="2"/>
            <w:vMerge w:val="continue"/>
            <w:vAlign w:val="center"/>
          </w:tcPr>
          <w:p>
            <w:pPr>
              <w:adjustRightInd w:val="0"/>
              <w:snapToGrid w:val="0"/>
              <w:jc w:val="center"/>
              <w:rPr>
                <w:rFonts w:ascii="Times New Roman" w:hAnsi="Times New Roman" w:eastAsiaTheme="minorEastAsia"/>
                <w:bCs/>
              </w:rPr>
            </w:pPr>
          </w:p>
        </w:tc>
        <w:tc>
          <w:tcPr>
            <w:tcW w:w="577" w:type="pct"/>
            <w:gridSpan w:val="3"/>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NH</w:t>
            </w:r>
            <w:r>
              <w:rPr>
                <w:rFonts w:ascii="Times New Roman" w:hAnsi="Times New Roman" w:eastAsiaTheme="minorEastAsia"/>
                <w:bCs/>
                <w:vertAlign w:val="subscript"/>
              </w:rPr>
              <w:t>3</w:t>
            </w:r>
            <w:r>
              <w:rPr>
                <w:rFonts w:ascii="Times New Roman" w:hAnsi="Times New Roman" w:eastAsiaTheme="minorEastAsia"/>
                <w:bCs/>
              </w:rPr>
              <w:t>-N</w:t>
            </w:r>
          </w:p>
        </w:tc>
        <w:tc>
          <w:tcPr>
            <w:tcW w:w="421" w:type="pct"/>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40</w:t>
            </w:r>
          </w:p>
        </w:tc>
        <w:tc>
          <w:tcPr>
            <w:tcW w:w="393" w:type="pct"/>
            <w:gridSpan w:val="2"/>
            <w:vAlign w:val="center"/>
          </w:tcPr>
          <w:p>
            <w:pPr>
              <w:widowControl/>
              <w:adjustRightInd w:val="0"/>
              <w:snapToGrid w:val="0"/>
              <w:jc w:val="center"/>
              <w:textAlignment w:val="center"/>
              <w:rPr>
                <w:rFonts w:ascii="Times New Roman" w:hAnsi="Times New Roman" w:eastAsiaTheme="minorEastAsia"/>
                <w:bCs/>
              </w:rPr>
            </w:pPr>
            <w:r>
              <w:rPr>
                <w:rFonts w:ascii="Times New Roman" w:hAnsi="Times New Roman"/>
                <w:color w:val="000000"/>
                <w:kern w:val="0"/>
                <w:lang w:bidi="ar"/>
              </w:rPr>
              <w:t>0.010</w:t>
            </w:r>
          </w:p>
        </w:tc>
        <w:tc>
          <w:tcPr>
            <w:tcW w:w="2063" w:type="pct"/>
            <w:gridSpan w:val="2"/>
            <w:vMerge w:val="continue"/>
            <w:vAlign w:val="center"/>
          </w:tcPr>
          <w:p>
            <w:pPr>
              <w:adjustRightInd w:val="0"/>
              <w:snapToGrid w:val="0"/>
              <w:jc w:val="center"/>
              <w:rPr>
                <w:rFonts w:ascii="Times New Roman" w:hAnsi="Times New Roman" w:eastAsiaTheme="minorEastAsia"/>
                <w:bC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47" w:type="pct"/>
            <w:vMerge w:val="continue"/>
            <w:vAlign w:val="center"/>
          </w:tcPr>
          <w:p>
            <w:pPr>
              <w:adjustRightInd w:val="0"/>
              <w:snapToGrid w:val="0"/>
              <w:jc w:val="center"/>
              <w:rPr>
                <w:rFonts w:ascii="Times New Roman" w:hAnsi="Times New Roman" w:eastAsiaTheme="minorEastAsia"/>
                <w:bCs/>
              </w:rPr>
            </w:pPr>
          </w:p>
        </w:tc>
        <w:tc>
          <w:tcPr>
            <w:tcW w:w="779" w:type="pct"/>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趸船冲洗废水</w:t>
            </w:r>
          </w:p>
        </w:tc>
        <w:tc>
          <w:tcPr>
            <w:tcW w:w="520" w:type="pct"/>
            <w:gridSpan w:val="2"/>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1900.8</w:t>
            </w:r>
          </w:p>
        </w:tc>
        <w:tc>
          <w:tcPr>
            <w:tcW w:w="577" w:type="pct"/>
            <w:gridSpan w:val="3"/>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SS</w:t>
            </w:r>
          </w:p>
        </w:tc>
        <w:tc>
          <w:tcPr>
            <w:tcW w:w="421" w:type="pct"/>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1000</w:t>
            </w:r>
          </w:p>
        </w:tc>
        <w:tc>
          <w:tcPr>
            <w:tcW w:w="393" w:type="pct"/>
            <w:gridSpan w:val="2"/>
            <w:vAlign w:val="center"/>
          </w:tcPr>
          <w:p>
            <w:pPr>
              <w:widowControl/>
              <w:adjustRightInd w:val="0"/>
              <w:snapToGrid w:val="0"/>
              <w:jc w:val="center"/>
              <w:textAlignment w:val="center"/>
              <w:rPr>
                <w:rFonts w:ascii="Times New Roman" w:hAnsi="Times New Roman" w:eastAsiaTheme="minorEastAsia"/>
                <w:bCs/>
              </w:rPr>
            </w:pPr>
            <w:r>
              <w:rPr>
                <w:rFonts w:ascii="Times New Roman" w:hAnsi="Times New Roman"/>
                <w:color w:val="000000"/>
                <w:kern w:val="0"/>
                <w:lang w:bidi="ar"/>
              </w:rPr>
              <w:t>1.901</w:t>
            </w:r>
          </w:p>
        </w:tc>
        <w:tc>
          <w:tcPr>
            <w:tcW w:w="2063" w:type="pct"/>
            <w:gridSpan w:val="2"/>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冲洗废水经码头设置的收集坎，收集后进入趸船内设煤水收集池，经沉淀处理后泵送上岸进入后方码头院内的散货污水处理站处理达到《污水综合排放标准》（GB8978-1996）一级标准后，再通过管道泵送至电厂厂区用作绿化用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47" w:type="pct"/>
            <w:vMerge w:val="continue"/>
            <w:vAlign w:val="center"/>
          </w:tcPr>
          <w:p>
            <w:pPr>
              <w:adjustRightInd w:val="0"/>
              <w:snapToGrid w:val="0"/>
              <w:jc w:val="center"/>
              <w:rPr>
                <w:rFonts w:ascii="Times New Roman" w:hAnsi="Times New Roman" w:eastAsiaTheme="minorEastAsia"/>
                <w:bCs/>
              </w:rPr>
            </w:pPr>
          </w:p>
        </w:tc>
        <w:tc>
          <w:tcPr>
            <w:tcW w:w="779" w:type="pct"/>
            <w:vMerge w:val="restart"/>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员工生活污水</w:t>
            </w:r>
          </w:p>
        </w:tc>
        <w:tc>
          <w:tcPr>
            <w:tcW w:w="520" w:type="pct"/>
            <w:gridSpan w:val="2"/>
            <w:vMerge w:val="restart"/>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330</w:t>
            </w:r>
          </w:p>
        </w:tc>
        <w:tc>
          <w:tcPr>
            <w:tcW w:w="577" w:type="pct"/>
            <w:gridSpan w:val="3"/>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COD</w:t>
            </w:r>
          </w:p>
        </w:tc>
        <w:tc>
          <w:tcPr>
            <w:tcW w:w="421" w:type="pct"/>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350</w:t>
            </w:r>
          </w:p>
        </w:tc>
        <w:tc>
          <w:tcPr>
            <w:tcW w:w="393" w:type="pct"/>
            <w:gridSpan w:val="2"/>
            <w:vAlign w:val="center"/>
          </w:tcPr>
          <w:p>
            <w:pPr>
              <w:widowControl/>
              <w:adjustRightInd w:val="0"/>
              <w:snapToGrid w:val="0"/>
              <w:jc w:val="center"/>
              <w:textAlignment w:val="center"/>
              <w:rPr>
                <w:rFonts w:ascii="Times New Roman" w:hAnsi="Times New Roman" w:eastAsiaTheme="minorEastAsia"/>
                <w:bCs/>
              </w:rPr>
            </w:pPr>
            <w:r>
              <w:rPr>
                <w:rFonts w:ascii="Times New Roman" w:hAnsi="Times New Roman"/>
                <w:color w:val="000000"/>
                <w:kern w:val="0"/>
                <w:lang w:bidi="ar"/>
              </w:rPr>
              <w:t>0.116</w:t>
            </w:r>
          </w:p>
        </w:tc>
        <w:tc>
          <w:tcPr>
            <w:tcW w:w="2063" w:type="pct"/>
            <w:gridSpan w:val="2"/>
            <w:vMerge w:val="restart"/>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码头设置简易环保型厕所，污水泵送至后方码头院内生活污水处理站处理达到《污水综合排放标准》（GB8978-1996）一级标准后，再通过管道泵送至电厂厂区用作绿化用水。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47" w:type="pct"/>
            <w:vMerge w:val="continue"/>
            <w:vAlign w:val="center"/>
          </w:tcPr>
          <w:p>
            <w:pPr>
              <w:adjustRightInd w:val="0"/>
              <w:snapToGrid w:val="0"/>
              <w:jc w:val="center"/>
              <w:rPr>
                <w:rFonts w:ascii="Times New Roman" w:hAnsi="Times New Roman" w:eastAsiaTheme="minorEastAsia"/>
                <w:bCs/>
              </w:rPr>
            </w:pPr>
          </w:p>
        </w:tc>
        <w:tc>
          <w:tcPr>
            <w:tcW w:w="779" w:type="pct"/>
            <w:vMerge w:val="continue"/>
            <w:vAlign w:val="center"/>
          </w:tcPr>
          <w:p>
            <w:pPr>
              <w:adjustRightInd w:val="0"/>
              <w:snapToGrid w:val="0"/>
              <w:jc w:val="center"/>
              <w:rPr>
                <w:rFonts w:ascii="Times New Roman" w:hAnsi="Times New Roman" w:eastAsiaTheme="minorEastAsia"/>
                <w:bCs/>
              </w:rPr>
            </w:pPr>
          </w:p>
        </w:tc>
        <w:tc>
          <w:tcPr>
            <w:tcW w:w="520" w:type="pct"/>
            <w:gridSpan w:val="2"/>
            <w:vMerge w:val="continue"/>
            <w:vAlign w:val="center"/>
          </w:tcPr>
          <w:p>
            <w:pPr>
              <w:adjustRightInd w:val="0"/>
              <w:snapToGrid w:val="0"/>
              <w:jc w:val="center"/>
              <w:rPr>
                <w:rFonts w:ascii="Times New Roman" w:hAnsi="Times New Roman" w:eastAsiaTheme="minorEastAsia"/>
                <w:bCs/>
              </w:rPr>
            </w:pPr>
          </w:p>
        </w:tc>
        <w:tc>
          <w:tcPr>
            <w:tcW w:w="577" w:type="pct"/>
            <w:gridSpan w:val="3"/>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BOD</w:t>
            </w:r>
            <w:r>
              <w:rPr>
                <w:rFonts w:ascii="Times New Roman" w:hAnsi="Times New Roman" w:eastAsiaTheme="minorEastAsia"/>
                <w:bCs/>
                <w:vertAlign w:val="subscript"/>
              </w:rPr>
              <w:t>5</w:t>
            </w:r>
          </w:p>
        </w:tc>
        <w:tc>
          <w:tcPr>
            <w:tcW w:w="421" w:type="pct"/>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250</w:t>
            </w:r>
          </w:p>
        </w:tc>
        <w:tc>
          <w:tcPr>
            <w:tcW w:w="393" w:type="pct"/>
            <w:gridSpan w:val="2"/>
            <w:vAlign w:val="center"/>
          </w:tcPr>
          <w:p>
            <w:pPr>
              <w:widowControl/>
              <w:adjustRightInd w:val="0"/>
              <w:snapToGrid w:val="0"/>
              <w:jc w:val="center"/>
              <w:textAlignment w:val="center"/>
              <w:rPr>
                <w:rFonts w:ascii="Times New Roman" w:hAnsi="Times New Roman" w:eastAsiaTheme="minorEastAsia"/>
                <w:bCs/>
              </w:rPr>
            </w:pPr>
            <w:r>
              <w:rPr>
                <w:rFonts w:ascii="Times New Roman" w:hAnsi="Times New Roman"/>
                <w:color w:val="000000"/>
                <w:kern w:val="0"/>
                <w:lang w:bidi="ar"/>
              </w:rPr>
              <w:t>0.083</w:t>
            </w:r>
          </w:p>
        </w:tc>
        <w:tc>
          <w:tcPr>
            <w:tcW w:w="2063" w:type="pct"/>
            <w:gridSpan w:val="2"/>
            <w:vMerge w:val="continue"/>
            <w:vAlign w:val="center"/>
          </w:tcPr>
          <w:p>
            <w:pPr>
              <w:adjustRightInd w:val="0"/>
              <w:snapToGrid w:val="0"/>
              <w:jc w:val="center"/>
              <w:rPr>
                <w:rFonts w:ascii="Times New Roman" w:hAnsi="Times New Roman" w:eastAsiaTheme="minorEastAsia"/>
                <w:bC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47" w:type="pct"/>
            <w:vMerge w:val="continue"/>
            <w:vAlign w:val="center"/>
          </w:tcPr>
          <w:p>
            <w:pPr>
              <w:adjustRightInd w:val="0"/>
              <w:snapToGrid w:val="0"/>
              <w:jc w:val="center"/>
              <w:rPr>
                <w:rFonts w:ascii="Times New Roman" w:hAnsi="Times New Roman" w:eastAsiaTheme="minorEastAsia"/>
                <w:bCs/>
              </w:rPr>
            </w:pPr>
          </w:p>
        </w:tc>
        <w:tc>
          <w:tcPr>
            <w:tcW w:w="779" w:type="pct"/>
            <w:vMerge w:val="continue"/>
            <w:vAlign w:val="center"/>
          </w:tcPr>
          <w:p>
            <w:pPr>
              <w:adjustRightInd w:val="0"/>
              <w:snapToGrid w:val="0"/>
              <w:jc w:val="center"/>
              <w:rPr>
                <w:rFonts w:ascii="Times New Roman" w:hAnsi="Times New Roman" w:eastAsiaTheme="minorEastAsia"/>
                <w:bCs/>
              </w:rPr>
            </w:pPr>
          </w:p>
        </w:tc>
        <w:tc>
          <w:tcPr>
            <w:tcW w:w="520" w:type="pct"/>
            <w:gridSpan w:val="2"/>
            <w:vMerge w:val="continue"/>
            <w:vAlign w:val="center"/>
          </w:tcPr>
          <w:p>
            <w:pPr>
              <w:adjustRightInd w:val="0"/>
              <w:snapToGrid w:val="0"/>
              <w:jc w:val="center"/>
              <w:rPr>
                <w:rFonts w:ascii="Times New Roman" w:hAnsi="Times New Roman" w:eastAsiaTheme="minorEastAsia"/>
                <w:bCs/>
              </w:rPr>
            </w:pPr>
          </w:p>
        </w:tc>
        <w:tc>
          <w:tcPr>
            <w:tcW w:w="577" w:type="pct"/>
            <w:gridSpan w:val="3"/>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SS</w:t>
            </w:r>
          </w:p>
        </w:tc>
        <w:tc>
          <w:tcPr>
            <w:tcW w:w="421" w:type="pct"/>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300</w:t>
            </w:r>
          </w:p>
        </w:tc>
        <w:tc>
          <w:tcPr>
            <w:tcW w:w="393" w:type="pct"/>
            <w:gridSpan w:val="2"/>
            <w:vAlign w:val="center"/>
          </w:tcPr>
          <w:p>
            <w:pPr>
              <w:widowControl/>
              <w:adjustRightInd w:val="0"/>
              <w:snapToGrid w:val="0"/>
              <w:jc w:val="center"/>
              <w:textAlignment w:val="center"/>
              <w:rPr>
                <w:rFonts w:ascii="Times New Roman" w:hAnsi="Times New Roman" w:eastAsiaTheme="minorEastAsia"/>
                <w:bCs/>
              </w:rPr>
            </w:pPr>
            <w:r>
              <w:rPr>
                <w:rFonts w:ascii="Times New Roman" w:hAnsi="Times New Roman"/>
                <w:color w:val="000000"/>
                <w:kern w:val="0"/>
                <w:lang w:bidi="ar"/>
              </w:rPr>
              <w:t>0.099</w:t>
            </w:r>
          </w:p>
        </w:tc>
        <w:tc>
          <w:tcPr>
            <w:tcW w:w="2063" w:type="pct"/>
            <w:gridSpan w:val="2"/>
            <w:vMerge w:val="continue"/>
            <w:vAlign w:val="center"/>
          </w:tcPr>
          <w:p>
            <w:pPr>
              <w:adjustRightInd w:val="0"/>
              <w:snapToGrid w:val="0"/>
              <w:jc w:val="center"/>
              <w:rPr>
                <w:rFonts w:ascii="Times New Roman" w:hAnsi="Times New Roman" w:eastAsiaTheme="minorEastAsia"/>
                <w:bC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47" w:type="pct"/>
            <w:vMerge w:val="continue"/>
            <w:vAlign w:val="center"/>
          </w:tcPr>
          <w:p>
            <w:pPr>
              <w:adjustRightInd w:val="0"/>
              <w:snapToGrid w:val="0"/>
              <w:jc w:val="center"/>
              <w:rPr>
                <w:rFonts w:ascii="Times New Roman" w:hAnsi="Times New Roman" w:eastAsiaTheme="minorEastAsia"/>
                <w:bCs/>
              </w:rPr>
            </w:pPr>
          </w:p>
        </w:tc>
        <w:tc>
          <w:tcPr>
            <w:tcW w:w="779" w:type="pct"/>
            <w:vMerge w:val="continue"/>
            <w:vAlign w:val="center"/>
          </w:tcPr>
          <w:p>
            <w:pPr>
              <w:adjustRightInd w:val="0"/>
              <w:snapToGrid w:val="0"/>
              <w:jc w:val="center"/>
              <w:rPr>
                <w:rFonts w:ascii="Times New Roman" w:hAnsi="Times New Roman" w:eastAsiaTheme="minorEastAsia"/>
                <w:bCs/>
              </w:rPr>
            </w:pPr>
          </w:p>
        </w:tc>
        <w:tc>
          <w:tcPr>
            <w:tcW w:w="520" w:type="pct"/>
            <w:gridSpan w:val="2"/>
            <w:vMerge w:val="continue"/>
            <w:vAlign w:val="center"/>
          </w:tcPr>
          <w:p>
            <w:pPr>
              <w:adjustRightInd w:val="0"/>
              <w:snapToGrid w:val="0"/>
              <w:jc w:val="center"/>
              <w:rPr>
                <w:rFonts w:ascii="Times New Roman" w:hAnsi="Times New Roman" w:eastAsiaTheme="minorEastAsia"/>
                <w:bCs/>
              </w:rPr>
            </w:pPr>
          </w:p>
        </w:tc>
        <w:tc>
          <w:tcPr>
            <w:tcW w:w="577" w:type="pct"/>
            <w:gridSpan w:val="3"/>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NH</w:t>
            </w:r>
            <w:r>
              <w:rPr>
                <w:rFonts w:ascii="Times New Roman" w:hAnsi="Times New Roman" w:eastAsiaTheme="minorEastAsia"/>
                <w:bCs/>
                <w:vertAlign w:val="subscript"/>
              </w:rPr>
              <w:t>3</w:t>
            </w:r>
            <w:r>
              <w:rPr>
                <w:rFonts w:ascii="Times New Roman" w:hAnsi="Times New Roman" w:eastAsiaTheme="minorEastAsia"/>
                <w:bCs/>
              </w:rPr>
              <w:t>-N</w:t>
            </w:r>
          </w:p>
        </w:tc>
        <w:tc>
          <w:tcPr>
            <w:tcW w:w="421" w:type="pct"/>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40</w:t>
            </w:r>
          </w:p>
        </w:tc>
        <w:tc>
          <w:tcPr>
            <w:tcW w:w="393" w:type="pct"/>
            <w:gridSpan w:val="2"/>
            <w:vAlign w:val="center"/>
          </w:tcPr>
          <w:p>
            <w:pPr>
              <w:widowControl/>
              <w:adjustRightInd w:val="0"/>
              <w:snapToGrid w:val="0"/>
              <w:jc w:val="center"/>
              <w:textAlignment w:val="center"/>
              <w:rPr>
                <w:rFonts w:ascii="Times New Roman" w:hAnsi="Times New Roman" w:eastAsiaTheme="minorEastAsia"/>
                <w:bCs/>
              </w:rPr>
            </w:pPr>
            <w:r>
              <w:rPr>
                <w:rFonts w:ascii="Times New Roman" w:hAnsi="Times New Roman"/>
                <w:color w:val="000000"/>
                <w:kern w:val="0"/>
                <w:lang w:bidi="ar"/>
              </w:rPr>
              <w:t>0.013</w:t>
            </w:r>
          </w:p>
        </w:tc>
        <w:tc>
          <w:tcPr>
            <w:tcW w:w="2063" w:type="pct"/>
            <w:gridSpan w:val="2"/>
            <w:vMerge w:val="continue"/>
            <w:vAlign w:val="center"/>
          </w:tcPr>
          <w:p>
            <w:pPr>
              <w:adjustRightInd w:val="0"/>
              <w:snapToGrid w:val="0"/>
              <w:jc w:val="center"/>
              <w:rPr>
                <w:rFonts w:ascii="Times New Roman" w:hAnsi="Times New Roman" w:eastAsiaTheme="minorEastAsia"/>
                <w:bC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47" w:type="pct"/>
            <w:vMerge w:val="continue"/>
            <w:vAlign w:val="center"/>
          </w:tcPr>
          <w:p>
            <w:pPr>
              <w:adjustRightInd w:val="0"/>
              <w:snapToGrid w:val="0"/>
              <w:jc w:val="center"/>
              <w:rPr>
                <w:rFonts w:ascii="Times New Roman" w:hAnsi="Times New Roman" w:eastAsiaTheme="minorEastAsia"/>
                <w:bCs/>
                <w:spacing w:val="-1"/>
              </w:rPr>
            </w:pPr>
          </w:p>
        </w:tc>
        <w:tc>
          <w:tcPr>
            <w:tcW w:w="779" w:type="pct"/>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spacing w:val="-1"/>
              </w:rPr>
              <w:t>初期雨水</w:t>
            </w:r>
          </w:p>
        </w:tc>
        <w:tc>
          <w:tcPr>
            <w:tcW w:w="520" w:type="pct"/>
            <w:gridSpan w:val="2"/>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359.824</w:t>
            </w:r>
          </w:p>
        </w:tc>
        <w:tc>
          <w:tcPr>
            <w:tcW w:w="577" w:type="pct"/>
            <w:gridSpan w:val="3"/>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SS</w:t>
            </w:r>
          </w:p>
        </w:tc>
        <w:tc>
          <w:tcPr>
            <w:tcW w:w="421" w:type="pct"/>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1000</w:t>
            </w:r>
          </w:p>
        </w:tc>
        <w:tc>
          <w:tcPr>
            <w:tcW w:w="393" w:type="pct"/>
            <w:gridSpan w:val="2"/>
            <w:vAlign w:val="center"/>
          </w:tcPr>
          <w:p>
            <w:pPr>
              <w:widowControl/>
              <w:adjustRightInd w:val="0"/>
              <w:snapToGrid w:val="0"/>
              <w:jc w:val="center"/>
              <w:textAlignment w:val="center"/>
              <w:rPr>
                <w:rFonts w:ascii="Times New Roman" w:hAnsi="Times New Roman" w:eastAsiaTheme="minorEastAsia"/>
                <w:bCs/>
              </w:rPr>
            </w:pPr>
            <w:r>
              <w:rPr>
                <w:rFonts w:ascii="Times New Roman" w:hAnsi="Times New Roman"/>
                <w:color w:val="000000"/>
                <w:kern w:val="0"/>
                <w:lang w:bidi="ar"/>
              </w:rPr>
              <w:t>0.360</w:t>
            </w:r>
          </w:p>
        </w:tc>
        <w:tc>
          <w:tcPr>
            <w:tcW w:w="2063" w:type="pct"/>
            <w:gridSpan w:val="2"/>
            <w:vAlign w:val="center"/>
          </w:tcPr>
          <w:p>
            <w:pPr>
              <w:adjustRightInd w:val="0"/>
              <w:snapToGrid w:val="0"/>
              <w:jc w:val="center"/>
              <w:rPr>
                <w:rFonts w:ascii="Times New Roman" w:hAnsi="Times New Roman" w:eastAsiaTheme="minorEastAsia"/>
                <w:bCs/>
              </w:rPr>
            </w:pPr>
            <w:r>
              <w:rPr>
                <w:rFonts w:ascii="Times New Roman" w:hAnsi="Times New Roman" w:eastAsiaTheme="minorEastAsia"/>
                <w:bCs/>
              </w:rPr>
              <w:t>趸船装卸区四周设收集坎，趸船内设污水箱，初期雨水经收集后，与冲煤废水一同泵送上岸进入后方码头院内的散货污水处理站处理达到《污水综合排放标准》（GB8978-1996）一级标准后，再通过管道泵送至电厂厂区用作绿化用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47"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废气</w:t>
            </w:r>
          </w:p>
        </w:tc>
        <w:tc>
          <w:tcPr>
            <w:tcW w:w="1070" w:type="pct"/>
            <w:gridSpan w:val="2"/>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污染源</w:t>
            </w:r>
          </w:p>
        </w:tc>
        <w:tc>
          <w:tcPr>
            <w:tcW w:w="418" w:type="pct"/>
            <w:gridSpan w:val="3"/>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污染物</w:t>
            </w:r>
          </w:p>
        </w:tc>
        <w:tc>
          <w:tcPr>
            <w:tcW w:w="388"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产生量</w:t>
            </w:r>
            <w:r>
              <w:rPr>
                <w:rFonts w:hint="eastAsia" w:ascii="Times New Roman" w:hAnsi="Times New Roman" w:eastAsiaTheme="minorEastAsia"/>
                <w:b/>
                <w:lang w:eastAsia="zh-CN"/>
              </w:rPr>
              <w:t>（</w:t>
            </w:r>
            <w:r>
              <w:rPr>
                <w:rFonts w:ascii="Times New Roman" w:hAnsi="Times New Roman" w:eastAsiaTheme="minorEastAsia"/>
                <w:b/>
              </w:rPr>
              <w:t>t/a</w:t>
            </w:r>
            <w:r>
              <w:rPr>
                <w:rFonts w:hint="eastAsia" w:ascii="Times New Roman" w:hAnsi="Times New Roman" w:eastAsiaTheme="minorEastAsia"/>
                <w:b/>
                <w:lang w:eastAsia="zh-CN"/>
              </w:rPr>
              <w:t>）</w:t>
            </w:r>
          </w:p>
        </w:tc>
        <w:tc>
          <w:tcPr>
            <w:tcW w:w="1929" w:type="pct"/>
            <w:gridSpan w:val="4"/>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治理措施</w:t>
            </w:r>
          </w:p>
        </w:tc>
        <w:tc>
          <w:tcPr>
            <w:tcW w:w="947"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排放量</w:t>
            </w:r>
            <w:r>
              <w:rPr>
                <w:rFonts w:hint="eastAsia" w:ascii="Times New Roman" w:hAnsi="Times New Roman" w:eastAsiaTheme="minorEastAsia"/>
                <w:b/>
                <w:lang w:eastAsia="zh-CN"/>
              </w:rPr>
              <w:t>（</w:t>
            </w:r>
            <w:r>
              <w:rPr>
                <w:rFonts w:ascii="Times New Roman" w:hAnsi="Times New Roman" w:eastAsiaTheme="minorEastAsia"/>
                <w:b/>
              </w:rPr>
              <w:t>t/a</w:t>
            </w:r>
            <w:r>
              <w:rPr>
                <w:rFonts w:hint="eastAsia" w:ascii="Times New Roman" w:hAnsi="Times New Roman" w:eastAsiaTheme="minorEastAsia"/>
                <w:b/>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47" w:type="pct"/>
            <w:vMerge w:val="continue"/>
            <w:vAlign w:val="center"/>
          </w:tcPr>
          <w:p>
            <w:pPr>
              <w:pStyle w:val="7"/>
              <w:adjustRightInd w:val="0"/>
              <w:snapToGrid w:val="0"/>
              <w:spacing w:after="0"/>
              <w:jc w:val="center"/>
              <w:rPr>
                <w:rFonts w:ascii="Times New Roman" w:hAnsi="Times New Roman" w:eastAsiaTheme="minorEastAsia"/>
              </w:rPr>
            </w:pPr>
          </w:p>
        </w:tc>
        <w:tc>
          <w:tcPr>
            <w:tcW w:w="779" w:type="pct"/>
            <w:vMerge w:val="restart"/>
            <w:vAlign w:val="center"/>
          </w:tcPr>
          <w:p>
            <w:pPr>
              <w:pStyle w:val="7"/>
              <w:adjustRightInd w:val="0"/>
              <w:snapToGrid w:val="0"/>
              <w:spacing w:after="0"/>
              <w:jc w:val="center"/>
              <w:rPr>
                <w:rFonts w:ascii="Times New Roman" w:hAnsi="Times New Roman" w:eastAsiaTheme="minorEastAsia"/>
              </w:rPr>
            </w:pPr>
            <w:r>
              <w:rPr>
                <w:rFonts w:ascii="Times New Roman" w:hAnsi="Times New Roman" w:eastAsiaTheme="minorEastAsia"/>
              </w:rPr>
              <w:t>船舶柴油机尾气</w:t>
            </w:r>
          </w:p>
        </w:tc>
        <w:tc>
          <w:tcPr>
            <w:tcW w:w="291" w:type="pct"/>
            <w:vMerge w:val="restart"/>
            <w:vAlign w:val="center"/>
          </w:tcPr>
          <w:p>
            <w:pPr>
              <w:pStyle w:val="7"/>
              <w:adjustRightInd w:val="0"/>
              <w:snapToGrid w:val="0"/>
              <w:spacing w:after="0"/>
              <w:jc w:val="center"/>
              <w:rPr>
                <w:rFonts w:ascii="Times New Roman" w:hAnsi="Times New Roman" w:eastAsiaTheme="minorEastAsia"/>
              </w:rPr>
            </w:pPr>
            <w:r>
              <w:rPr>
                <w:rFonts w:ascii="Times New Roman" w:hAnsi="Times New Roman" w:eastAsiaTheme="minorEastAsia"/>
              </w:rPr>
              <w:t>尾气</w:t>
            </w:r>
          </w:p>
        </w:tc>
        <w:tc>
          <w:tcPr>
            <w:tcW w:w="418" w:type="pct"/>
            <w:gridSpan w:val="3"/>
            <w:vAlign w:val="center"/>
          </w:tcPr>
          <w:p>
            <w:pPr>
              <w:pStyle w:val="7"/>
              <w:adjustRightInd w:val="0"/>
              <w:snapToGrid w:val="0"/>
              <w:spacing w:after="0"/>
              <w:jc w:val="center"/>
              <w:rPr>
                <w:rFonts w:ascii="Times New Roman" w:hAnsi="Times New Roman" w:eastAsiaTheme="minorEastAsia"/>
              </w:rPr>
            </w:pPr>
            <w:r>
              <w:rPr>
                <w:rFonts w:ascii="Times New Roman" w:hAnsi="Times New Roman" w:eastAsiaTheme="minorEastAsia"/>
              </w:rPr>
              <w:t>非甲烷总烃</w:t>
            </w:r>
          </w:p>
        </w:tc>
        <w:tc>
          <w:tcPr>
            <w:tcW w:w="388" w:type="pct"/>
            <w:vAlign w:val="center"/>
          </w:tcPr>
          <w:p>
            <w:pPr>
              <w:pStyle w:val="7"/>
              <w:adjustRightInd w:val="0"/>
              <w:snapToGrid w:val="0"/>
              <w:spacing w:after="0"/>
              <w:jc w:val="center"/>
              <w:rPr>
                <w:rFonts w:ascii="Times New Roman" w:hAnsi="Times New Roman" w:eastAsiaTheme="minorEastAsia"/>
              </w:rPr>
            </w:pPr>
            <w:r>
              <w:rPr>
                <w:rFonts w:ascii="Times New Roman" w:hAnsi="Times New Roman" w:eastAsiaTheme="minorEastAsia"/>
              </w:rPr>
              <w:t>0.157</w:t>
            </w:r>
          </w:p>
        </w:tc>
        <w:tc>
          <w:tcPr>
            <w:tcW w:w="1929" w:type="pct"/>
            <w:gridSpan w:val="4"/>
            <w:vMerge w:val="restart"/>
            <w:vAlign w:val="center"/>
          </w:tcPr>
          <w:p>
            <w:pPr>
              <w:pStyle w:val="7"/>
              <w:adjustRightInd w:val="0"/>
              <w:snapToGrid w:val="0"/>
              <w:spacing w:after="0"/>
              <w:jc w:val="center"/>
              <w:rPr>
                <w:rFonts w:ascii="Times New Roman" w:hAnsi="Times New Roman" w:eastAsiaTheme="minorEastAsia"/>
              </w:rPr>
            </w:pPr>
            <w:r>
              <w:rPr>
                <w:rFonts w:ascii="Times New Roman" w:hAnsi="Times New Roman" w:eastAsiaTheme="minorEastAsia"/>
              </w:rPr>
              <w:t>无组织排放</w:t>
            </w:r>
          </w:p>
        </w:tc>
        <w:tc>
          <w:tcPr>
            <w:tcW w:w="94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0.157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47" w:type="pct"/>
            <w:vMerge w:val="continue"/>
            <w:vAlign w:val="center"/>
          </w:tcPr>
          <w:p>
            <w:pPr>
              <w:pStyle w:val="7"/>
              <w:adjustRightInd w:val="0"/>
              <w:snapToGrid w:val="0"/>
              <w:spacing w:after="0"/>
              <w:jc w:val="center"/>
              <w:rPr>
                <w:rFonts w:ascii="Times New Roman" w:hAnsi="Times New Roman" w:eastAsiaTheme="minorEastAsia"/>
              </w:rPr>
            </w:pPr>
          </w:p>
        </w:tc>
        <w:tc>
          <w:tcPr>
            <w:tcW w:w="779" w:type="pct"/>
            <w:vMerge w:val="continue"/>
            <w:vAlign w:val="center"/>
          </w:tcPr>
          <w:p>
            <w:pPr>
              <w:pStyle w:val="7"/>
              <w:adjustRightInd w:val="0"/>
              <w:snapToGrid w:val="0"/>
              <w:spacing w:after="0"/>
              <w:jc w:val="center"/>
              <w:rPr>
                <w:rFonts w:ascii="Times New Roman" w:hAnsi="Times New Roman" w:eastAsiaTheme="minorEastAsia"/>
              </w:rPr>
            </w:pPr>
          </w:p>
        </w:tc>
        <w:tc>
          <w:tcPr>
            <w:tcW w:w="291" w:type="pct"/>
            <w:vMerge w:val="continue"/>
            <w:vAlign w:val="center"/>
          </w:tcPr>
          <w:p>
            <w:pPr>
              <w:pStyle w:val="7"/>
              <w:adjustRightInd w:val="0"/>
              <w:snapToGrid w:val="0"/>
              <w:spacing w:after="0"/>
              <w:jc w:val="center"/>
              <w:rPr>
                <w:rFonts w:ascii="Times New Roman" w:hAnsi="Times New Roman" w:eastAsiaTheme="minorEastAsia"/>
              </w:rPr>
            </w:pPr>
          </w:p>
        </w:tc>
        <w:tc>
          <w:tcPr>
            <w:tcW w:w="418" w:type="pct"/>
            <w:gridSpan w:val="3"/>
            <w:vAlign w:val="center"/>
          </w:tcPr>
          <w:p>
            <w:pPr>
              <w:pStyle w:val="7"/>
              <w:adjustRightInd w:val="0"/>
              <w:snapToGrid w:val="0"/>
              <w:spacing w:after="0"/>
              <w:jc w:val="center"/>
              <w:rPr>
                <w:rFonts w:ascii="Times New Roman" w:hAnsi="Times New Roman" w:eastAsiaTheme="minorEastAsia"/>
              </w:rPr>
            </w:pPr>
            <w:r>
              <w:rPr>
                <w:rFonts w:ascii="Times New Roman" w:hAnsi="Times New Roman" w:eastAsiaTheme="minorEastAsia"/>
              </w:rPr>
              <w:t>SO</w:t>
            </w:r>
            <w:r>
              <w:rPr>
                <w:rFonts w:ascii="Times New Roman" w:hAnsi="Times New Roman" w:eastAsiaTheme="minorEastAsia"/>
                <w:vertAlign w:val="subscript"/>
              </w:rPr>
              <w:t>2</w:t>
            </w:r>
          </w:p>
        </w:tc>
        <w:tc>
          <w:tcPr>
            <w:tcW w:w="388" w:type="pct"/>
            <w:vAlign w:val="center"/>
          </w:tcPr>
          <w:p>
            <w:pPr>
              <w:pStyle w:val="7"/>
              <w:adjustRightInd w:val="0"/>
              <w:snapToGrid w:val="0"/>
              <w:spacing w:after="0"/>
              <w:jc w:val="center"/>
              <w:rPr>
                <w:rFonts w:ascii="Times New Roman" w:hAnsi="Times New Roman" w:eastAsiaTheme="minorEastAsia"/>
              </w:rPr>
            </w:pPr>
            <w:r>
              <w:rPr>
                <w:rFonts w:ascii="Times New Roman" w:hAnsi="Times New Roman" w:eastAsiaTheme="minorEastAsia"/>
              </w:rPr>
              <w:t>0.114</w:t>
            </w:r>
          </w:p>
        </w:tc>
        <w:tc>
          <w:tcPr>
            <w:tcW w:w="1929" w:type="pct"/>
            <w:gridSpan w:val="4"/>
            <w:vMerge w:val="continue"/>
            <w:vAlign w:val="center"/>
          </w:tcPr>
          <w:p>
            <w:pPr>
              <w:pStyle w:val="7"/>
              <w:adjustRightInd w:val="0"/>
              <w:snapToGrid w:val="0"/>
              <w:spacing w:after="0"/>
              <w:jc w:val="center"/>
              <w:rPr>
                <w:rFonts w:ascii="Times New Roman" w:hAnsi="Times New Roman" w:eastAsiaTheme="minorEastAsia"/>
              </w:rPr>
            </w:pPr>
          </w:p>
        </w:tc>
        <w:tc>
          <w:tcPr>
            <w:tcW w:w="947" w:type="pct"/>
            <w:vAlign w:val="center"/>
          </w:tcPr>
          <w:p>
            <w:pPr>
              <w:pStyle w:val="7"/>
              <w:adjustRightInd w:val="0"/>
              <w:snapToGrid w:val="0"/>
              <w:spacing w:after="0"/>
              <w:jc w:val="center"/>
              <w:rPr>
                <w:rFonts w:ascii="Times New Roman" w:hAnsi="Times New Roman" w:eastAsiaTheme="minorEastAsia"/>
              </w:rPr>
            </w:pPr>
            <w:r>
              <w:rPr>
                <w:rFonts w:ascii="Times New Roman" w:hAnsi="Times New Roman" w:eastAsiaTheme="minorEastAsia"/>
              </w:rPr>
              <w:t>0.114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47" w:type="pct"/>
            <w:vMerge w:val="continue"/>
            <w:vAlign w:val="center"/>
          </w:tcPr>
          <w:p>
            <w:pPr>
              <w:pStyle w:val="7"/>
              <w:adjustRightInd w:val="0"/>
              <w:snapToGrid w:val="0"/>
              <w:spacing w:after="0"/>
              <w:jc w:val="center"/>
              <w:rPr>
                <w:rFonts w:ascii="Times New Roman" w:hAnsi="Times New Roman" w:eastAsiaTheme="minorEastAsia"/>
              </w:rPr>
            </w:pPr>
          </w:p>
        </w:tc>
        <w:tc>
          <w:tcPr>
            <w:tcW w:w="779" w:type="pct"/>
            <w:vMerge w:val="continue"/>
            <w:vAlign w:val="center"/>
          </w:tcPr>
          <w:p>
            <w:pPr>
              <w:pStyle w:val="7"/>
              <w:adjustRightInd w:val="0"/>
              <w:snapToGrid w:val="0"/>
              <w:spacing w:after="0"/>
              <w:jc w:val="center"/>
              <w:rPr>
                <w:rFonts w:ascii="Times New Roman" w:hAnsi="Times New Roman" w:eastAsiaTheme="minorEastAsia"/>
              </w:rPr>
            </w:pPr>
          </w:p>
        </w:tc>
        <w:tc>
          <w:tcPr>
            <w:tcW w:w="291" w:type="pct"/>
            <w:vMerge w:val="continue"/>
            <w:vAlign w:val="center"/>
          </w:tcPr>
          <w:p>
            <w:pPr>
              <w:pStyle w:val="7"/>
              <w:adjustRightInd w:val="0"/>
              <w:snapToGrid w:val="0"/>
              <w:spacing w:after="0"/>
              <w:jc w:val="center"/>
              <w:rPr>
                <w:rFonts w:ascii="Times New Roman" w:hAnsi="Times New Roman" w:eastAsiaTheme="minorEastAsia"/>
              </w:rPr>
            </w:pPr>
          </w:p>
        </w:tc>
        <w:tc>
          <w:tcPr>
            <w:tcW w:w="418" w:type="pct"/>
            <w:gridSpan w:val="3"/>
            <w:vAlign w:val="center"/>
          </w:tcPr>
          <w:p>
            <w:pPr>
              <w:pStyle w:val="7"/>
              <w:adjustRightInd w:val="0"/>
              <w:snapToGrid w:val="0"/>
              <w:spacing w:after="0"/>
              <w:jc w:val="center"/>
              <w:rPr>
                <w:rFonts w:ascii="Times New Roman" w:hAnsi="Times New Roman" w:eastAsiaTheme="minorEastAsia"/>
              </w:rPr>
            </w:pPr>
            <w:r>
              <w:rPr>
                <w:rFonts w:ascii="Times New Roman" w:hAnsi="Times New Roman" w:eastAsiaTheme="minorEastAsia"/>
              </w:rPr>
              <w:t>CO</w:t>
            </w:r>
          </w:p>
        </w:tc>
        <w:tc>
          <w:tcPr>
            <w:tcW w:w="388" w:type="pct"/>
            <w:vAlign w:val="center"/>
          </w:tcPr>
          <w:p>
            <w:pPr>
              <w:pStyle w:val="7"/>
              <w:adjustRightInd w:val="0"/>
              <w:snapToGrid w:val="0"/>
              <w:spacing w:after="0"/>
              <w:jc w:val="center"/>
              <w:rPr>
                <w:rFonts w:ascii="Times New Roman" w:hAnsi="Times New Roman" w:eastAsiaTheme="minorEastAsia"/>
              </w:rPr>
            </w:pPr>
            <w:r>
              <w:rPr>
                <w:rFonts w:ascii="Times New Roman" w:hAnsi="Times New Roman" w:eastAsiaTheme="minorEastAsia"/>
              </w:rPr>
              <w:t>0.003</w:t>
            </w:r>
          </w:p>
        </w:tc>
        <w:tc>
          <w:tcPr>
            <w:tcW w:w="1929" w:type="pct"/>
            <w:gridSpan w:val="4"/>
            <w:vMerge w:val="continue"/>
            <w:vAlign w:val="center"/>
          </w:tcPr>
          <w:p>
            <w:pPr>
              <w:pStyle w:val="7"/>
              <w:adjustRightInd w:val="0"/>
              <w:snapToGrid w:val="0"/>
              <w:spacing w:after="0"/>
              <w:jc w:val="center"/>
              <w:rPr>
                <w:rFonts w:ascii="Times New Roman" w:hAnsi="Times New Roman" w:eastAsiaTheme="minorEastAsia"/>
              </w:rPr>
            </w:pPr>
          </w:p>
        </w:tc>
        <w:tc>
          <w:tcPr>
            <w:tcW w:w="947" w:type="pct"/>
            <w:vAlign w:val="center"/>
          </w:tcPr>
          <w:p>
            <w:pPr>
              <w:pStyle w:val="7"/>
              <w:adjustRightInd w:val="0"/>
              <w:snapToGrid w:val="0"/>
              <w:spacing w:after="0"/>
              <w:jc w:val="center"/>
              <w:rPr>
                <w:rFonts w:ascii="Times New Roman" w:hAnsi="Times New Roman" w:eastAsiaTheme="minorEastAsia"/>
              </w:rPr>
            </w:pPr>
            <w:r>
              <w:rPr>
                <w:rFonts w:ascii="Times New Roman" w:hAnsi="Times New Roman" w:eastAsiaTheme="minorEastAsia"/>
              </w:rPr>
              <w:t>0.003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47" w:type="pct"/>
            <w:vMerge w:val="continue"/>
            <w:vAlign w:val="center"/>
          </w:tcPr>
          <w:p>
            <w:pPr>
              <w:pStyle w:val="7"/>
              <w:adjustRightInd w:val="0"/>
              <w:snapToGrid w:val="0"/>
              <w:spacing w:after="0"/>
              <w:jc w:val="center"/>
              <w:rPr>
                <w:rFonts w:ascii="Times New Roman" w:hAnsi="Times New Roman" w:eastAsiaTheme="minorEastAsia"/>
              </w:rPr>
            </w:pPr>
          </w:p>
        </w:tc>
        <w:tc>
          <w:tcPr>
            <w:tcW w:w="779" w:type="pct"/>
            <w:vMerge w:val="continue"/>
            <w:vAlign w:val="center"/>
          </w:tcPr>
          <w:p>
            <w:pPr>
              <w:pStyle w:val="7"/>
              <w:adjustRightInd w:val="0"/>
              <w:snapToGrid w:val="0"/>
              <w:spacing w:after="0"/>
              <w:jc w:val="center"/>
              <w:rPr>
                <w:rFonts w:ascii="Times New Roman" w:hAnsi="Times New Roman" w:eastAsiaTheme="minorEastAsia"/>
              </w:rPr>
            </w:pPr>
          </w:p>
        </w:tc>
        <w:tc>
          <w:tcPr>
            <w:tcW w:w="291" w:type="pct"/>
            <w:vMerge w:val="continue"/>
            <w:vAlign w:val="center"/>
          </w:tcPr>
          <w:p>
            <w:pPr>
              <w:pStyle w:val="7"/>
              <w:adjustRightInd w:val="0"/>
              <w:snapToGrid w:val="0"/>
              <w:spacing w:after="0"/>
              <w:jc w:val="center"/>
              <w:rPr>
                <w:rFonts w:ascii="Times New Roman" w:hAnsi="Times New Roman" w:eastAsiaTheme="minorEastAsia"/>
              </w:rPr>
            </w:pPr>
          </w:p>
        </w:tc>
        <w:tc>
          <w:tcPr>
            <w:tcW w:w="418" w:type="pct"/>
            <w:gridSpan w:val="3"/>
            <w:vAlign w:val="center"/>
          </w:tcPr>
          <w:p>
            <w:pPr>
              <w:pStyle w:val="7"/>
              <w:adjustRightInd w:val="0"/>
              <w:snapToGrid w:val="0"/>
              <w:spacing w:after="0"/>
              <w:jc w:val="center"/>
              <w:rPr>
                <w:rFonts w:ascii="Times New Roman" w:hAnsi="Times New Roman" w:eastAsiaTheme="minorEastAsia"/>
              </w:rPr>
            </w:pPr>
            <w:r>
              <w:rPr>
                <w:rFonts w:ascii="Times New Roman" w:hAnsi="Times New Roman" w:eastAsiaTheme="minorEastAsia"/>
              </w:rPr>
              <w:t>NOx</w:t>
            </w:r>
          </w:p>
        </w:tc>
        <w:tc>
          <w:tcPr>
            <w:tcW w:w="388" w:type="pct"/>
            <w:vAlign w:val="center"/>
          </w:tcPr>
          <w:p>
            <w:pPr>
              <w:pStyle w:val="7"/>
              <w:adjustRightInd w:val="0"/>
              <w:snapToGrid w:val="0"/>
              <w:spacing w:after="0"/>
              <w:jc w:val="center"/>
              <w:rPr>
                <w:rFonts w:ascii="Times New Roman" w:hAnsi="Times New Roman" w:eastAsiaTheme="minorEastAsia"/>
              </w:rPr>
            </w:pPr>
            <w:r>
              <w:rPr>
                <w:rFonts w:ascii="Times New Roman" w:hAnsi="Times New Roman" w:eastAsiaTheme="minorEastAsia"/>
              </w:rPr>
              <w:t>0.105</w:t>
            </w:r>
          </w:p>
        </w:tc>
        <w:tc>
          <w:tcPr>
            <w:tcW w:w="1929" w:type="pct"/>
            <w:gridSpan w:val="4"/>
            <w:vMerge w:val="continue"/>
            <w:vAlign w:val="center"/>
          </w:tcPr>
          <w:p>
            <w:pPr>
              <w:pStyle w:val="7"/>
              <w:adjustRightInd w:val="0"/>
              <w:snapToGrid w:val="0"/>
              <w:spacing w:after="0"/>
              <w:jc w:val="center"/>
              <w:rPr>
                <w:rFonts w:ascii="Times New Roman" w:hAnsi="Times New Roman" w:eastAsiaTheme="minorEastAsia"/>
              </w:rPr>
            </w:pPr>
          </w:p>
        </w:tc>
        <w:tc>
          <w:tcPr>
            <w:tcW w:w="947" w:type="pct"/>
            <w:vAlign w:val="center"/>
          </w:tcPr>
          <w:p>
            <w:pPr>
              <w:pStyle w:val="7"/>
              <w:adjustRightInd w:val="0"/>
              <w:snapToGrid w:val="0"/>
              <w:spacing w:after="0"/>
              <w:jc w:val="center"/>
              <w:rPr>
                <w:rFonts w:ascii="Times New Roman" w:hAnsi="Times New Roman" w:eastAsiaTheme="minorEastAsia"/>
              </w:rPr>
            </w:pPr>
            <w:r>
              <w:rPr>
                <w:rFonts w:ascii="Times New Roman" w:hAnsi="Times New Roman" w:eastAsiaTheme="minorEastAsia"/>
              </w:rPr>
              <w:t>0.105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47" w:type="pct"/>
            <w:vMerge w:val="continue"/>
            <w:vAlign w:val="center"/>
          </w:tcPr>
          <w:p>
            <w:pPr>
              <w:pStyle w:val="7"/>
              <w:adjustRightInd w:val="0"/>
              <w:snapToGrid w:val="0"/>
              <w:spacing w:after="0"/>
              <w:jc w:val="center"/>
              <w:rPr>
                <w:rFonts w:ascii="Times New Roman" w:hAnsi="Times New Roman" w:eastAsiaTheme="minorEastAsia"/>
              </w:rPr>
            </w:pPr>
          </w:p>
        </w:tc>
        <w:tc>
          <w:tcPr>
            <w:tcW w:w="779" w:type="pct"/>
            <w:vAlign w:val="center"/>
          </w:tcPr>
          <w:p>
            <w:pPr>
              <w:pStyle w:val="7"/>
              <w:adjustRightInd w:val="0"/>
              <w:snapToGrid w:val="0"/>
              <w:spacing w:after="0"/>
              <w:jc w:val="center"/>
              <w:rPr>
                <w:rFonts w:ascii="Times New Roman" w:hAnsi="Times New Roman" w:eastAsiaTheme="minorEastAsia"/>
              </w:rPr>
            </w:pPr>
            <w:r>
              <w:rPr>
                <w:rFonts w:ascii="Times New Roman" w:hAnsi="Times New Roman" w:eastAsiaTheme="minorEastAsia"/>
              </w:rPr>
              <w:t>码头装卸料作业起尘</w:t>
            </w:r>
          </w:p>
        </w:tc>
        <w:tc>
          <w:tcPr>
            <w:tcW w:w="291" w:type="pct"/>
            <w:vAlign w:val="center"/>
          </w:tcPr>
          <w:p>
            <w:pPr>
              <w:pStyle w:val="7"/>
              <w:adjustRightInd w:val="0"/>
              <w:snapToGrid w:val="0"/>
              <w:spacing w:after="0"/>
              <w:jc w:val="center"/>
              <w:rPr>
                <w:rFonts w:ascii="Times New Roman" w:hAnsi="Times New Roman" w:eastAsiaTheme="minorEastAsia"/>
              </w:rPr>
            </w:pPr>
            <w:r>
              <w:rPr>
                <w:rFonts w:ascii="Times New Roman" w:hAnsi="Times New Roman" w:eastAsiaTheme="minorEastAsia"/>
              </w:rPr>
              <w:t>粉尘</w:t>
            </w:r>
          </w:p>
        </w:tc>
        <w:tc>
          <w:tcPr>
            <w:tcW w:w="418" w:type="pct"/>
            <w:gridSpan w:val="3"/>
            <w:vAlign w:val="center"/>
          </w:tcPr>
          <w:p>
            <w:pPr>
              <w:pStyle w:val="7"/>
              <w:adjustRightInd w:val="0"/>
              <w:snapToGrid w:val="0"/>
              <w:spacing w:after="0"/>
              <w:jc w:val="center"/>
              <w:rPr>
                <w:rFonts w:ascii="Times New Roman" w:hAnsi="Times New Roman" w:eastAsiaTheme="minorEastAsia"/>
              </w:rPr>
            </w:pPr>
            <w:r>
              <w:rPr>
                <w:rFonts w:ascii="Times New Roman" w:hAnsi="Times New Roman" w:eastAsiaTheme="minorEastAsia"/>
              </w:rPr>
              <w:t>TSP</w:t>
            </w:r>
          </w:p>
        </w:tc>
        <w:tc>
          <w:tcPr>
            <w:tcW w:w="388" w:type="pct"/>
            <w:vAlign w:val="center"/>
          </w:tcPr>
          <w:p>
            <w:pPr>
              <w:pStyle w:val="7"/>
              <w:adjustRightInd w:val="0"/>
              <w:snapToGrid w:val="0"/>
              <w:spacing w:after="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3.22</w:t>
            </w:r>
          </w:p>
        </w:tc>
        <w:tc>
          <w:tcPr>
            <w:tcW w:w="1929" w:type="pct"/>
            <w:gridSpan w:val="4"/>
            <w:vAlign w:val="center"/>
          </w:tcPr>
          <w:p>
            <w:pPr>
              <w:pStyle w:val="7"/>
              <w:adjustRightInd w:val="0"/>
              <w:snapToGrid w:val="0"/>
              <w:spacing w:after="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在趸船上设置2台雾炮机，在码头装卸平台及输煤皮带廊内设置一套微雾抑尘系统，要求在每个转运节点设置多个喷头，并设有返尘板，降低装卸中煤炭跌落高度等措施</w:t>
            </w:r>
          </w:p>
        </w:tc>
        <w:tc>
          <w:tcPr>
            <w:tcW w:w="94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0.644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47" w:type="pct"/>
            <w:vMerge w:val="restart"/>
            <w:vAlign w:val="center"/>
          </w:tcPr>
          <w:p>
            <w:pPr>
              <w:pStyle w:val="7"/>
              <w:adjustRightInd w:val="0"/>
              <w:snapToGrid w:val="0"/>
              <w:spacing w:after="0"/>
              <w:jc w:val="center"/>
              <w:rPr>
                <w:rFonts w:ascii="Times New Roman" w:hAnsi="Times New Roman" w:eastAsiaTheme="minorEastAsia"/>
                <w:b/>
                <w:bCs/>
              </w:rPr>
            </w:pPr>
            <w:r>
              <w:rPr>
                <w:rFonts w:ascii="Times New Roman" w:hAnsi="Times New Roman" w:eastAsiaTheme="minorEastAsia"/>
                <w:b/>
                <w:bCs/>
              </w:rPr>
              <w:t>噪声</w:t>
            </w:r>
          </w:p>
        </w:tc>
        <w:tc>
          <w:tcPr>
            <w:tcW w:w="1070" w:type="pct"/>
            <w:gridSpan w:val="2"/>
            <w:vAlign w:val="center"/>
          </w:tcPr>
          <w:p>
            <w:pPr>
              <w:overflowPunct w:val="0"/>
              <w:autoSpaceDE w:val="0"/>
              <w:autoSpaceDN w:val="0"/>
              <w:adjustRightInd w:val="0"/>
              <w:snapToGrid w:val="0"/>
              <w:jc w:val="center"/>
              <w:textAlignment w:val="baseline"/>
              <w:rPr>
                <w:rFonts w:ascii="Times New Roman" w:hAnsi="Times New Roman" w:eastAsiaTheme="minorEastAsia"/>
                <w:b/>
                <w:kern w:val="0"/>
              </w:rPr>
            </w:pPr>
            <w:r>
              <w:rPr>
                <w:rFonts w:ascii="Times New Roman" w:hAnsi="Times New Roman" w:eastAsiaTheme="minorEastAsia"/>
                <w:b/>
                <w:kern w:val="0"/>
              </w:rPr>
              <w:t>设备名称</w:t>
            </w:r>
          </w:p>
        </w:tc>
        <w:tc>
          <w:tcPr>
            <w:tcW w:w="806" w:type="pct"/>
            <w:gridSpan w:val="4"/>
            <w:vAlign w:val="center"/>
          </w:tcPr>
          <w:p>
            <w:pPr>
              <w:pStyle w:val="7"/>
              <w:adjustRightInd w:val="0"/>
              <w:snapToGrid w:val="0"/>
              <w:spacing w:after="0"/>
              <w:jc w:val="center"/>
              <w:rPr>
                <w:rFonts w:ascii="Times New Roman" w:hAnsi="Times New Roman" w:eastAsiaTheme="minorEastAsia"/>
              </w:rPr>
            </w:pPr>
            <w:r>
              <w:rPr>
                <w:rFonts w:ascii="Times New Roman" w:hAnsi="Times New Roman" w:eastAsiaTheme="minorEastAsia"/>
                <w:b/>
                <w:kern w:val="0"/>
              </w:rPr>
              <w:t>L</w:t>
            </w:r>
            <w:r>
              <w:rPr>
                <w:rFonts w:ascii="Times New Roman" w:hAnsi="Times New Roman" w:eastAsiaTheme="minorEastAsia"/>
                <w:b/>
                <w:kern w:val="0"/>
                <w:vertAlign w:val="subscript"/>
              </w:rPr>
              <w:t>max</w:t>
            </w:r>
            <w:r>
              <w:rPr>
                <w:rFonts w:hint="eastAsia" w:ascii="Times New Roman" w:hAnsi="Times New Roman" w:eastAsiaTheme="minorEastAsia"/>
                <w:b/>
                <w:kern w:val="0"/>
                <w:lang w:eastAsia="zh-CN"/>
              </w:rPr>
              <w:t>（</w:t>
            </w:r>
            <w:r>
              <w:rPr>
                <w:rFonts w:ascii="Times New Roman" w:hAnsi="Times New Roman" w:eastAsiaTheme="minorEastAsia"/>
                <w:b/>
                <w:kern w:val="0"/>
              </w:rPr>
              <w:t>dB</w:t>
            </w:r>
            <w:r>
              <w:rPr>
                <w:rFonts w:hint="eastAsia" w:ascii="Times New Roman" w:hAnsi="Times New Roman" w:eastAsiaTheme="minorEastAsia"/>
                <w:b/>
                <w:kern w:val="0"/>
                <w:lang w:eastAsia="zh-CN"/>
              </w:rPr>
              <w:t>）</w:t>
            </w:r>
          </w:p>
        </w:tc>
        <w:tc>
          <w:tcPr>
            <w:tcW w:w="1929" w:type="pct"/>
            <w:gridSpan w:val="4"/>
            <w:vAlign w:val="center"/>
          </w:tcPr>
          <w:p>
            <w:pPr>
              <w:pStyle w:val="7"/>
              <w:adjustRightInd w:val="0"/>
              <w:snapToGrid w:val="0"/>
              <w:spacing w:after="0"/>
              <w:jc w:val="center"/>
              <w:rPr>
                <w:rFonts w:ascii="Times New Roman" w:hAnsi="Times New Roman" w:eastAsiaTheme="minorEastAsia"/>
              </w:rPr>
            </w:pPr>
            <w:r>
              <w:rPr>
                <w:rFonts w:ascii="Times New Roman" w:hAnsi="Times New Roman" w:eastAsiaTheme="minorEastAsia"/>
              </w:rPr>
              <w:t>治理措施</w:t>
            </w:r>
          </w:p>
        </w:tc>
        <w:tc>
          <w:tcPr>
            <w:tcW w:w="94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排放情况dB(A)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47" w:type="pct"/>
            <w:vMerge w:val="continue"/>
            <w:vAlign w:val="center"/>
          </w:tcPr>
          <w:p>
            <w:pPr>
              <w:pStyle w:val="7"/>
              <w:adjustRightInd w:val="0"/>
              <w:snapToGrid w:val="0"/>
              <w:spacing w:after="0"/>
              <w:jc w:val="center"/>
              <w:rPr>
                <w:rFonts w:ascii="Times New Roman" w:hAnsi="Times New Roman" w:eastAsiaTheme="minorEastAsia"/>
                <w:b/>
                <w:bCs/>
              </w:rPr>
            </w:pPr>
          </w:p>
        </w:tc>
        <w:tc>
          <w:tcPr>
            <w:tcW w:w="1070" w:type="pct"/>
            <w:gridSpan w:val="2"/>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进港船舶</w:t>
            </w:r>
          </w:p>
        </w:tc>
        <w:tc>
          <w:tcPr>
            <w:tcW w:w="806" w:type="pct"/>
            <w:gridSpan w:val="4"/>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105</w:t>
            </w:r>
          </w:p>
        </w:tc>
        <w:tc>
          <w:tcPr>
            <w:tcW w:w="1929" w:type="pct"/>
            <w:gridSpan w:val="4"/>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降低航速，船舶发动机及排气进行隔声处理</w:t>
            </w:r>
          </w:p>
        </w:tc>
        <w:tc>
          <w:tcPr>
            <w:tcW w:w="94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86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47" w:type="pct"/>
            <w:vMerge w:val="continue"/>
            <w:vAlign w:val="center"/>
          </w:tcPr>
          <w:p>
            <w:pPr>
              <w:pStyle w:val="7"/>
              <w:adjustRightInd w:val="0"/>
              <w:snapToGrid w:val="0"/>
              <w:spacing w:after="0"/>
              <w:jc w:val="center"/>
              <w:rPr>
                <w:rFonts w:ascii="Times New Roman" w:hAnsi="Times New Roman" w:eastAsiaTheme="minorEastAsia"/>
                <w:b/>
                <w:bCs/>
              </w:rPr>
            </w:pPr>
          </w:p>
        </w:tc>
        <w:tc>
          <w:tcPr>
            <w:tcW w:w="1070" w:type="pct"/>
            <w:gridSpan w:val="2"/>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浮吊</w:t>
            </w:r>
          </w:p>
        </w:tc>
        <w:tc>
          <w:tcPr>
            <w:tcW w:w="806" w:type="pct"/>
            <w:gridSpan w:val="4"/>
            <w:vAlign w:val="center"/>
          </w:tcPr>
          <w:p>
            <w:pPr>
              <w:adjustRightInd w:val="0"/>
              <w:snapToGrid w:val="0"/>
              <w:jc w:val="center"/>
              <w:rPr>
                <w:rFonts w:ascii="Times New Roman" w:hAnsi="Times New Roman" w:eastAsiaTheme="minorEastAsia"/>
              </w:rPr>
            </w:pPr>
            <w:r>
              <w:rPr>
                <w:rFonts w:ascii="Times New Roman" w:hAnsi="Times New Roman" w:eastAsiaTheme="minorEastAsia"/>
              </w:rPr>
              <w:t>80</w:t>
            </w:r>
          </w:p>
        </w:tc>
        <w:tc>
          <w:tcPr>
            <w:tcW w:w="1929" w:type="pct"/>
            <w:gridSpan w:val="4"/>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采用低噪声设备，建筑隔声，关键部位加胶垫以减少振动，设吸收板或隔声罩或安装消声器以减少噪声</w:t>
            </w:r>
          </w:p>
        </w:tc>
        <w:tc>
          <w:tcPr>
            <w:tcW w:w="94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47" w:type="pct"/>
            <w:vMerge w:val="continue"/>
            <w:vAlign w:val="center"/>
          </w:tcPr>
          <w:p>
            <w:pPr>
              <w:pStyle w:val="7"/>
              <w:adjustRightInd w:val="0"/>
              <w:snapToGrid w:val="0"/>
              <w:spacing w:after="0"/>
              <w:jc w:val="center"/>
              <w:rPr>
                <w:rFonts w:ascii="Times New Roman" w:hAnsi="Times New Roman" w:eastAsiaTheme="minorEastAsia"/>
                <w:b/>
                <w:bCs/>
              </w:rPr>
            </w:pPr>
          </w:p>
        </w:tc>
        <w:tc>
          <w:tcPr>
            <w:tcW w:w="1070" w:type="pct"/>
            <w:gridSpan w:val="2"/>
            <w:vAlign w:val="center"/>
          </w:tcPr>
          <w:p>
            <w:pPr>
              <w:adjustRightInd w:val="0"/>
              <w:snapToGrid w:val="0"/>
              <w:jc w:val="center"/>
              <w:rPr>
                <w:rFonts w:ascii="Times New Roman" w:hAnsi="Times New Roman" w:eastAsiaTheme="minorEastAsia"/>
              </w:rPr>
            </w:pPr>
            <w:r>
              <w:rPr>
                <w:rFonts w:ascii="Times New Roman" w:hAnsi="Times New Roman" w:eastAsiaTheme="minorEastAsia"/>
              </w:rPr>
              <w:t>传送带</w:t>
            </w:r>
          </w:p>
        </w:tc>
        <w:tc>
          <w:tcPr>
            <w:tcW w:w="806" w:type="pct"/>
            <w:gridSpan w:val="4"/>
            <w:vAlign w:val="center"/>
          </w:tcPr>
          <w:p>
            <w:pPr>
              <w:adjustRightInd w:val="0"/>
              <w:snapToGrid w:val="0"/>
              <w:jc w:val="center"/>
              <w:rPr>
                <w:rFonts w:ascii="Times New Roman" w:hAnsi="Times New Roman" w:eastAsiaTheme="minorEastAsia"/>
              </w:rPr>
            </w:pPr>
            <w:r>
              <w:rPr>
                <w:rFonts w:ascii="Times New Roman" w:hAnsi="Times New Roman" w:eastAsiaTheme="minorEastAsia"/>
              </w:rPr>
              <w:t>86</w:t>
            </w:r>
          </w:p>
        </w:tc>
        <w:tc>
          <w:tcPr>
            <w:tcW w:w="1929" w:type="pct"/>
            <w:gridSpan w:val="4"/>
            <w:vMerge w:val="continue"/>
            <w:vAlign w:val="center"/>
          </w:tcPr>
          <w:p>
            <w:pPr>
              <w:adjustRightInd w:val="0"/>
              <w:snapToGrid w:val="0"/>
              <w:jc w:val="center"/>
              <w:rPr>
                <w:rFonts w:ascii="Times New Roman" w:hAnsi="Times New Roman" w:eastAsiaTheme="minorEastAsia"/>
              </w:rPr>
            </w:pPr>
          </w:p>
        </w:tc>
        <w:tc>
          <w:tcPr>
            <w:tcW w:w="94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47" w:type="pct"/>
            <w:vMerge w:val="restart"/>
            <w:vAlign w:val="center"/>
          </w:tcPr>
          <w:p>
            <w:pPr>
              <w:adjustRightInd w:val="0"/>
              <w:snapToGrid w:val="0"/>
              <w:jc w:val="center"/>
              <w:rPr>
                <w:rFonts w:ascii="Times New Roman" w:hAnsi="Times New Roman" w:eastAsiaTheme="minorEastAsia"/>
                <w:b/>
                <w:bCs/>
              </w:rPr>
            </w:pPr>
            <w:r>
              <w:rPr>
                <w:rFonts w:ascii="Times New Roman" w:hAnsi="Times New Roman" w:eastAsiaTheme="minorEastAsia"/>
                <w:b/>
                <w:bCs/>
              </w:rPr>
              <w:t>固体</w:t>
            </w:r>
          </w:p>
          <w:p>
            <w:pPr>
              <w:adjustRightInd w:val="0"/>
              <w:snapToGrid w:val="0"/>
              <w:jc w:val="center"/>
              <w:rPr>
                <w:rFonts w:ascii="Times New Roman" w:hAnsi="Times New Roman" w:eastAsiaTheme="minorEastAsia"/>
                <w:b/>
                <w:bCs/>
              </w:rPr>
            </w:pPr>
            <w:r>
              <w:rPr>
                <w:rFonts w:ascii="Times New Roman" w:hAnsi="Times New Roman" w:eastAsiaTheme="minorEastAsia"/>
                <w:b/>
                <w:bCs/>
              </w:rPr>
              <w:t>废物</w:t>
            </w:r>
          </w:p>
        </w:tc>
        <w:tc>
          <w:tcPr>
            <w:tcW w:w="1368" w:type="pct"/>
            <w:gridSpan w:val="4"/>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种类</w:t>
            </w:r>
          </w:p>
        </w:tc>
        <w:tc>
          <w:tcPr>
            <w:tcW w:w="508" w:type="pct"/>
            <w:gridSpan w:val="2"/>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固废属性</w:t>
            </w:r>
          </w:p>
        </w:tc>
        <w:tc>
          <w:tcPr>
            <w:tcW w:w="600" w:type="pct"/>
            <w:gridSpan w:val="2"/>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产生量</w:t>
            </w:r>
            <w:r>
              <w:rPr>
                <w:rFonts w:hint="eastAsia" w:ascii="Times New Roman" w:hAnsi="Times New Roman" w:eastAsiaTheme="minorEastAsia"/>
                <w:b/>
                <w:lang w:eastAsia="zh-CN"/>
              </w:rPr>
              <w:t>（</w:t>
            </w:r>
            <w:r>
              <w:rPr>
                <w:rFonts w:ascii="Times New Roman" w:hAnsi="Times New Roman" w:eastAsiaTheme="minorEastAsia"/>
                <w:b/>
              </w:rPr>
              <w:t>t/a</w:t>
            </w:r>
            <w:r>
              <w:rPr>
                <w:rFonts w:hint="eastAsia" w:ascii="Times New Roman" w:hAnsi="Times New Roman" w:eastAsiaTheme="minorEastAsia"/>
                <w:b/>
                <w:lang w:eastAsia="zh-CN"/>
              </w:rPr>
              <w:t>）</w:t>
            </w:r>
          </w:p>
        </w:tc>
        <w:tc>
          <w:tcPr>
            <w:tcW w:w="1329" w:type="pct"/>
            <w:gridSpan w:val="2"/>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处理措施</w:t>
            </w:r>
          </w:p>
        </w:tc>
        <w:tc>
          <w:tcPr>
            <w:tcW w:w="947"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排放量</w:t>
            </w:r>
            <w:r>
              <w:rPr>
                <w:rFonts w:hint="eastAsia" w:ascii="Times New Roman" w:hAnsi="Times New Roman" w:eastAsiaTheme="minorEastAsia"/>
                <w:b/>
                <w:lang w:eastAsia="zh-CN"/>
              </w:rPr>
              <w:t>（</w:t>
            </w:r>
            <w:r>
              <w:rPr>
                <w:rFonts w:ascii="Times New Roman" w:hAnsi="Times New Roman" w:eastAsiaTheme="minorEastAsia"/>
                <w:b/>
              </w:rPr>
              <w:t>t/a</w:t>
            </w:r>
            <w:r>
              <w:rPr>
                <w:rFonts w:hint="eastAsia" w:ascii="Times New Roman" w:hAnsi="Times New Roman" w:eastAsiaTheme="minorEastAsia"/>
                <w:b/>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47" w:type="pct"/>
            <w:vMerge w:val="continue"/>
            <w:vAlign w:val="center"/>
          </w:tcPr>
          <w:p>
            <w:pPr>
              <w:adjustRightInd w:val="0"/>
              <w:snapToGrid w:val="0"/>
              <w:jc w:val="center"/>
              <w:rPr>
                <w:rFonts w:ascii="Times New Roman" w:hAnsi="Times New Roman" w:eastAsiaTheme="minorEastAsia"/>
              </w:rPr>
            </w:pPr>
          </w:p>
        </w:tc>
        <w:tc>
          <w:tcPr>
            <w:tcW w:w="1368" w:type="pct"/>
            <w:gridSpan w:val="4"/>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员工生活垃圾</w:t>
            </w:r>
          </w:p>
        </w:tc>
        <w:tc>
          <w:tcPr>
            <w:tcW w:w="508" w:type="pct"/>
            <w:gridSpan w:val="2"/>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生活垃圾</w:t>
            </w:r>
          </w:p>
        </w:tc>
        <w:tc>
          <w:tcPr>
            <w:tcW w:w="600" w:type="pct"/>
            <w:gridSpan w:val="2"/>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4.125</w:t>
            </w:r>
          </w:p>
        </w:tc>
        <w:tc>
          <w:tcPr>
            <w:tcW w:w="1329" w:type="pct"/>
            <w:gridSpan w:val="2"/>
            <w:vAlign w:val="center"/>
          </w:tcPr>
          <w:p>
            <w:pPr>
              <w:adjustRightInd w:val="0"/>
              <w:snapToGrid w:val="0"/>
              <w:jc w:val="center"/>
              <w:rPr>
                <w:rFonts w:ascii="Times New Roman" w:hAnsi="Times New Roman" w:eastAsiaTheme="minorEastAsia"/>
              </w:rPr>
            </w:pPr>
            <w:r>
              <w:rPr>
                <w:rFonts w:ascii="Times New Roman" w:hAnsi="Times New Roman" w:eastAsiaTheme="minorEastAsia"/>
              </w:rPr>
              <w:t>交环卫部门</w:t>
            </w:r>
          </w:p>
        </w:tc>
        <w:tc>
          <w:tcPr>
            <w:tcW w:w="94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47" w:type="pct"/>
            <w:vMerge w:val="continue"/>
            <w:vAlign w:val="center"/>
          </w:tcPr>
          <w:p>
            <w:pPr>
              <w:adjustRightInd w:val="0"/>
              <w:snapToGrid w:val="0"/>
              <w:jc w:val="center"/>
              <w:rPr>
                <w:rFonts w:ascii="Times New Roman" w:hAnsi="Times New Roman" w:eastAsiaTheme="minorEastAsia"/>
              </w:rPr>
            </w:pPr>
          </w:p>
        </w:tc>
        <w:tc>
          <w:tcPr>
            <w:tcW w:w="1368" w:type="pct"/>
            <w:gridSpan w:val="4"/>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到港船舶生活垃圾</w:t>
            </w:r>
          </w:p>
        </w:tc>
        <w:tc>
          <w:tcPr>
            <w:tcW w:w="508" w:type="pct"/>
            <w:gridSpan w:val="2"/>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生活垃圾</w:t>
            </w:r>
          </w:p>
        </w:tc>
        <w:tc>
          <w:tcPr>
            <w:tcW w:w="600" w:type="pct"/>
            <w:gridSpan w:val="2"/>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1.98</w:t>
            </w:r>
          </w:p>
        </w:tc>
        <w:tc>
          <w:tcPr>
            <w:tcW w:w="1329" w:type="pct"/>
            <w:gridSpan w:val="2"/>
            <w:vAlign w:val="center"/>
          </w:tcPr>
          <w:p>
            <w:pPr>
              <w:adjustRightInd w:val="0"/>
              <w:snapToGrid w:val="0"/>
              <w:jc w:val="center"/>
              <w:rPr>
                <w:rFonts w:ascii="Times New Roman" w:hAnsi="Times New Roman" w:eastAsiaTheme="minorEastAsia"/>
              </w:rPr>
            </w:pPr>
            <w:r>
              <w:rPr>
                <w:rFonts w:ascii="Times New Roman" w:hAnsi="Times New Roman" w:eastAsiaTheme="minorEastAsia"/>
              </w:rPr>
              <w:t>交海事部门环保船接收处理</w:t>
            </w:r>
          </w:p>
        </w:tc>
        <w:tc>
          <w:tcPr>
            <w:tcW w:w="94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47" w:type="pct"/>
            <w:vMerge w:val="continue"/>
            <w:vAlign w:val="center"/>
          </w:tcPr>
          <w:p>
            <w:pPr>
              <w:adjustRightInd w:val="0"/>
              <w:snapToGrid w:val="0"/>
              <w:jc w:val="center"/>
              <w:rPr>
                <w:rFonts w:ascii="Times New Roman" w:hAnsi="Times New Roman" w:eastAsiaTheme="minorEastAsia"/>
              </w:rPr>
            </w:pPr>
          </w:p>
        </w:tc>
        <w:tc>
          <w:tcPr>
            <w:tcW w:w="1368" w:type="pct"/>
            <w:gridSpan w:val="4"/>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废含油抹布</w:t>
            </w:r>
          </w:p>
        </w:tc>
        <w:tc>
          <w:tcPr>
            <w:tcW w:w="508" w:type="pct"/>
            <w:gridSpan w:val="2"/>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危险废物</w:t>
            </w:r>
          </w:p>
        </w:tc>
        <w:tc>
          <w:tcPr>
            <w:tcW w:w="600" w:type="pct"/>
            <w:gridSpan w:val="2"/>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w:t>
            </w:r>
          </w:p>
        </w:tc>
        <w:tc>
          <w:tcPr>
            <w:tcW w:w="1329" w:type="pct"/>
            <w:gridSpan w:val="2"/>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纳入到生活垃圾处理系统</w:t>
            </w:r>
          </w:p>
        </w:tc>
        <w:tc>
          <w:tcPr>
            <w:tcW w:w="94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47" w:type="pct"/>
            <w:vMerge w:val="continue"/>
            <w:vAlign w:val="center"/>
          </w:tcPr>
          <w:p>
            <w:pPr>
              <w:adjustRightInd w:val="0"/>
              <w:snapToGrid w:val="0"/>
              <w:jc w:val="center"/>
              <w:rPr>
                <w:rFonts w:ascii="Times New Roman" w:hAnsi="Times New Roman" w:eastAsiaTheme="minorEastAsia"/>
              </w:rPr>
            </w:pPr>
          </w:p>
        </w:tc>
        <w:tc>
          <w:tcPr>
            <w:tcW w:w="1368" w:type="pct"/>
            <w:gridSpan w:val="4"/>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废油渣</w:t>
            </w:r>
          </w:p>
        </w:tc>
        <w:tc>
          <w:tcPr>
            <w:tcW w:w="508" w:type="pct"/>
            <w:gridSpan w:val="2"/>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危险废物</w:t>
            </w:r>
          </w:p>
        </w:tc>
        <w:tc>
          <w:tcPr>
            <w:tcW w:w="600" w:type="pct"/>
            <w:gridSpan w:val="2"/>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0.2</w:t>
            </w:r>
          </w:p>
        </w:tc>
        <w:tc>
          <w:tcPr>
            <w:tcW w:w="1329" w:type="pct"/>
            <w:gridSpan w:val="2"/>
            <w:vAlign w:val="center"/>
          </w:tcPr>
          <w:p>
            <w:pPr>
              <w:adjustRightInd w:val="0"/>
              <w:snapToGrid w:val="0"/>
              <w:jc w:val="center"/>
              <w:rPr>
                <w:rFonts w:hint="eastAsia" w:ascii="Times New Roman" w:hAnsi="Times New Roman" w:eastAsiaTheme="minorEastAsia"/>
                <w:lang w:eastAsia="zh-CN"/>
              </w:rPr>
            </w:pPr>
            <w:r>
              <w:rPr>
                <w:rFonts w:hint="eastAsia" w:ascii="Times New Roman" w:hAnsi="Times New Roman" w:eastAsiaTheme="minorEastAsia"/>
                <w:color w:val="000000"/>
                <w:kern w:val="0"/>
                <w:lang w:eastAsia="zh-CN"/>
              </w:rPr>
              <w:t>与总厂区危废一同</w:t>
            </w:r>
            <w:r>
              <w:rPr>
                <w:rFonts w:ascii="Times New Roman" w:hAnsi="Times New Roman" w:eastAsiaTheme="minorEastAsia"/>
                <w:color w:val="000000"/>
                <w:kern w:val="0"/>
              </w:rPr>
              <w:t>交由有资质的危废处置单位</w:t>
            </w:r>
            <w:r>
              <w:rPr>
                <w:rFonts w:hint="eastAsia" w:ascii="Times New Roman" w:hAnsi="Times New Roman" w:eastAsiaTheme="minorEastAsia"/>
                <w:color w:val="000000"/>
                <w:kern w:val="0"/>
                <w:lang w:eastAsia="zh-CN"/>
              </w:rPr>
              <w:t>处置</w:t>
            </w:r>
          </w:p>
        </w:tc>
        <w:tc>
          <w:tcPr>
            <w:tcW w:w="94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47" w:type="pct"/>
            <w:vMerge w:val="continue"/>
            <w:vAlign w:val="center"/>
          </w:tcPr>
          <w:p>
            <w:pPr>
              <w:adjustRightInd w:val="0"/>
              <w:snapToGrid w:val="0"/>
              <w:jc w:val="center"/>
              <w:rPr>
                <w:rFonts w:ascii="Times New Roman" w:hAnsi="Times New Roman" w:eastAsiaTheme="minorEastAsia"/>
              </w:rPr>
            </w:pPr>
          </w:p>
        </w:tc>
        <w:tc>
          <w:tcPr>
            <w:tcW w:w="1368" w:type="pct"/>
            <w:gridSpan w:val="4"/>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生活污泥、沉渣</w:t>
            </w:r>
          </w:p>
        </w:tc>
        <w:tc>
          <w:tcPr>
            <w:tcW w:w="508" w:type="pct"/>
            <w:gridSpan w:val="2"/>
            <w:vAlign w:val="center"/>
          </w:tcPr>
          <w:p>
            <w:pPr>
              <w:adjustRightInd w:val="0"/>
              <w:snapToGrid w:val="0"/>
              <w:jc w:val="center"/>
              <w:rPr>
                <w:rFonts w:ascii="Times New Roman" w:hAnsi="Times New Roman" w:eastAsiaTheme="minorEastAsia"/>
              </w:rPr>
            </w:pPr>
            <w:r>
              <w:rPr>
                <w:rFonts w:ascii="Times New Roman" w:hAnsi="Times New Roman" w:eastAsiaTheme="minorEastAsia"/>
              </w:rPr>
              <w:t>一般工业固废</w:t>
            </w:r>
          </w:p>
        </w:tc>
        <w:tc>
          <w:tcPr>
            <w:tcW w:w="600" w:type="pct"/>
            <w:gridSpan w:val="2"/>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62</w:t>
            </w:r>
          </w:p>
        </w:tc>
        <w:tc>
          <w:tcPr>
            <w:tcW w:w="1329" w:type="pct"/>
            <w:gridSpan w:val="2"/>
            <w:vAlign w:val="center"/>
          </w:tcPr>
          <w:p>
            <w:pPr>
              <w:adjustRightInd w:val="0"/>
              <w:snapToGrid w:val="0"/>
              <w:jc w:val="center"/>
              <w:rPr>
                <w:rFonts w:ascii="Times New Roman" w:hAnsi="Times New Roman" w:eastAsiaTheme="minorEastAsia"/>
              </w:rPr>
            </w:pPr>
            <w:r>
              <w:rPr>
                <w:rFonts w:ascii="Times New Roman" w:hAnsi="Times New Roman" w:eastAsiaTheme="minorEastAsia"/>
              </w:rPr>
              <w:t>交由华能岳阳电厂进行综合利用</w:t>
            </w:r>
          </w:p>
        </w:tc>
        <w:tc>
          <w:tcPr>
            <w:tcW w:w="94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r>
    </w:tbl>
    <w:p>
      <w:pPr>
        <w:spacing w:line="360" w:lineRule="auto"/>
        <w:rPr>
          <w:rFonts w:ascii="Times New Roman" w:hAnsi="Times New Roman" w:eastAsiaTheme="minorEastAsia"/>
          <w:b/>
          <w:color w:val="000000"/>
          <w:sz w:val="24"/>
          <w:szCs w:val="24"/>
          <w:highlight w:val="yellow"/>
        </w:rPr>
      </w:pPr>
      <w:bookmarkStart w:id="441" w:name="_GoBack"/>
      <w:bookmarkEnd w:id="441"/>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4"/>
        <w:rPr>
          <w:rFonts w:eastAsiaTheme="minorEastAsia"/>
        </w:rPr>
      </w:pPr>
      <w:r>
        <w:rPr>
          <w:rFonts w:eastAsiaTheme="minorEastAsia"/>
        </w:rPr>
        <w:t>生态环境的影响</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lang w:val="zh-CN"/>
        </w:rPr>
      </w:pPr>
      <w:r>
        <w:rPr>
          <w:rFonts w:ascii="Times New Roman" w:hAnsi="Times New Roman" w:eastAsiaTheme="minorEastAsia"/>
          <w:color w:val="000000"/>
          <w:sz w:val="24"/>
          <w:szCs w:val="24"/>
          <w:lang w:val="zh-CN"/>
        </w:rPr>
        <w:t>1、</w:t>
      </w:r>
      <w:r>
        <w:rPr>
          <w:rFonts w:hint="eastAsia" w:ascii="Times New Roman" w:hAnsi="Times New Roman" w:eastAsiaTheme="minorEastAsia"/>
          <w:color w:val="000000"/>
          <w:sz w:val="24"/>
          <w:szCs w:val="24"/>
          <w:lang w:val="zh-CN"/>
        </w:rPr>
        <w:t>本项目</w:t>
      </w:r>
      <w:r>
        <w:rPr>
          <w:rFonts w:ascii="Times New Roman" w:hAnsi="Times New Roman" w:eastAsiaTheme="minorEastAsia"/>
          <w:color w:val="000000"/>
          <w:sz w:val="24"/>
          <w:szCs w:val="24"/>
          <w:lang w:val="zh-CN"/>
        </w:rPr>
        <w:t>码头采用浮码头结构型式，趸船吃水水深&lt;1.5m，</w:t>
      </w:r>
      <w:r>
        <w:rPr>
          <w:rFonts w:hint="eastAsia" w:ascii="Times New Roman" w:hAnsi="Times New Roman" w:eastAsiaTheme="minorEastAsia"/>
          <w:color w:val="000000"/>
          <w:sz w:val="24"/>
          <w:szCs w:val="24"/>
          <w:lang w:val="zh-CN"/>
        </w:rPr>
        <w:t>对应</w:t>
      </w:r>
      <w:r>
        <w:rPr>
          <w:rFonts w:ascii="Times New Roman" w:hAnsi="Times New Roman" w:eastAsiaTheme="minorEastAsia"/>
          <w:color w:val="000000"/>
          <w:sz w:val="24"/>
          <w:szCs w:val="24"/>
          <w:lang w:val="zh-CN"/>
        </w:rPr>
        <w:t>江段平均水深7~8</w:t>
      </w:r>
      <w:r>
        <w:rPr>
          <w:rFonts w:hint="eastAsia" w:ascii="Times New Roman" w:hAnsi="Times New Roman" w:eastAsiaTheme="minorEastAsia"/>
          <w:color w:val="000000"/>
          <w:sz w:val="24"/>
          <w:szCs w:val="24"/>
          <w:lang w:val="en-US" w:eastAsia="zh-CN"/>
        </w:rPr>
        <w:t>m</w:t>
      </w:r>
      <w:r>
        <w:rPr>
          <w:rFonts w:ascii="Times New Roman" w:hAnsi="Times New Roman" w:eastAsiaTheme="minorEastAsia"/>
          <w:color w:val="000000"/>
          <w:sz w:val="24"/>
          <w:szCs w:val="24"/>
          <w:lang w:val="zh-CN"/>
        </w:rPr>
        <w:t>，鱼类仍可在浮码头平台下面游动。但是随着到港船舶数量的大幅增加，压缩了鱼类的生存空间，强大的噪声污染干扰了它们的正常生活，将会对鱼类产生一定影响。</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lang w:val="zh-CN"/>
        </w:rPr>
      </w:pPr>
      <w:r>
        <w:rPr>
          <w:rFonts w:ascii="Times New Roman" w:hAnsi="Times New Roman" w:eastAsiaTheme="minorEastAsia"/>
          <w:color w:val="000000"/>
          <w:sz w:val="24"/>
          <w:szCs w:val="24"/>
          <w:lang w:val="zh-CN"/>
        </w:rPr>
        <w:t>2、本项目位于洞庭湖口铜鱼短颌鲚</w:t>
      </w:r>
      <w:r>
        <w:rPr>
          <w:rFonts w:ascii="Times New Roman" w:hAnsi="Times New Roman" w:eastAsiaTheme="minorEastAsia"/>
          <w:color w:val="000000" w:themeColor="text1"/>
          <w:sz w:val="24"/>
          <w:szCs w:val="24"/>
          <w:lang w:val="zh-CN"/>
          <w14:textFill>
            <w14:solidFill>
              <w14:schemeClr w14:val="tx1"/>
            </w14:solidFill>
          </w14:textFill>
        </w:rPr>
        <w:t>水产种质资源保护区实验区和岳阳楼-洞庭湖风景名胜区的外围保护地带内，靠近东洞</w:t>
      </w:r>
      <w:r>
        <w:rPr>
          <w:rFonts w:ascii="Times New Roman" w:hAnsi="Times New Roman" w:eastAsiaTheme="minorEastAsia"/>
          <w:color w:val="000000"/>
          <w:sz w:val="24"/>
          <w:szCs w:val="24"/>
          <w:lang w:val="zh-CN"/>
        </w:rPr>
        <w:t>庭湖国家自然保护区的实验区，工程建设和营运会给保护区带来一定影响。</w:t>
      </w:r>
    </w:p>
    <w:p>
      <w:pPr>
        <w:tabs>
          <w:tab w:val="left" w:pos="900"/>
        </w:tabs>
        <w:adjustRightInd w:val="0"/>
        <w:snapToGrid w:val="0"/>
        <w:spacing w:line="360" w:lineRule="auto"/>
        <w:ind w:firstLine="480" w:firstLineChars="200"/>
        <w:rPr>
          <w:rFonts w:ascii="Times New Roman" w:hAnsi="Times New Roman" w:eastAsiaTheme="minorEastAsia"/>
          <w:color w:val="000000"/>
          <w:sz w:val="24"/>
          <w:szCs w:val="24"/>
          <w:lang w:val="zh-CN"/>
        </w:rPr>
      </w:pPr>
      <w:r>
        <w:rPr>
          <w:rFonts w:ascii="Times New Roman" w:hAnsi="Times New Roman" w:eastAsiaTheme="minorEastAsia"/>
          <w:color w:val="000000"/>
          <w:sz w:val="24"/>
          <w:szCs w:val="24"/>
          <w:lang w:val="zh-CN"/>
        </w:rPr>
        <w:t>3、由于船舶的操作不当、碰撞、搁浅，从而引起船舶溢油事故，造成船舶燃料油溢漏入河，将影响码头及</w:t>
      </w:r>
      <w:r>
        <w:rPr>
          <w:rFonts w:hint="eastAsia" w:ascii="Times New Roman" w:hAnsi="Times New Roman" w:eastAsiaTheme="minorEastAsia"/>
          <w:color w:val="000000"/>
          <w:sz w:val="24"/>
          <w:szCs w:val="24"/>
          <w:lang w:val="zh-CN"/>
        </w:rPr>
        <w:t>长江</w:t>
      </w:r>
      <w:r>
        <w:rPr>
          <w:rFonts w:ascii="Times New Roman" w:hAnsi="Times New Roman" w:eastAsiaTheme="minorEastAsia"/>
          <w:color w:val="000000"/>
          <w:sz w:val="24"/>
          <w:szCs w:val="24"/>
          <w:lang w:val="zh-CN"/>
        </w:rPr>
        <w:t>的河流生态环境。</w:t>
      </w:r>
    </w:p>
    <w:p>
      <w:pPr>
        <w:tabs>
          <w:tab w:val="left" w:pos="900"/>
        </w:tabs>
        <w:adjustRightInd w:val="0"/>
        <w:snapToGrid w:val="0"/>
        <w:spacing w:line="360" w:lineRule="auto"/>
        <w:rPr>
          <w:rFonts w:ascii="Times New Roman" w:hAnsi="Times New Roman" w:eastAsiaTheme="minorEastAsia"/>
          <w:color w:val="000000"/>
          <w:sz w:val="24"/>
          <w:szCs w:val="24"/>
          <w:lang w:val="zh-CN"/>
        </w:rPr>
      </w:pPr>
    </w:p>
    <w:p>
      <w:pPr>
        <w:pStyle w:val="6"/>
        <w:ind w:firstLine="480"/>
        <w:rPr>
          <w:rFonts w:cs="Times New Roman" w:eastAsiaTheme="minorEastAsia"/>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bookmarkStart w:id="44" w:name="_Toc1647842"/>
      <w:bookmarkEnd w:id="44"/>
    </w:p>
    <w:p>
      <w:pPr>
        <w:pStyle w:val="2"/>
        <w:spacing w:line="480" w:lineRule="auto"/>
        <w:ind w:left="431" w:hanging="431"/>
        <w:jc w:val="center"/>
        <w:rPr>
          <w:rFonts w:eastAsiaTheme="minorEastAsia"/>
          <w:b/>
          <w:sz w:val="32"/>
          <w:szCs w:val="32"/>
        </w:rPr>
      </w:pPr>
      <w:bookmarkStart w:id="45" w:name="_Toc298750557"/>
      <w:bookmarkEnd w:id="45"/>
      <w:bookmarkStart w:id="46" w:name="_Toc298750356"/>
      <w:bookmarkEnd w:id="46"/>
      <w:bookmarkStart w:id="47" w:name="_Toc28813"/>
      <w:r>
        <w:rPr>
          <w:rFonts w:eastAsiaTheme="minorEastAsia"/>
          <w:b/>
          <w:sz w:val="32"/>
          <w:szCs w:val="32"/>
        </w:rPr>
        <w:t>环境质量现状调查与评价</w:t>
      </w:r>
      <w:bookmarkEnd w:id="47"/>
    </w:p>
    <w:p>
      <w:pPr>
        <w:pStyle w:val="3"/>
        <w:rPr>
          <w:rFonts w:ascii="Times New Roman" w:hAnsi="Times New Roman" w:eastAsiaTheme="minorEastAsia"/>
          <w:b/>
        </w:rPr>
      </w:pPr>
      <w:bookmarkStart w:id="48" w:name="_Toc187830035"/>
      <w:bookmarkEnd w:id="48"/>
      <w:bookmarkStart w:id="49" w:name="_Toc66000288"/>
      <w:bookmarkEnd w:id="49"/>
      <w:bookmarkStart w:id="50" w:name="_Toc298750357"/>
      <w:bookmarkEnd w:id="50"/>
      <w:bookmarkStart w:id="51" w:name="_Toc75346460"/>
      <w:bookmarkEnd w:id="51"/>
      <w:bookmarkStart w:id="52" w:name="_Toc54065368"/>
      <w:bookmarkEnd w:id="52"/>
      <w:bookmarkStart w:id="53" w:name="_Toc533797477"/>
      <w:bookmarkEnd w:id="53"/>
      <w:bookmarkStart w:id="54" w:name="_Toc501441545"/>
      <w:bookmarkEnd w:id="54"/>
      <w:bookmarkStart w:id="55" w:name="_Toc106965861"/>
      <w:bookmarkEnd w:id="55"/>
      <w:bookmarkStart w:id="56" w:name="_Toc516882498"/>
      <w:bookmarkEnd w:id="56"/>
      <w:bookmarkStart w:id="57" w:name="_Toc51482818"/>
      <w:bookmarkEnd w:id="57"/>
      <w:bookmarkStart w:id="58" w:name="_Toc516646380"/>
      <w:bookmarkEnd w:id="58"/>
      <w:bookmarkStart w:id="59" w:name="_Toc298750558"/>
      <w:bookmarkEnd w:id="59"/>
      <w:bookmarkStart w:id="60" w:name="_Toc292191926"/>
      <w:bookmarkEnd w:id="60"/>
      <w:bookmarkStart w:id="61" w:name="_Toc22716342"/>
      <w:bookmarkEnd w:id="61"/>
      <w:bookmarkStart w:id="62" w:name="_Toc65582253"/>
      <w:bookmarkEnd w:id="62"/>
      <w:bookmarkStart w:id="63" w:name="_Toc198447153"/>
      <w:bookmarkEnd w:id="63"/>
      <w:bookmarkStart w:id="64" w:name="_Toc511395686"/>
      <w:bookmarkEnd w:id="64"/>
      <w:bookmarkStart w:id="65" w:name="_Toc237075125"/>
      <w:bookmarkEnd w:id="65"/>
      <w:bookmarkStart w:id="66" w:name="_Toc51421588"/>
      <w:bookmarkEnd w:id="66"/>
      <w:bookmarkStart w:id="67" w:name="_Toc22716456"/>
      <w:bookmarkEnd w:id="67"/>
      <w:bookmarkStart w:id="68" w:name="_Toc503927716"/>
      <w:bookmarkEnd w:id="68"/>
      <w:bookmarkStart w:id="69" w:name="_Toc514130103"/>
      <w:bookmarkEnd w:id="69"/>
      <w:bookmarkStart w:id="70" w:name="_Toc286754878"/>
      <w:bookmarkEnd w:id="70"/>
      <w:bookmarkStart w:id="71" w:name="_Toc32714"/>
      <w:bookmarkStart w:id="72" w:name="_Toc298750358"/>
      <w:r>
        <w:rPr>
          <w:rFonts w:ascii="Times New Roman" w:hAnsi="Times New Roman" w:eastAsiaTheme="minorEastAsia"/>
          <w:b/>
        </w:rPr>
        <w:t>自然环境概况</w:t>
      </w:r>
      <w:bookmarkEnd w:id="71"/>
    </w:p>
    <w:p>
      <w:pPr>
        <w:pStyle w:val="4"/>
        <w:rPr>
          <w:rFonts w:eastAsiaTheme="minorEastAsia"/>
        </w:rPr>
      </w:pPr>
      <w:r>
        <w:rPr>
          <w:rFonts w:eastAsiaTheme="minorEastAsia"/>
        </w:rPr>
        <w:t>地理位置</w:t>
      </w:r>
    </w:p>
    <w:bookmarkEnd w:id="72"/>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岳阳地处湖南东北部，东邻湖北赤壁、崇阳、通城、江西铜鼓、修水，南抵长沙、浏阳、望城，西接沅江、南县、安乡县，北界湖北的石首、监利、洪湖、蒲圻市。市境北滨“黄金水道”长江，南抱洞庭，纳湘资沅澧四水，沿长江水路逆江而上247km可达沙市，再达枝江、宜昌、重庆和宜宾；顺长江而下231km可抵武汉，再抵九江、南京和上海等大中城市；南上洞庭湖经171km湘江可至长沙，再至株洲、湘潭；沿资水可至益阳，沿沅水可至常德，经澧水可至津市等省内重要城市。</w:t>
      </w:r>
    </w:p>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本项目位于岳阳港城陵矶港区松阳湖作业区、长江中游仙峰水道上段城陵矶擂鼓台下游约600m处的长江右岸，长江中游航道里程228km。地理位置示意图见附图1。</w:t>
      </w:r>
    </w:p>
    <w:p>
      <w:pPr>
        <w:pStyle w:val="4"/>
        <w:rPr>
          <w:rFonts w:eastAsiaTheme="minorEastAsia"/>
        </w:rPr>
      </w:pPr>
      <w:r>
        <w:rPr>
          <w:rFonts w:eastAsiaTheme="minorEastAsia"/>
        </w:rPr>
        <w:t>地形地貌</w:t>
      </w:r>
    </w:p>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岳阳市云溪区属幕阜山余脉向江汉平原过渡地带，境内群峰起伏，矮丘遍布，河港纵横，湖泊众多，整个地势由东南至西北呈阶梯状向长江倾斜。境内最高海拔点为云溪乡上清溪村之小木岭，海拔497.6m；最低海拔点为永济乡之臣子湖，海拔21.4m。一般海拔在40~60m之间。</w:t>
      </w:r>
    </w:p>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本项目位于地处长江中游江汉冲积平原及低山丘陵过渡地带，左岸以平原为主，在沿江一带零星分布低山残丘（白螺矶、杨林山），右岸主要是低山丘陵地形。沿江两岸均设有防洪大堤，工程区域地貌单元属长江河漫滩，地势平缓开阔，地面标高一般在25~27m之间。枯水期江面宽度约为1km，长江深泓紧靠右岸，枯水期水深约在4m左右。</w:t>
      </w:r>
    </w:p>
    <w:p>
      <w:pPr>
        <w:pStyle w:val="4"/>
        <w:rPr>
          <w:rFonts w:eastAsiaTheme="minorEastAsia"/>
        </w:rPr>
      </w:pPr>
      <w:r>
        <w:rPr>
          <w:rFonts w:eastAsiaTheme="minorEastAsia"/>
        </w:rPr>
        <w:t>气候气象</w:t>
      </w:r>
    </w:p>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本项目处属亚热带季风气候区，冬季寒冷干燥，降雨偏少；夏季炎热，春秋季雨量偏多。</w:t>
      </w:r>
    </w:p>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岳阳国家基本气象站位于北纬29°23′、东经113°05′，海拔53.0米，始建于1952年，具有建站以来50多年气象原始资料。根据岳阳气象站1952年以来统计资料，工程处气象条件如下：</w:t>
      </w:r>
    </w:p>
    <w:p>
      <w:pPr>
        <w:adjustRightInd w:val="0"/>
        <w:snapToGrid w:val="0"/>
        <w:spacing w:line="360" w:lineRule="auto"/>
        <w:ind w:firstLine="480" w:firstLineChars="200"/>
        <w:rPr>
          <w:rFonts w:ascii="Times New Roman" w:hAnsi="Times New Roman" w:eastAsiaTheme="minorEastAsia"/>
          <w:color w:val="000000"/>
          <w:sz w:val="24"/>
        </w:rPr>
      </w:pPr>
      <w:r>
        <w:rPr>
          <w:rFonts w:hint="eastAsia" w:ascii="宋体" w:hAnsi="宋体" w:cs="宋体"/>
          <w:color w:val="000000"/>
          <w:sz w:val="24"/>
        </w:rPr>
        <w:t>⑴</w:t>
      </w:r>
      <w:r>
        <w:rPr>
          <w:rFonts w:ascii="Times New Roman" w:hAnsi="Times New Roman" w:eastAsiaTheme="minorEastAsia"/>
          <w:color w:val="000000"/>
          <w:sz w:val="24"/>
        </w:rPr>
        <w:t xml:space="preserve"> 气温：多年平均气温16.4</w:t>
      </w:r>
      <w:r>
        <w:rPr>
          <w:rFonts w:hint="eastAsia" w:ascii="宋体" w:hAnsi="宋体" w:cs="宋体"/>
          <w:color w:val="000000"/>
          <w:sz w:val="24"/>
        </w:rPr>
        <w:t>℃</w:t>
      </w:r>
      <w:r>
        <w:rPr>
          <w:rFonts w:ascii="Times New Roman" w:hAnsi="Times New Roman" w:eastAsiaTheme="minorEastAsia"/>
          <w:color w:val="000000"/>
          <w:sz w:val="24"/>
        </w:rPr>
        <w:t>，1月份气温最低，7月份气温最高，温差不大。极端最高气温40.4</w:t>
      </w:r>
      <w:r>
        <w:rPr>
          <w:rFonts w:hint="eastAsia" w:ascii="宋体" w:hAnsi="宋体" w:cs="宋体"/>
          <w:color w:val="000000"/>
          <w:sz w:val="24"/>
        </w:rPr>
        <w:t>℃</w:t>
      </w:r>
      <w:r>
        <w:rPr>
          <w:rFonts w:ascii="Times New Roman" w:hAnsi="Times New Roman" w:eastAsiaTheme="minorEastAsia"/>
          <w:color w:val="000000"/>
          <w:sz w:val="24"/>
        </w:rPr>
        <w:t>（1966年8月1日），极端最低气温为-18.0</w:t>
      </w:r>
      <w:r>
        <w:rPr>
          <w:rFonts w:hint="eastAsia" w:ascii="宋体" w:hAnsi="宋体" w:cs="宋体"/>
          <w:color w:val="000000"/>
          <w:sz w:val="24"/>
        </w:rPr>
        <w:t>℃</w:t>
      </w:r>
      <w:r>
        <w:rPr>
          <w:rFonts w:ascii="Times New Roman" w:hAnsi="Times New Roman" w:eastAsiaTheme="minorEastAsia"/>
          <w:color w:val="000000"/>
          <w:sz w:val="24"/>
        </w:rPr>
        <w:t>（1969年1月31日）。</w:t>
      </w:r>
    </w:p>
    <w:p>
      <w:pPr>
        <w:adjustRightInd w:val="0"/>
        <w:snapToGrid w:val="0"/>
        <w:spacing w:line="360" w:lineRule="auto"/>
        <w:ind w:firstLine="480" w:firstLineChars="200"/>
        <w:rPr>
          <w:rFonts w:ascii="Times New Roman" w:hAnsi="Times New Roman" w:eastAsiaTheme="minorEastAsia"/>
          <w:color w:val="000000"/>
          <w:sz w:val="24"/>
        </w:rPr>
      </w:pPr>
      <w:r>
        <w:rPr>
          <w:rFonts w:hint="eastAsia" w:ascii="宋体" w:hAnsi="宋体" w:cs="宋体"/>
          <w:color w:val="000000"/>
          <w:sz w:val="24"/>
        </w:rPr>
        <w:t>⑵</w:t>
      </w:r>
      <w:r>
        <w:rPr>
          <w:rFonts w:ascii="Times New Roman" w:hAnsi="Times New Roman" w:eastAsiaTheme="minorEastAsia"/>
          <w:color w:val="000000"/>
          <w:sz w:val="24"/>
        </w:rPr>
        <w:t xml:space="preserve"> 降水：本地区降水量较丰富，多年平均降水量1307mm，降水年际间变化大，年内分布不均。年降水多集中在4~7月，4~6月三个月降水一般占全年降水40%以上。平均年降雨天数为139天。</w:t>
      </w:r>
    </w:p>
    <w:p>
      <w:pPr>
        <w:adjustRightInd w:val="0"/>
        <w:snapToGrid w:val="0"/>
        <w:spacing w:line="360" w:lineRule="auto"/>
        <w:ind w:firstLine="480" w:firstLineChars="200"/>
        <w:rPr>
          <w:rFonts w:ascii="Times New Roman" w:hAnsi="Times New Roman" w:eastAsiaTheme="minorEastAsia"/>
          <w:color w:val="000000"/>
          <w:sz w:val="24"/>
        </w:rPr>
      </w:pPr>
      <w:r>
        <w:rPr>
          <w:rFonts w:hint="eastAsia" w:ascii="宋体" w:hAnsi="宋体" w:cs="宋体"/>
          <w:color w:val="000000"/>
          <w:sz w:val="24"/>
        </w:rPr>
        <w:t>⑶</w:t>
      </w:r>
      <w:r>
        <w:rPr>
          <w:rFonts w:ascii="Times New Roman" w:hAnsi="Times New Roman" w:eastAsiaTheme="minorEastAsia"/>
          <w:color w:val="000000"/>
          <w:sz w:val="24"/>
        </w:rPr>
        <w:t xml:space="preserve"> 风：强风向和常风向为NE向，多年平均风速3m/s，最大风速28m/s，平均最大风速7.8m/s（1965年7月21日）。</w:t>
      </w:r>
    </w:p>
    <w:p>
      <w:pPr>
        <w:adjustRightInd w:val="0"/>
        <w:snapToGrid w:val="0"/>
        <w:spacing w:line="360" w:lineRule="auto"/>
        <w:ind w:firstLine="480" w:firstLineChars="200"/>
        <w:rPr>
          <w:rFonts w:ascii="Times New Roman" w:hAnsi="Times New Roman" w:eastAsiaTheme="minorEastAsia"/>
          <w:color w:val="000000"/>
          <w:sz w:val="24"/>
        </w:rPr>
      </w:pPr>
      <w:r>
        <w:rPr>
          <w:rFonts w:hint="eastAsia" w:ascii="宋体" w:hAnsi="宋体" w:cs="宋体"/>
          <w:color w:val="000000"/>
          <w:sz w:val="24"/>
        </w:rPr>
        <w:t>⑷</w:t>
      </w:r>
      <w:r>
        <w:rPr>
          <w:rFonts w:ascii="Times New Roman" w:hAnsi="Times New Roman" w:eastAsiaTheme="minorEastAsia"/>
          <w:color w:val="000000"/>
          <w:sz w:val="24"/>
        </w:rPr>
        <w:t xml:space="preserve"> 雾：雾日多发生在冬春两季，雾的出现多在清晨和夜间。多年平均雾日16.5天（能见度小于1000m以下的雾日）。最多年雾日数为29天；最少年雾日数为7天。</w:t>
      </w:r>
    </w:p>
    <w:p>
      <w:pPr>
        <w:adjustRightInd w:val="0"/>
        <w:snapToGrid w:val="0"/>
        <w:spacing w:line="360" w:lineRule="auto"/>
        <w:ind w:firstLine="480" w:firstLineChars="200"/>
        <w:rPr>
          <w:rFonts w:ascii="Times New Roman" w:hAnsi="Times New Roman" w:eastAsiaTheme="minorEastAsia"/>
          <w:color w:val="000000"/>
          <w:sz w:val="24"/>
        </w:rPr>
      </w:pPr>
      <w:r>
        <w:rPr>
          <w:rFonts w:hint="eastAsia" w:ascii="宋体" w:hAnsi="宋体" w:cs="宋体"/>
          <w:color w:val="000000"/>
          <w:sz w:val="24"/>
        </w:rPr>
        <w:t>⑸</w:t>
      </w:r>
      <w:r>
        <w:rPr>
          <w:rFonts w:ascii="Times New Roman" w:hAnsi="Times New Roman" w:eastAsiaTheme="minorEastAsia"/>
          <w:color w:val="000000"/>
          <w:sz w:val="24"/>
        </w:rPr>
        <w:t xml:space="preserve"> 相对湿度：年平均相对湿度79% 。</w:t>
      </w:r>
    </w:p>
    <w:p>
      <w:pPr>
        <w:adjustRightInd w:val="0"/>
        <w:snapToGrid w:val="0"/>
        <w:spacing w:line="360" w:lineRule="auto"/>
        <w:ind w:firstLine="480" w:firstLineChars="200"/>
        <w:rPr>
          <w:rFonts w:ascii="Times New Roman" w:hAnsi="Times New Roman" w:eastAsiaTheme="minorEastAsia"/>
          <w:color w:val="000000"/>
          <w:sz w:val="24"/>
        </w:rPr>
      </w:pPr>
      <w:r>
        <w:rPr>
          <w:rFonts w:hint="eastAsia" w:ascii="宋体" w:hAnsi="宋体" w:cs="宋体"/>
          <w:color w:val="000000"/>
          <w:sz w:val="24"/>
        </w:rPr>
        <w:t>⑹</w:t>
      </w:r>
      <w:r>
        <w:rPr>
          <w:rFonts w:ascii="Times New Roman" w:hAnsi="Times New Roman"/>
          <w:color w:val="000000"/>
          <w:sz w:val="24"/>
        </w:rPr>
        <w:t xml:space="preserve"> </w:t>
      </w:r>
      <w:r>
        <w:rPr>
          <w:rFonts w:ascii="Times New Roman" w:hAnsi="Times New Roman" w:eastAsiaTheme="minorEastAsia"/>
          <w:color w:val="000000"/>
          <w:sz w:val="24"/>
        </w:rPr>
        <w:t>雷暴：年平均雷暴日33d，多出现在春夏季。</w:t>
      </w:r>
    </w:p>
    <w:p>
      <w:pPr>
        <w:pStyle w:val="4"/>
        <w:rPr>
          <w:rFonts w:eastAsiaTheme="minorEastAsia"/>
        </w:rPr>
      </w:pPr>
      <w:r>
        <w:rPr>
          <w:rFonts w:eastAsiaTheme="minorEastAsia"/>
        </w:rPr>
        <w:t>地质地震</w:t>
      </w:r>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b/>
          <w:color w:val="000000"/>
          <w:sz w:val="24"/>
          <w:szCs w:val="24"/>
        </w:rPr>
        <w:t>1、</w:t>
      </w:r>
      <w:r>
        <w:rPr>
          <w:rFonts w:ascii="Times New Roman" w:hAnsi="Times New Roman" w:eastAsiaTheme="minorEastAsia"/>
          <w:b/>
          <w:color w:val="000000"/>
          <w:sz w:val="24"/>
          <w:szCs w:val="24"/>
        </w:rPr>
        <w:t>岩土层分布</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根据本次勘察揭示，勘区岩土层主要为第四系全新统河流冲积形成的河床相及漫滩相地层，陆域地表局部分布有人工填土，下伏基岩为冷家溪群板岩。</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根据地质时代、成因类型、岩性特征及其物理力学指标等划分为7大层，其次以土体类型及特征确定亚层，勘区地层各单元土体的分布自上而下分区详述如下：</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hint="eastAsia" w:ascii="宋体" w:hAnsi="宋体" w:cs="宋体"/>
          <w:color w:val="000000"/>
          <w:sz w:val="24"/>
          <w:szCs w:val="24"/>
        </w:rPr>
        <w:t>⑴</w:t>
      </w:r>
      <w:r>
        <w:rPr>
          <w:rFonts w:ascii="Times New Roman" w:hAnsi="Times New Roman" w:eastAsiaTheme="minorEastAsia"/>
          <w:color w:val="000000"/>
          <w:sz w:val="24"/>
          <w:szCs w:val="24"/>
        </w:rPr>
        <w:t xml:space="preserve"> 杂填土（Q4ml）：杂色，湿~饱和，松散~稍密状，由黏性土、碎石土组成，含建筑垃圾，主要分布于大堤后方廊道区，层厚1.60~2.10m，平均层厚1.85m。</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hint="eastAsia" w:ascii="宋体" w:hAnsi="宋体" w:cs="宋体"/>
          <w:color w:val="000000"/>
          <w:sz w:val="24"/>
          <w:szCs w:val="24"/>
        </w:rPr>
        <w:t>⑴</w:t>
      </w:r>
      <w:r>
        <w:rPr>
          <w:rFonts w:ascii="Times New Roman" w:hAnsi="Times New Roman" w:eastAsiaTheme="minorEastAsia"/>
          <w:color w:val="000000"/>
          <w:sz w:val="24"/>
          <w:szCs w:val="24"/>
        </w:rPr>
        <w:t xml:space="preserve"> 1素填土（Q4ml）：褐黄色，湿~饱和，密实状，主要分布于长江大堤，层厚较大，本次钻孔未揭示。</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hint="eastAsia" w:ascii="宋体" w:hAnsi="宋体" w:cs="宋体"/>
          <w:color w:val="000000"/>
          <w:sz w:val="24"/>
          <w:szCs w:val="24"/>
        </w:rPr>
        <w:t>⑵</w:t>
      </w:r>
      <w:r>
        <w:rPr>
          <w:rFonts w:ascii="Times New Roman" w:hAnsi="Times New Roman" w:eastAsiaTheme="minorEastAsia"/>
          <w:color w:val="000000"/>
          <w:sz w:val="24"/>
          <w:szCs w:val="24"/>
        </w:rPr>
        <w:t xml:space="preserve"> 粉质黏土（Q4al）：以褐黄色为主，饱和，软塑~可塑，表层含植物根系，切面稍有光泽，干强度中等~较高，韧性中等~较好，具中等偏高压缩性，局部混砂，随深度增加，土体中的砂夹层随之增加。该层广泛分布于陆域表层，揭示厚度0.90~5.80m，平均层厚2.23m。标准贯入击数平均值N=5.1（4~7）击。</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sz w:val="24"/>
          <w:szCs w:val="24"/>
        </w:rPr>
        <w:t xml:space="preserve"> </w:t>
      </w:r>
      <w:r>
        <w:rPr>
          <w:rFonts w:ascii="Times New Roman" w:hAnsi="Times New Roman" w:eastAsiaTheme="minorEastAsia"/>
          <w:sz w:val="24"/>
          <w:szCs w:val="24"/>
        </w:rPr>
        <w:t>1淤泥质粉质黏土（Q4al）：以褐黄色为主，局部灰褐色，流塑，饱和，切面稍有光泽，混少量粉细砂，少许腐植物。该层主要呈透镜体分布于河漫滩区域，揭示层顶标高+20.33~+24.82m，埋深3.00~7.60m，平均埋深5.53m，揭示厚度1.60~3.40m，平均层厚2.60m。</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⑶</w:t>
      </w:r>
      <w:r>
        <w:rPr>
          <w:rFonts w:ascii="Times New Roman" w:hAnsi="Times New Roman"/>
        </w:rPr>
        <w:t xml:space="preserve"> </w:t>
      </w:r>
      <w:r>
        <w:rPr>
          <w:rFonts w:ascii="Times New Roman" w:hAnsi="Times New Roman" w:eastAsiaTheme="minorEastAsia"/>
          <w:sz w:val="24"/>
          <w:szCs w:val="24"/>
        </w:rPr>
        <w:t>淤泥质粉质黏土（Q4al）：灰褐色，流塑，饱和，混砂不均，切面稍有光泽，主要分布于河床浅表，呈条带状分布，揭示层厚0.30~5.10m，平均层厚2.00m。</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⑶</w:t>
      </w:r>
      <w:r>
        <w:rPr>
          <w:rFonts w:ascii="Times New Roman" w:hAnsi="Times New Roman"/>
        </w:rPr>
        <w:t xml:space="preserve"> </w:t>
      </w:r>
      <w:r>
        <w:rPr>
          <w:rFonts w:ascii="Times New Roman" w:hAnsi="Times New Roman" w:eastAsiaTheme="minorEastAsia"/>
          <w:sz w:val="24"/>
          <w:szCs w:val="24"/>
        </w:rPr>
        <w:t>1粉砂（Q4al）：灰褐色，饱和，松散，分选好，砂质较纯，仅水域GZK03钻孔表层有揭示，揭示层厚2.30m。标准贯入击数N=8击。</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⑷</w:t>
      </w:r>
      <w:r>
        <w:rPr>
          <w:rFonts w:ascii="Times New Roman" w:hAnsi="Times New Roman"/>
        </w:rPr>
        <w:t xml:space="preserve"> </w:t>
      </w:r>
      <w:r>
        <w:rPr>
          <w:rFonts w:ascii="Times New Roman" w:hAnsi="Times New Roman" w:eastAsiaTheme="minorEastAsia"/>
          <w:sz w:val="24"/>
          <w:szCs w:val="24"/>
        </w:rPr>
        <w:t>粉质黏土夹粉砂（Q4al）：褐灰色，饱和，以流塑为主，局部软塑，夹较多薄层状粉细砂，夹层厚0.5~10cm不等，切面较粗糙，干强度较低、韧性较差。该层主要分布于廊道周围，呈条带状分布，揭示层顶标高+8.01~+19.19m，埋深8.80~20.10m，平均埋深13.48m，揭示厚度1.10~6.65m，平均层厚3.38m。标准贯入击数平均值N=4.5（3~6）击。</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⑷</w:t>
      </w:r>
      <w:r>
        <w:rPr>
          <w:rFonts w:ascii="Times New Roman" w:hAnsi="Times New Roman"/>
        </w:rPr>
        <w:t xml:space="preserve"> </w:t>
      </w:r>
      <w:r>
        <w:rPr>
          <w:rFonts w:ascii="Times New Roman" w:hAnsi="Times New Roman" w:eastAsiaTheme="minorEastAsia"/>
          <w:sz w:val="24"/>
          <w:szCs w:val="24"/>
        </w:rPr>
        <w:t>1淤泥质粉质黏土（Q4al）：褐灰色，饱和，以流塑，混砂不均，切面较粗糙，夹薄层状粉细砂。该层主要呈透镜体状分布于大堤后方廊道区域，揭示层顶标高+11.52~+17.52m，埋深10.60~16.60m，平均埋深13.70m，揭示厚度1.40~4.40m，平均层厚2.38m。</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⑷</w:t>
      </w:r>
      <w:r>
        <w:rPr>
          <w:rFonts w:ascii="Times New Roman" w:hAnsi="Times New Roman"/>
        </w:rPr>
        <w:t xml:space="preserve"> </w:t>
      </w:r>
      <w:r>
        <w:rPr>
          <w:rFonts w:ascii="Times New Roman" w:hAnsi="Times New Roman" w:eastAsiaTheme="minorEastAsia"/>
          <w:sz w:val="24"/>
          <w:szCs w:val="24"/>
        </w:rPr>
        <w:t>2粉砂（Q4al）：褐灰色，饱和，松散，土质不均，夹较多薄层状粉质黏土，呈透镜体状或条带状分布于整个陆域。揭示层顶标高+10.83~+13.61m，埋深14.50~17.10m，平均埋深15.55m，揭示厚度1.60~5.60m，平均层厚3.05m。标准贯入击数平均值N=6.6（5~9）击。</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⑸</w:t>
      </w:r>
      <w:r>
        <w:rPr>
          <w:rFonts w:ascii="Times New Roman" w:hAnsi="Times New Roman"/>
        </w:rPr>
        <w:t xml:space="preserve"> </w:t>
      </w:r>
      <w:r>
        <w:rPr>
          <w:rFonts w:ascii="Times New Roman" w:hAnsi="Times New Roman" w:eastAsiaTheme="minorEastAsia"/>
          <w:sz w:val="24"/>
          <w:szCs w:val="24"/>
        </w:rPr>
        <w:t>砾砂（Q4al+pl）：褐灰色，饱和，松散，颗粒级配良，磨圆度较差，含少量卵石，混约20%黏性土，呈透镜体状分布于陆域覆盖层底部。揭示层顶标高+6.83~+10.95m，埋深17.10~21.10m，平均埋深18.83m，揭示厚度0.50~2.30m，平均层厚1.53m。其重型动力触探试验击数平均值N63.5=4.0（3.7~4.3）击。</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⑹</w:t>
      </w:r>
      <w:r>
        <w:rPr>
          <w:rFonts w:ascii="Times New Roman" w:hAnsi="Times New Roman"/>
        </w:rPr>
        <w:t xml:space="preserve"> </w:t>
      </w:r>
      <w:r>
        <w:rPr>
          <w:rFonts w:ascii="Times New Roman" w:hAnsi="Times New Roman" w:eastAsiaTheme="minorEastAsia"/>
          <w:sz w:val="24"/>
          <w:szCs w:val="24"/>
        </w:rPr>
        <w:t>强风化板岩（碎屑状）（Pt）：青灰色~灰绿色，局部灰黄色，结构构造基本破坏，岩芯呈土柱状，少量碎块状，手可掰断，锤击易碎，采芯率约90%以上。该层主要分布于水域河床浅表，呈连续分布，陆域呈薄透镜体状零散分布，埋深较大，揭示层顶标高+2.08~7.65m，埋深0.30~22.90m，平均埋深6.00m，揭示厚度0.60~6.80m，平均层厚3.37m。标准贯入击数平均值N=177（107~250）击。</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⑹</w:t>
      </w:r>
      <w:r>
        <w:rPr>
          <w:rFonts w:ascii="Times New Roman" w:hAnsi="Times New Roman"/>
        </w:rPr>
        <w:t xml:space="preserve"> </w:t>
      </w:r>
      <w:r>
        <w:rPr>
          <w:rFonts w:ascii="Times New Roman" w:hAnsi="Times New Roman" w:eastAsiaTheme="minorEastAsia"/>
          <w:sz w:val="24"/>
          <w:szCs w:val="24"/>
        </w:rPr>
        <w:t>1强风化板岩（碎块状）（Pt）：青灰色~灰黄色，变余结构，板状构造，陡倾角破裂面发育，倾角约60~70°，取芯呈碎块状，块径一般2~8cm，采芯率约70~90%。该层广泛分布于勘区，呈连续分布，揭示层顶标高-7.25~+10.20m，埋深2.20~23.50m，平均埋深16.33m，揭示厚度4.00~17.40m，平均层厚7.88m。其重型动力触探试验击数平均值N63.5=122（23~250）击。</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⑺</w:t>
      </w:r>
      <w:r>
        <w:rPr>
          <w:rFonts w:ascii="Times New Roman" w:hAnsi="Times New Roman"/>
        </w:rPr>
        <w:t xml:space="preserve"> </w:t>
      </w:r>
      <w:r>
        <w:rPr>
          <w:rFonts w:ascii="Times New Roman" w:hAnsi="Times New Roman" w:eastAsiaTheme="minorEastAsia"/>
          <w:sz w:val="24"/>
          <w:szCs w:val="24"/>
        </w:rPr>
        <w:t>中风化板岩（Pt）：青灰色，变余结构，板状构造，陡倾角破裂面发育，倾角约60~70°，局部夹有薄层砂质板岩，岩芯呈碎块状及短柱状，岩质坚硬，锤击声清脆，采芯率约80-90%，RQD约20%。该层广泛分布于勘区，呈连续分布，本次钻探未钻穿该层。揭示层顶标高-29.27~+5.60m，埋深10.50~57.20m，平均埋深27.37m，揭示厚度4.70~17.70m，平均层厚10.92m。其饱和单轴抗压强度平均值为13.5（3.32~20.4）MPa，其干燥单轴抗压强度平均值为21.4（16.8~26.1）MPa，软化系数为0.63，为软化岩石。按岩石坚硬程度分类属软岩。</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⑺</w:t>
      </w:r>
      <w:r>
        <w:rPr>
          <w:rFonts w:ascii="Times New Roman" w:hAnsi="Times New Roman"/>
        </w:rPr>
        <w:t xml:space="preserve"> </w:t>
      </w:r>
      <w:r>
        <w:rPr>
          <w:rFonts w:ascii="Times New Roman" w:hAnsi="Times New Roman" w:eastAsiaTheme="minorEastAsia"/>
          <w:sz w:val="24"/>
          <w:szCs w:val="24"/>
        </w:rPr>
        <w:t>1中风化砂质板岩（Pt）：青灰色，变余结构，板状构造，陡倾角破裂面发育，倾角约60~70°，岩芯呈短柱状、碎块状，少量柱状，岩质坚硬，锤击声清脆，采芯率约90%左右，RQD约30~45%。该层在基岩中呈薄夹层状分布，本次钻探仅少量钻孔有揭示。揭示层顶标高-28.45~+2.32m，埋深25.50~49.80m，平均埋深38.00m，揭示厚度3.80~7.40m，平均层厚5.40m。其饱和单轴抗压强度平均值为63.1（54.3~73.8）MPa，按岩石坚硬程度分类属硬质岩。</w:t>
      </w:r>
    </w:p>
    <w:p>
      <w:pPr>
        <w:adjustRightInd w:val="0"/>
        <w:snapToGrid w:val="0"/>
        <w:spacing w:line="360" w:lineRule="auto"/>
        <w:ind w:firstLine="482" w:firstLineChars="200"/>
        <w:rPr>
          <w:rFonts w:ascii="Times New Roman" w:hAnsi="Times New Roman"/>
          <w:b/>
          <w:sz w:val="24"/>
          <w:szCs w:val="24"/>
        </w:rPr>
      </w:pPr>
      <w:r>
        <w:rPr>
          <w:rFonts w:ascii="Times New Roman" w:hAnsi="Times New Roman" w:eastAsiaTheme="minorEastAsia"/>
          <w:b/>
          <w:sz w:val="24"/>
          <w:szCs w:val="24"/>
        </w:rPr>
        <w:t>2、</w:t>
      </w:r>
      <w:r>
        <w:rPr>
          <w:rFonts w:ascii="Times New Roman" w:hAnsi="Times New Roman"/>
          <w:b/>
          <w:sz w:val="24"/>
          <w:szCs w:val="24"/>
        </w:rPr>
        <w:t>特殊性岩土</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勘区特殊性岩土主要为软土、人工填土和风化岩，其分布及特征分述如下：</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rPr>
        <w:t xml:space="preserve"> </w:t>
      </w:r>
      <w:r>
        <w:rPr>
          <w:rFonts w:ascii="Times New Roman" w:hAnsi="Times New Roman" w:eastAsiaTheme="minorEastAsia"/>
          <w:sz w:val="24"/>
          <w:szCs w:val="24"/>
        </w:rPr>
        <w:t>软土：软土层具有含水量高、孔隙比大、压缩性高、渗透性差、抗剪强度低，灵敏度高等特征，工程性质差。对于浅基础而言，如不经处理，易产生不均匀沉降及蠕变等工程地质病害，易使建筑物产生不均匀沉降。</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rPr>
        <w:t xml:space="preserve"> </w:t>
      </w:r>
      <w:r>
        <w:rPr>
          <w:rFonts w:ascii="Times New Roman" w:hAnsi="Times New Roman" w:eastAsiaTheme="minorEastAsia"/>
          <w:sz w:val="24"/>
          <w:szCs w:val="24"/>
        </w:rPr>
        <w:t>人工填土：大堤后方廊道区普遍存在杂填土，主要由黏性土、碎石土组成，含建筑垃圾，层厚较小，此层不宜直接作为浅基础持力层。码头引桥段有密实素填土构筑的长江大堤，对采用桩基础的引桥而言，压缩变形仍较大，此层不宜作为桩基础持力层。</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⑶</w:t>
      </w:r>
      <w:r>
        <w:rPr>
          <w:rFonts w:ascii="Times New Roman" w:hAnsi="Times New Roman"/>
        </w:rPr>
        <w:t xml:space="preserve"> </w:t>
      </w:r>
      <w:r>
        <w:rPr>
          <w:rFonts w:ascii="Times New Roman" w:hAnsi="Times New Roman" w:eastAsiaTheme="minorEastAsia"/>
          <w:sz w:val="24"/>
          <w:szCs w:val="24"/>
        </w:rPr>
        <w:t>风化岩：勘区风化岩主要有强风化板岩及中风化板岩，属于特殊性岩土，强风化板岩具有遇水易软化、崩解，使强度降低的特征，中风化板岩为软化岩石，遇水后强度降低较大，因此在直接利用风化岩地层作为地基持力层时，应充分考虑该岩土特性，在临水环境下的施工作业过程中，应尽量减少其直接泡水的时间，以确保其强度和稳定性。</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3、不良地质作用</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场地内及其附近现无人为地下工程活动及开采地下水的活动，不会产生地面塌陷、地裂缝等地质灾害，不存在岩溶、危岩和崩塌、泥石流等。不良地质作用主要为引桥段岸坡潜在不稳定性，目前该段边坡为土质岸坡，边坡目前相对稳定，组成边坡的主要地层为抗冲刷能力差、抗剪强度低的粉质黏土、淤泥质粉质黏土、粉土及粉细砂组成，易受水流冲刷及淘蚀，并在施工时产生局部垮塌。</w:t>
      </w:r>
    </w:p>
    <w:p>
      <w:pPr>
        <w:adjustRightInd w:val="0"/>
        <w:snapToGrid w:val="0"/>
        <w:spacing w:line="360" w:lineRule="auto"/>
        <w:ind w:firstLine="482" w:firstLineChars="200"/>
        <w:rPr>
          <w:rFonts w:ascii="Times New Roman" w:hAnsi="Times New Roman" w:eastAsiaTheme="minorEastAsia"/>
          <w:b/>
          <w:color w:val="000000"/>
          <w:sz w:val="24"/>
        </w:rPr>
      </w:pPr>
      <w:r>
        <w:rPr>
          <w:rFonts w:ascii="Times New Roman" w:hAnsi="Times New Roman"/>
          <w:b/>
          <w:color w:val="000000"/>
          <w:sz w:val="24"/>
        </w:rPr>
        <w:t>4、</w:t>
      </w:r>
      <w:r>
        <w:rPr>
          <w:rFonts w:ascii="Times New Roman" w:hAnsi="Times New Roman" w:eastAsiaTheme="minorEastAsia"/>
          <w:b/>
          <w:color w:val="000000"/>
          <w:sz w:val="24"/>
        </w:rPr>
        <w:t>地震</w:t>
      </w:r>
    </w:p>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根据国家标准《中国地震动参数区划图》（GB18306-2015），勘区地震动反应谱特征周期为0.35</w:t>
      </w:r>
      <w:r>
        <w:rPr>
          <w:rFonts w:hint="eastAsia" w:ascii="Times New Roman" w:hAnsi="Times New Roman" w:eastAsiaTheme="minorEastAsia"/>
          <w:color w:val="000000"/>
          <w:sz w:val="24"/>
          <w:lang w:val="en-US" w:eastAsia="zh-CN"/>
        </w:rPr>
        <w:t>s</w:t>
      </w:r>
      <w:r>
        <w:rPr>
          <w:rFonts w:ascii="Times New Roman" w:hAnsi="Times New Roman" w:eastAsiaTheme="minorEastAsia"/>
          <w:color w:val="000000"/>
          <w:sz w:val="24"/>
        </w:rPr>
        <w:t>，地震加速度峰值为0.1g，根据该标准附录G“场地地震动峰值加速度与地震烈度对照表”，工程区域地震基本烈度为</w:t>
      </w:r>
      <w:r>
        <w:rPr>
          <w:rFonts w:hint="eastAsia" w:ascii="宋体" w:hAnsi="宋体" w:cs="宋体"/>
          <w:color w:val="000000"/>
          <w:sz w:val="24"/>
        </w:rPr>
        <w:t>Ⅶ</w:t>
      </w:r>
      <w:r>
        <w:rPr>
          <w:rFonts w:ascii="Times New Roman" w:hAnsi="Times New Roman" w:eastAsiaTheme="minorEastAsia"/>
          <w:color w:val="000000"/>
          <w:sz w:val="24"/>
        </w:rPr>
        <w:t>度。</w:t>
      </w:r>
    </w:p>
    <w:p>
      <w:pPr>
        <w:pStyle w:val="4"/>
        <w:rPr>
          <w:rFonts w:eastAsiaTheme="minorEastAsia"/>
        </w:rPr>
      </w:pPr>
      <w:r>
        <w:rPr>
          <w:rFonts w:eastAsiaTheme="minorEastAsia"/>
        </w:rPr>
        <w:t>地表水文动力环境与冲淤环境</w:t>
      </w:r>
    </w:p>
    <w:p>
      <w:pPr>
        <w:adjustRightInd w:val="0"/>
        <w:snapToGrid w:val="0"/>
        <w:spacing w:line="360" w:lineRule="auto"/>
        <w:ind w:firstLine="482" w:firstLineChars="200"/>
        <w:rPr>
          <w:rFonts w:ascii="Times New Roman" w:hAnsi="Times New Roman" w:eastAsiaTheme="minorEastAsia"/>
          <w:b/>
          <w:color w:val="000000"/>
          <w:sz w:val="24"/>
        </w:rPr>
      </w:pPr>
      <w:r>
        <w:rPr>
          <w:rFonts w:ascii="Times New Roman" w:hAnsi="Times New Roman" w:eastAsiaTheme="minorEastAsia"/>
          <w:b/>
          <w:color w:val="000000"/>
          <w:sz w:val="24"/>
        </w:rPr>
        <w:t>1、水位（基准面采用85国家高程，下同）</w:t>
      </w:r>
    </w:p>
    <w:p>
      <w:pPr>
        <w:adjustRightInd w:val="0"/>
        <w:snapToGrid w:val="0"/>
        <w:spacing w:line="360" w:lineRule="auto"/>
        <w:ind w:firstLine="480" w:firstLineChars="200"/>
        <w:rPr>
          <w:rFonts w:ascii="Times New Roman" w:hAnsi="Times New Roman" w:eastAsiaTheme="minorEastAsia"/>
          <w:color w:val="000000"/>
          <w:sz w:val="24"/>
        </w:rPr>
      </w:pPr>
      <w:r>
        <w:rPr>
          <w:rFonts w:hint="eastAsia" w:ascii="宋体" w:hAnsi="宋体" w:cs="宋体"/>
          <w:color w:val="000000"/>
          <w:sz w:val="24"/>
        </w:rPr>
        <w:t>⑴</w:t>
      </w:r>
      <w:r>
        <w:rPr>
          <w:rFonts w:ascii="Times New Roman" w:hAnsi="Times New Roman" w:eastAsiaTheme="minorEastAsia"/>
          <w:color w:val="000000"/>
          <w:sz w:val="24"/>
        </w:rPr>
        <w:t xml:space="preserve"> 水位特征值</w:t>
      </w:r>
    </w:p>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拟建</w:t>
      </w:r>
      <w:r>
        <w:rPr>
          <w:rFonts w:hint="eastAsia" w:ascii="Times New Roman" w:hAnsi="Times New Roman" w:eastAsiaTheme="minorEastAsia"/>
          <w:color w:val="000000"/>
          <w:sz w:val="24"/>
        </w:rPr>
        <w:t>项目</w:t>
      </w:r>
      <w:r>
        <w:rPr>
          <w:rFonts w:ascii="Times New Roman" w:hAnsi="Times New Roman" w:eastAsiaTheme="minorEastAsia"/>
          <w:color w:val="000000"/>
          <w:sz w:val="24"/>
        </w:rPr>
        <w:t>位于洞庭湖出口右岸的擂鼓台下游约600m，上游约2.5km的洞庭湖口设置有莲花塘水位站；湖口往湘江约3.5km设置有七里山水文站，七里山站设立于1904年1月，控制洞庭湖出湖水沙量。距江湖汇流口约86km上游下荆江有监利水文站，为下荆江出口控制站，反映了洞庭湖入汇前长江干流的水沙特性；下游螺山水文站距汇流口35km，是洞庭湖出流与荆江来水汇合后的控制站，反映了洞庭湖入汇后长江干流的水沙特性。</w:t>
      </w:r>
    </w:p>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统计七里山站多年水位数据，多年平均水位22.91m，历年最高水位34.09m（1998.8.20），历年最低水位15.42m（1960.2.16）。其多年月平均水位及最高、最低水位见表4.1-1。</w:t>
      </w:r>
    </w:p>
    <w:p>
      <w:pPr>
        <w:adjustRightInd w:val="0"/>
        <w:snapToGrid w:val="0"/>
        <w:spacing w:line="276" w:lineRule="auto"/>
        <w:jc w:val="center"/>
        <w:rPr>
          <w:rFonts w:ascii="Times New Roman" w:hAnsi="Times New Roman"/>
          <w:b/>
          <w:sz w:val="24"/>
        </w:rPr>
      </w:pPr>
      <w:r>
        <w:rPr>
          <w:rFonts w:ascii="Times New Roman" w:hAnsi="Times New Roman"/>
          <w:b/>
          <w:sz w:val="24"/>
        </w:rPr>
        <w:t>表4.1-1  七里山站多年月平均水位及最高、最低水位统计表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560"/>
        <w:gridCol w:w="709"/>
        <w:gridCol w:w="710"/>
        <w:gridCol w:w="710"/>
        <w:gridCol w:w="710"/>
        <w:gridCol w:w="710"/>
        <w:gridCol w:w="710"/>
        <w:gridCol w:w="710"/>
        <w:gridCol w:w="710"/>
        <w:gridCol w:w="710"/>
        <w:gridCol w:w="719"/>
        <w:gridCol w:w="719"/>
        <w:gridCol w:w="7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08" w:type="pct"/>
            <w:tcBorders>
              <w:top w:val="single" w:color="auto" w:sz="12" w:space="0"/>
              <w:bottom w:val="single" w:color="auto" w:sz="4" w:space="0"/>
              <w:right w:val="single" w:color="auto" w:sz="4" w:space="0"/>
            </w:tcBorders>
            <w:vAlign w:val="center"/>
          </w:tcPr>
          <w:p>
            <w:pPr>
              <w:adjustRightInd w:val="0"/>
              <w:snapToGrid w:val="0"/>
              <w:jc w:val="center"/>
              <w:rPr>
                <w:rFonts w:ascii="Times New Roman" w:hAnsi="Times New Roman"/>
                <w:b/>
              </w:rPr>
            </w:pPr>
            <w:r>
              <w:rPr>
                <w:rFonts w:ascii="Times New Roman" w:hAnsi="Times New Roman"/>
                <w:b/>
              </w:rPr>
              <w:t>项目</w:t>
            </w:r>
          </w:p>
        </w:tc>
        <w:tc>
          <w:tcPr>
            <w:tcW w:w="390" w:type="pct"/>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rPr>
            </w:pPr>
            <w:r>
              <w:rPr>
                <w:rFonts w:ascii="Times New Roman" w:hAnsi="Times New Roman"/>
                <w:b/>
              </w:rPr>
              <w:t>1月</w:t>
            </w:r>
          </w:p>
        </w:tc>
        <w:tc>
          <w:tcPr>
            <w:tcW w:w="390" w:type="pct"/>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rPr>
            </w:pPr>
            <w:r>
              <w:rPr>
                <w:rFonts w:ascii="Times New Roman" w:hAnsi="Times New Roman"/>
                <w:b/>
              </w:rPr>
              <w:t>2月</w:t>
            </w:r>
          </w:p>
        </w:tc>
        <w:tc>
          <w:tcPr>
            <w:tcW w:w="390" w:type="pct"/>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rPr>
            </w:pPr>
            <w:r>
              <w:rPr>
                <w:rFonts w:ascii="Times New Roman" w:hAnsi="Times New Roman"/>
                <w:b/>
              </w:rPr>
              <w:t>3月</w:t>
            </w:r>
          </w:p>
        </w:tc>
        <w:tc>
          <w:tcPr>
            <w:tcW w:w="390" w:type="pct"/>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rPr>
            </w:pPr>
            <w:r>
              <w:rPr>
                <w:rFonts w:ascii="Times New Roman" w:hAnsi="Times New Roman"/>
                <w:b/>
              </w:rPr>
              <w:t>4月</w:t>
            </w:r>
          </w:p>
        </w:tc>
        <w:tc>
          <w:tcPr>
            <w:tcW w:w="390" w:type="pct"/>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rPr>
            </w:pPr>
            <w:r>
              <w:rPr>
                <w:rFonts w:ascii="Times New Roman" w:hAnsi="Times New Roman"/>
                <w:b/>
              </w:rPr>
              <w:t>5月</w:t>
            </w:r>
          </w:p>
        </w:tc>
        <w:tc>
          <w:tcPr>
            <w:tcW w:w="390" w:type="pct"/>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rPr>
            </w:pPr>
            <w:r>
              <w:rPr>
                <w:rFonts w:ascii="Times New Roman" w:hAnsi="Times New Roman"/>
                <w:b/>
              </w:rPr>
              <w:t>6月</w:t>
            </w:r>
          </w:p>
        </w:tc>
        <w:tc>
          <w:tcPr>
            <w:tcW w:w="390" w:type="pct"/>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rPr>
            </w:pPr>
            <w:r>
              <w:rPr>
                <w:rFonts w:ascii="Times New Roman" w:hAnsi="Times New Roman"/>
                <w:b/>
              </w:rPr>
              <w:t>7月</w:t>
            </w:r>
          </w:p>
        </w:tc>
        <w:tc>
          <w:tcPr>
            <w:tcW w:w="390" w:type="pct"/>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rPr>
            </w:pPr>
            <w:r>
              <w:rPr>
                <w:rFonts w:ascii="Times New Roman" w:hAnsi="Times New Roman"/>
                <w:b/>
              </w:rPr>
              <w:t>8月</w:t>
            </w:r>
          </w:p>
        </w:tc>
        <w:tc>
          <w:tcPr>
            <w:tcW w:w="390" w:type="pct"/>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rPr>
            </w:pPr>
            <w:r>
              <w:rPr>
                <w:rFonts w:ascii="Times New Roman" w:hAnsi="Times New Roman"/>
                <w:b/>
              </w:rPr>
              <w:t>9月</w:t>
            </w:r>
          </w:p>
        </w:tc>
        <w:tc>
          <w:tcPr>
            <w:tcW w:w="395" w:type="pct"/>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rPr>
            </w:pPr>
            <w:r>
              <w:rPr>
                <w:rFonts w:ascii="Times New Roman" w:hAnsi="Times New Roman"/>
                <w:b/>
              </w:rPr>
              <w:t>10月</w:t>
            </w:r>
          </w:p>
        </w:tc>
        <w:tc>
          <w:tcPr>
            <w:tcW w:w="395" w:type="pct"/>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rPr>
            </w:pPr>
            <w:r>
              <w:rPr>
                <w:rFonts w:ascii="Times New Roman" w:hAnsi="Times New Roman"/>
                <w:b/>
              </w:rPr>
              <w:t>11月</w:t>
            </w:r>
          </w:p>
        </w:tc>
        <w:tc>
          <w:tcPr>
            <w:tcW w:w="391" w:type="pct"/>
            <w:tcBorders>
              <w:top w:val="single" w:color="auto" w:sz="12" w:space="0"/>
              <w:left w:val="single" w:color="auto" w:sz="4" w:space="0"/>
              <w:bottom w:val="single" w:color="auto" w:sz="4" w:space="0"/>
            </w:tcBorders>
            <w:vAlign w:val="center"/>
          </w:tcPr>
          <w:p>
            <w:pPr>
              <w:adjustRightInd w:val="0"/>
              <w:snapToGrid w:val="0"/>
              <w:jc w:val="center"/>
              <w:rPr>
                <w:rFonts w:ascii="Times New Roman" w:hAnsi="Times New Roman"/>
                <w:b/>
              </w:rPr>
            </w:pPr>
            <w:r>
              <w:rPr>
                <w:rFonts w:ascii="Times New Roman" w:hAnsi="Times New Roman"/>
                <w:b/>
              </w:rPr>
              <w:t>12月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08" w:type="pct"/>
            <w:tcBorders>
              <w:top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最高水位</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22.99</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22.79</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25.59</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26.49</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29.49</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31.79</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33.79</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33.99</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33.29</w:t>
            </w:r>
          </w:p>
        </w:tc>
        <w:tc>
          <w:tcPr>
            <w:tcW w:w="39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29.89</w:t>
            </w:r>
          </w:p>
        </w:tc>
        <w:tc>
          <w:tcPr>
            <w:tcW w:w="39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28.69</w:t>
            </w:r>
          </w:p>
        </w:tc>
        <w:tc>
          <w:tcPr>
            <w:tcW w:w="391" w:type="pct"/>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rPr>
            </w:pPr>
            <w:r>
              <w:rPr>
                <w:rFonts w:ascii="Times New Roman" w:hAnsi="Times New Roman"/>
              </w:rPr>
              <w:t>25.39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08" w:type="pct"/>
            <w:tcBorders>
              <w:top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最低水位</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15.09</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15.29</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15.69</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16.49</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17.49</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19.69</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21.49</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20.09</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19.89</w:t>
            </w:r>
          </w:p>
        </w:tc>
        <w:tc>
          <w:tcPr>
            <w:tcW w:w="39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18.69</w:t>
            </w:r>
          </w:p>
        </w:tc>
        <w:tc>
          <w:tcPr>
            <w:tcW w:w="39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16.79</w:t>
            </w:r>
          </w:p>
        </w:tc>
        <w:tc>
          <w:tcPr>
            <w:tcW w:w="391" w:type="pct"/>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rPr>
            </w:pPr>
            <w:r>
              <w:rPr>
                <w:rFonts w:ascii="Times New Roman" w:hAnsi="Times New Roman"/>
              </w:rPr>
              <w:t>15.79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08" w:type="pct"/>
            <w:tcBorders>
              <w:top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平均水位</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19.69</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19.69</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20.79</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23.09</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25.69</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27.39</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29.99</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28.99</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28.29</w:t>
            </w:r>
          </w:p>
        </w:tc>
        <w:tc>
          <w:tcPr>
            <w:tcW w:w="39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26.39</w:t>
            </w:r>
          </w:p>
        </w:tc>
        <w:tc>
          <w:tcPr>
            <w:tcW w:w="39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rPr>
            </w:pPr>
            <w:r>
              <w:rPr>
                <w:rFonts w:ascii="Times New Roman" w:hAnsi="Times New Roman"/>
              </w:rPr>
              <w:t>23.59</w:t>
            </w:r>
          </w:p>
        </w:tc>
        <w:tc>
          <w:tcPr>
            <w:tcW w:w="391" w:type="pct"/>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rPr>
            </w:pPr>
            <w:r>
              <w:rPr>
                <w:rFonts w:ascii="Times New Roman" w:hAnsi="Times New Roman"/>
              </w:rPr>
              <w:t>20.89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5000" w:type="pct"/>
            <w:gridSpan w:val="13"/>
            <w:tcBorders>
              <w:top w:val="single" w:color="auto" w:sz="4" w:space="0"/>
              <w:bottom w:val="single" w:color="auto" w:sz="12" w:space="0"/>
            </w:tcBorders>
            <w:vAlign w:val="center"/>
          </w:tcPr>
          <w:p>
            <w:pPr>
              <w:adjustRightInd w:val="0"/>
              <w:snapToGrid w:val="0"/>
              <w:rPr>
                <w:rFonts w:ascii="Times New Roman" w:hAnsi="Times New Roman"/>
              </w:rPr>
            </w:pPr>
            <w:r>
              <w:rPr>
                <w:rFonts w:ascii="Times New Roman" w:hAnsi="Times New Roman"/>
              </w:rPr>
              <w:t>注：最高、最低水位统计年份：1904.1~1938.8及1946.1~2006.12；多年平均水位统计年份：1952~2006年</w:t>
            </w:r>
          </w:p>
        </w:tc>
      </w:tr>
    </w:tbl>
    <w:p>
      <w:pPr>
        <w:adjustRightInd w:val="0"/>
        <w:snapToGrid w:val="0"/>
        <w:spacing w:line="360" w:lineRule="auto"/>
        <w:ind w:firstLine="480" w:firstLineChars="200"/>
        <w:rPr>
          <w:rFonts w:ascii="Times New Roman" w:hAnsi="Times New Roman" w:eastAsiaTheme="minorEastAsia"/>
          <w:color w:val="000000"/>
          <w:sz w:val="24"/>
        </w:rPr>
      </w:pPr>
    </w:p>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三峡工程于2003年6月蓄水，蓄水后坝下河床处于不断的冲淤变化过程中，洞庭湖出口段河床冲淤变化受两种因素影响，一方面下荆江在水库下泄低含沙量来水后，入洞庭湖沙量减少，将使洞庭湖出口洪道段淤积有所减缓；另一方面流量增加。受两种因素相互作用的影响，该河段在相当长的时间内将可能呈现冲淤交替的态势，水位趋于稳定。</w:t>
      </w:r>
    </w:p>
    <w:p>
      <w:pPr>
        <w:adjustRightInd w:val="0"/>
        <w:snapToGrid w:val="0"/>
        <w:spacing w:line="360" w:lineRule="auto"/>
        <w:ind w:firstLine="480" w:firstLineChars="200"/>
        <w:rPr>
          <w:rFonts w:ascii="Times New Roman" w:hAnsi="Times New Roman" w:eastAsiaTheme="minorEastAsia"/>
          <w:color w:val="000000"/>
          <w:sz w:val="24"/>
        </w:rPr>
      </w:pPr>
      <w:r>
        <w:rPr>
          <w:rFonts w:hint="eastAsia" w:ascii="宋体" w:hAnsi="宋体" w:cs="宋体"/>
          <w:color w:val="000000"/>
          <w:sz w:val="24"/>
        </w:rPr>
        <w:t>⑵</w:t>
      </w:r>
      <w:r>
        <w:rPr>
          <w:rFonts w:ascii="Times New Roman" w:hAnsi="Times New Roman" w:eastAsiaTheme="minorEastAsia"/>
          <w:color w:val="000000"/>
          <w:sz w:val="24"/>
        </w:rPr>
        <w:t xml:space="preserve"> 设计水位</w:t>
      </w:r>
    </w:p>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根据《河港工程总体设计规范》（JTJ212-2006），本码头设计高水位可取重现期50年的水位，设计低水位可采取综合历时曲线法计算，选取保证率为98%的水位。根据莲花塘和螺山水文站多年水位资料统计分析，水位分析结果见表4.1-2、4.1-3、4.1-4。</w:t>
      </w:r>
    </w:p>
    <w:p>
      <w:pPr>
        <w:spacing w:line="276" w:lineRule="auto"/>
        <w:jc w:val="right"/>
        <w:rPr>
          <w:rFonts w:ascii="Times New Roman" w:hAnsi="Times New Roman"/>
          <w:sz w:val="24"/>
        </w:rPr>
      </w:pPr>
      <w:r>
        <w:rPr>
          <w:rFonts w:ascii="Times New Roman" w:hAnsi="Times New Roman"/>
          <w:b/>
          <w:sz w:val="24"/>
        </w:rPr>
        <w:t>表</w:t>
      </w:r>
      <w:r>
        <w:rPr>
          <w:rFonts w:ascii="Times New Roman" w:hAnsi="Times New Roman" w:eastAsiaTheme="minorEastAsia"/>
          <w:b/>
          <w:color w:val="000000"/>
          <w:sz w:val="24"/>
        </w:rPr>
        <w:t>4.1</w:t>
      </w:r>
      <w:r>
        <w:rPr>
          <w:rFonts w:ascii="Times New Roman" w:hAnsi="Times New Roman"/>
          <w:b/>
          <w:sz w:val="24"/>
        </w:rPr>
        <w:t xml:space="preserve">-2  莲花塘洪水水位频率表 </w:t>
      </w:r>
      <w:r>
        <w:rPr>
          <w:rFonts w:ascii="Times New Roman" w:hAnsi="Times New Roman"/>
          <w:sz w:val="24"/>
        </w:rPr>
        <w:t xml:space="preserve">               单位：m</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679"/>
        <w:gridCol w:w="1605"/>
        <w:gridCol w:w="1606"/>
        <w:gridCol w:w="1606"/>
        <w:gridCol w:w="16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72" w:type="pct"/>
            <w:vAlign w:val="center"/>
          </w:tcPr>
          <w:p>
            <w:pPr>
              <w:adjustRightInd w:val="0"/>
              <w:snapToGrid w:val="0"/>
              <w:jc w:val="center"/>
              <w:rPr>
                <w:rFonts w:ascii="Times New Roman" w:hAnsi="Times New Roman"/>
                <w:b/>
              </w:rPr>
            </w:pPr>
            <w:r>
              <w:rPr>
                <w:rFonts w:ascii="Times New Roman" w:hAnsi="Times New Roman"/>
                <w:b/>
              </w:rPr>
              <w:t>频率</w:t>
            </w:r>
          </w:p>
        </w:tc>
        <w:tc>
          <w:tcPr>
            <w:tcW w:w="882" w:type="pct"/>
            <w:vAlign w:val="center"/>
          </w:tcPr>
          <w:p>
            <w:pPr>
              <w:adjustRightInd w:val="0"/>
              <w:snapToGrid w:val="0"/>
              <w:jc w:val="center"/>
              <w:rPr>
                <w:rFonts w:ascii="Times New Roman" w:hAnsi="Times New Roman"/>
                <w:b/>
              </w:rPr>
            </w:pPr>
            <w:r>
              <w:rPr>
                <w:rFonts w:ascii="Times New Roman" w:hAnsi="Times New Roman"/>
                <w:b/>
              </w:rPr>
              <w:t>1%</w:t>
            </w:r>
          </w:p>
        </w:tc>
        <w:tc>
          <w:tcPr>
            <w:tcW w:w="882" w:type="pct"/>
            <w:vAlign w:val="center"/>
          </w:tcPr>
          <w:p>
            <w:pPr>
              <w:adjustRightInd w:val="0"/>
              <w:snapToGrid w:val="0"/>
              <w:jc w:val="center"/>
              <w:rPr>
                <w:rFonts w:ascii="Times New Roman" w:hAnsi="Times New Roman"/>
                <w:b/>
              </w:rPr>
            </w:pPr>
            <w:r>
              <w:rPr>
                <w:rFonts w:ascii="Times New Roman" w:hAnsi="Times New Roman"/>
                <w:b/>
              </w:rPr>
              <w:t>2%</w:t>
            </w:r>
          </w:p>
        </w:tc>
        <w:tc>
          <w:tcPr>
            <w:tcW w:w="882" w:type="pct"/>
            <w:vAlign w:val="center"/>
          </w:tcPr>
          <w:p>
            <w:pPr>
              <w:adjustRightInd w:val="0"/>
              <w:snapToGrid w:val="0"/>
              <w:jc w:val="center"/>
              <w:rPr>
                <w:rFonts w:ascii="Times New Roman" w:hAnsi="Times New Roman"/>
                <w:b/>
              </w:rPr>
            </w:pPr>
            <w:r>
              <w:rPr>
                <w:rFonts w:ascii="Times New Roman" w:hAnsi="Times New Roman"/>
                <w:b/>
              </w:rPr>
              <w:t>5%</w:t>
            </w:r>
          </w:p>
        </w:tc>
        <w:tc>
          <w:tcPr>
            <w:tcW w:w="881" w:type="pct"/>
            <w:vAlign w:val="center"/>
          </w:tcPr>
          <w:p>
            <w:pPr>
              <w:adjustRightInd w:val="0"/>
              <w:snapToGrid w:val="0"/>
              <w:jc w:val="center"/>
              <w:rPr>
                <w:rFonts w:ascii="Times New Roman" w:hAnsi="Times New Roman"/>
                <w:b/>
              </w:rPr>
            </w:pPr>
            <w:r>
              <w:rPr>
                <w:rFonts w:ascii="Times New Roman" w:hAnsi="Times New Roman"/>
                <w:b/>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72" w:type="pct"/>
            <w:vAlign w:val="center"/>
          </w:tcPr>
          <w:p>
            <w:pPr>
              <w:adjustRightInd w:val="0"/>
              <w:snapToGrid w:val="0"/>
              <w:jc w:val="center"/>
              <w:rPr>
                <w:rFonts w:ascii="Times New Roman" w:hAnsi="Times New Roman"/>
              </w:rPr>
            </w:pPr>
            <w:r>
              <w:rPr>
                <w:rFonts w:ascii="Times New Roman" w:hAnsi="Times New Roman"/>
              </w:rPr>
              <w:t>水位（m）</w:t>
            </w:r>
          </w:p>
        </w:tc>
        <w:tc>
          <w:tcPr>
            <w:tcW w:w="882" w:type="pct"/>
            <w:vAlign w:val="center"/>
          </w:tcPr>
          <w:p>
            <w:pPr>
              <w:adjustRightInd w:val="0"/>
              <w:snapToGrid w:val="0"/>
              <w:jc w:val="center"/>
              <w:rPr>
                <w:rFonts w:ascii="Times New Roman" w:hAnsi="Times New Roman"/>
              </w:rPr>
            </w:pPr>
            <w:r>
              <w:rPr>
                <w:rFonts w:ascii="Times New Roman" w:hAnsi="Times New Roman"/>
              </w:rPr>
              <w:t>34.33</w:t>
            </w:r>
          </w:p>
        </w:tc>
        <w:tc>
          <w:tcPr>
            <w:tcW w:w="882" w:type="pct"/>
            <w:vAlign w:val="center"/>
          </w:tcPr>
          <w:p>
            <w:pPr>
              <w:adjustRightInd w:val="0"/>
              <w:snapToGrid w:val="0"/>
              <w:jc w:val="center"/>
              <w:rPr>
                <w:rFonts w:ascii="Times New Roman" w:hAnsi="Times New Roman"/>
              </w:rPr>
            </w:pPr>
            <w:r>
              <w:rPr>
                <w:rFonts w:ascii="Times New Roman" w:hAnsi="Times New Roman"/>
              </w:rPr>
              <w:t>33.91</w:t>
            </w:r>
          </w:p>
        </w:tc>
        <w:tc>
          <w:tcPr>
            <w:tcW w:w="882" w:type="pct"/>
            <w:vAlign w:val="center"/>
          </w:tcPr>
          <w:p>
            <w:pPr>
              <w:adjustRightInd w:val="0"/>
              <w:snapToGrid w:val="0"/>
              <w:jc w:val="center"/>
              <w:rPr>
                <w:rFonts w:ascii="Times New Roman" w:hAnsi="Times New Roman"/>
              </w:rPr>
            </w:pPr>
            <w:r>
              <w:rPr>
                <w:rFonts w:ascii="Times New Roman" w:hAnsi="Times New Roman"/>
              </w:rPr>
              <w:t>33.28</w:t>
            </w:r>
          </w:p>
        </w:tc>
        <w:tc>
          <w:tcPr>
            <w:tcW w:w="881" w:type="pct"/>
            <w:vAlign w:val="center"/>
          </w:tcPr>
          <w:p>
            <w:pPr>
              <w:adjustRightInd w:val="0"/>
              <w:snapToGrid w:val="0"/>
              <w:jc w:val="center"/>
              <w:rPr>
                <w:rFonts w:ascii="Times New Roman" w:hAnsi="Times New Roman"/>
              </w:rPr>
            </w:pPr>
            <w:r>
              <w:rPr>
                <w:rFonts w:ascii="Times New Roman" w:hAnsi="Times New Roman"/>
              </w:rPr>
              <w:t>32.72</w:t>
            </w:r>
          </w:p>
        </w:tc>
      </w:tr>
    </w:tbl>
    <w:p>
      <w:pPr>
        <w:adjustRightInd w:val="0"/>
        <w:snapToGrid w:val="0"/>
        <w:spacing w:line="360" w:lineRule="auto"/>
        <w:ind w:firstLine="480" w:firstLineChars="200"/>
        <w:rPr>
          <w:rFonts w:ascii="Times New Roman" w:hAnsi="Times New Roman"/>
          <w:sz w:val="24"/>
        </w:rPr>
      </w:pPr>
    </w:p>
    <w:p>
      <w:pPr>
        <w:spacing w:line="276" w:lineRule="auto"/>
        <w:jc w:val="right"/>
        <w:rPr>
          <w:rFonts w:ascii="Times New Roman" w:hAnsi="Times New Roman"/>
          <w:sz w:val="24"/>
        </w:rPr>
      </w:pPr>
      <w:r>
        <w:rPr>
          <w:rFonts w:ascii="Times New Roman" w:hAnsi="Times New Roman"/>
          <w:b/>
          <w:sz w:val="24"/>
        </w:rPr>
        <w:t xml:space="preserve">表4.1-3  莲花塘日水位综合历时保证率表         </w:t>
      </w:r>
      <w:r>
        <w:rPr>
          <w:rFonts w:ascii="Times New Roman" w:hAnsi="Times New Roman"/>
          <w:sz w:val="24"/>
        </w:rPr>
        <w:t xml:space="preserve"> 单位：m</w:t>
      </w:r>
    </w:p>
    <w:tbl>
      <w:tblPr>
        <w:tblStyle w:val="7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564"/>
        <w:gridCol w:w="837"/>
        <w:gridCol w:w="837"/>
        <w:gridCol w:w="837"/>
        <w:gridCol w:w="837"/>
        <w:gridCol w:w="837"/>
        <w:gridCol w:w="837"/>
        <w:gridCol w:w="838"/>
        <w:gridCol w:w="838"/>
        <w:gridCol w:w="8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59" w:type="pct"/>
            <w:vAlign w:val="center"/>
          </w:tcPr>
          <w:p>
            <w:pPr>
              <w:adjustRightInd w:val="0"/>
              <w:snapToGrid w:val="0"/>
              <w:jc w:val="center"/>
              <w:rPr>
                <w:rFonts w:ascii="Times New Roman" w:hAnsi="Times New Roman"/>
                <w:b/>
              </w:rPr>
            </w:pPr>
            <w:r>
              <w:rPr>
                <w:rFonts w:ascii="Times New Roman" w:hAnsi="Times New Roman"/>
                <w:b/>
              </w:rPr>
              <w:t>保证率</w:t>
            </w:r>
          </w:p>
        </w:tc>
        <w:tc>
          <w:tcPr>
            <w:tcW w:w="460" w:type="pct"/>
            <w:vAlign w:val="center"/>
          </w:tcPr>
          <w:p>
            <w:pPr>
              <w:adjustRightInd w:val="0"/>
              <w:snapToGrid w:val="0"/>
              <w:jc w:val="center"/>
              <w:rPr>
                <w:rFonts w:ascii="Times New Roman" w:hAnsi="Times New Roman"/>
                <w:b/>
              </w:rPr>
            </w:pPr>
            <w:r>
              <w:rPr>
                <w:rFonts w:ascii="Times New Roman" w:hAnsi="Times New Roman"/>
                <w:b/>
              </w:rPr>
              <w:t>50%</w:t>
            </w:r>
          </w:p>
        </w:tc>
        <w:tc>
          <w:tcPr>
            <w:tcW w:w="460" w:type="pct"/>
            <w:vAlign w:val="center"/>
          </w:tcPr>
          <w:p>
            <w:pPr>
              <w:adjustRightInd w:val="0"/>
              <w:snapToGrid w:val="0"/>
              <w:jc w:val="center"/>
              <w:rPr>
                <w:rFonts w:ascii="Times New Roman" w:hAnsi="Times New Roman"/>
                <w:b/>
              </w:rPr>
            </w:pPr>
            <w:r>
              <w:rPr>
                <w:rFonts w:ascii="Times New Roman" w:hAnsi="Times New Roman"/>
                <w:b/>
              </w:rPr>
              <w:t>75%</w:t>
            </w:r>
          </w:p>
        </w:tc>
        <w:tc>
          <w:tcPr>
            <w:tcW w:w="460" w:type="pct"/>
            <w:vAlign w:val="center"/>
          </w:tcPr>
          <w:p>
            <w:pPr>
              <w:adjustRightInd w:val="0"/>
              <w:snapToGrid w:val="0"/>
              <w:jc w:val="center"/>
              <w:rPr>
                <w:rFonts w:ascii="Times New Roman" w:hAnsi="Times New Roman"/>
                <w:b/>
              </w:rPr>
            </w:pPr>
            <w:r>
              <w:rPr>
                <w:rFonts w:ascii="Times New Roman" w:hAnsi="Times New Roman"/>
                <w:b/>
              </w:rPr>
              <w:t>80%</w:t>
            </w:r>
          </w:p>
        </w:tc>
        <w:tc>
          <w:tcPr>
            <w:tcW w:w="460" w:type="pct"/>
            <w:vAlign w:val="center"/>
          </w:tcPr>
          <w:p>
            <w:pPr>
              <w:adjustRightInd w:val="0"/>
              <w:snapToGrid w:val="0"/>
              <w:jc w:val="center"/>
              <w:rPr>
                <w:rFonts w:ascii="Times New Roman" w:hAnsi="Times New Roman"/>
                <w:b/>
              </w:rPr>
            </w:pPr>
            <w:r>
              <w:rPr>
                <w:rFonts w:ascii="Times New Roman" w:hAnsi="Times New Roman"/>
                <w:b/>
              </w:rPr>
              <w:t>90%</w:t>
            </w:r>
          </w:p>
        </w:tc>
        <w:tc>
          <w:tcPr>
            <w:tcW w:w="460" w:type="pct"/>
            <w:vAlign w:val="center"/>
          </w:tcPr>
          <w:p>
            <w:pPr>
              <w:adjustRightInd w:val="0"/>
              <w:snapToGrid w:val="0"/>
              <w:jc w:val="center"/>
              <w:rPr>
                <w:rFonts w:ascii="Times New Roman" w:hAnsi="Times New Roman"/>
                <w:b/>
              </w:rPr>
            </w:pPr>
            <w:r>
              <w:rPr>
                <w:rFonts w:ascii="Times New Roman" w:hAnsi="Times New Roman"/>
                <w:b/>
              </w:rPr>
              <w:t>95%</w:t>
            </w:r>
          </w:p>
        </w:tc>
        <w:tc>
          <w:tcPr>
            <w:tcW w:w="460" w:type="pct"/>
            <w:vAlign w:val="center"/>
          </w:tcPr>
          <w:p>
            <w:pPr>
              <w:adjustRightInd w:val="0"/>
              <w:snapToGrid w:val="0"/>
              <w:jc w:val="center"/>
              <w:rPr>
                <w:rFonts w:ascii="Times New Roman" w:hAnsi="Times New Roman"/>
                <w:b/>
              </w:rPr>
            </w:pPr>
            <w:r>
              <w:rPr>
                <w:rFonts w:ascii="Times New Roman" w:hAnsi="Times New Roman"/>
                <w:b/>
              </w:rPr>
              <w:t>96%</w:t>
            </w:r>
          </w:p>
        </w:tc>
        <w:tc>
          <w:tcPr>
            <w:tcW w:w="460" w:type="pct"/>
            <w:vAlign w:val="center"/>
          </w:tcPr>
          <w:p>
            <w:pPr>
              <w:adjustRightInd w:val="0"/>
              <w:snapToGrid w:val="0"/>
              <w:jc w:val="center"/>
              <w:rPr>
                <w:rFonts w:ascii="Times New Roman" w:hAnsi="Times New Roman"/>
                <w:b/>
              </w:rPr>
            </w:pPr>
            <w:r>
              <w:rPr>
                <w:rFonts w:ascii="Times New Roman" w:hAnsi="Times New Roman"/>
                <w:b/>
              </w:rPr>
              <w:t>97%</w:t>
            </w:r>
          </w:p>
        </w:tc>
        <w:tc>
          <w:tcPr>
            <w:tcW w:w="460" w:type="pct"/>
            <w:vAlign w:val="center"/>
          </w:tcPr>
          <w:p>
            <w:pPr>
              <w:adjustRightInd w:val="0"/>
              <w:snapToGrid w:val="0"/>
              <w:jc w:val="center"/>
              <w:rPr>
                <w:rFonts w:ascii="Times New Roman" w:hAnsi="Times New Roman"/>
                <w:b/>
              </w:rPr>
            </w:pPr>
            <w:r>
              <w:rPr>
                <w:rFonts w:ascii="Times New Roman" w:hAnsi="Times New Roman"/>
                <w:b/>
              </w:rPr>
              <w:t>98%</w:t>
            </w:r>
          </w:p>
        </w:tc>
        <w:tc>
          <w:tcPr>
            <w:tcW w:w="460" w:type="pct"/>
            <w:vAlign w:val="center"/>
          </w:tcPr>
          <w:p>
            <w:pPr>
              <w:adjustRightInd w:val="0"/>
              <w:snapToGrid w:val="0"/>
              <w:jc w:val="center"/>
              <w:rPr>
                <w:rFonts w:ascii="Times New Roman" w:hAnsi="Times New Roman"/>
                <w:b/>
              </w:rPr>
            </w:pPr>
            <w:r>
              <w:rPr>
                <w:rFonts w:ascii="Times New Roman" w:hAnsi="Times New Roman"/>
                <w:b/>
              </w:rPr>
              <w:t>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59" w:type="pct"/>
            <w:vAlign w:val="center"/>
          </w:tcPr>
          <w:p>
            <w:pPr>
              <w:adjustRightInd w:val="0"/>
              <w:snapToGrid w:val="0"/>
              <w:jc w:val="center"/>
              <w:rPr>
                <w:rFonts w:ascii="Times New Roman" w:hAnsi="Times New Roman"/>
              </w:rPr>
            </w:pPr>
            <w:r>
              <w:rPr>
                <w:rFonts w:ascii="Times New Roman" w:hAnsi="Times New Roman"/>
              </w:rPr>
              <w:t>全25年</w:t>
            </w:r>
          </w:p>
        </w:tc>
        <w:tc>
          <w:tcPr>
            <w:tcW w:w="460" w:type="pct"/>
            <w:vAlign w:val="center"/>
          </w:tcPr>
          <w:p>
            <w:pPr>
              <w:adjustRightInd w:val="0"/>
              <w:snapToGrid w:val="0"/>
              <w:jc w:val="center"/>
              <w:rPr>
                <w:rFonts w:ascii="Times New Roman" w:hAnsi="Times New Roman"/>
              </w:rPr>
            </w:pPr>
            <w:r>
              <w:rPr>
                <w:rFonts w:ascii="Times New Roman" w:hAnsi="Times New Roman"/>
              </w:rPr>
              <w:t>22.86</w:t>
            </w:r>
          </w:p>
        </w:tc>
        <w:tc>
          <w:tcPr>
            <w:tcW w:w="460" w:type="pct"/>
            <w:vAlign w:val="center"/>
          </w:tcPr>
          <w:p>
            <w:pPr>
              <w:adjustRightInd w:val="0"/>
              <w:snapToGrid w:val="0"/>
              <w:jc w:val="center"/>
              <w:rPr>
                <w:rFonts w:ascii="Times New Roman" w:hAnsi="Times New Roman"/>
              </w:rPr>
            </w:pPr>
            <w:r>
              <w:rPr>
                <w:rFonts w:ascii="Times New Roman" w:hAnsi="Times New Roman"/>
              </w:rPr>
              <w:t>19.93</w:t>
            </w:r>
          </w:p>
        </w:tc>
        <w:tc>
          <w:tcPr>
            <w:tcW w:w="460" w:type="pct"/>
            <w:vAlign w:val="center"/>
          </w:tcPr>
          <w:p>
            <w:pPr>
              <w:adjustRightInd w:val="0"/>
              <w:snapToGrid w:val="0"/>
              <w:jc w:val="center"/>
              <w:rPr>
                <w:rFonts w:ascii="Times New Roman" w:hAnsi="Times New Roman"/>
              </w:rPr>
            </w:pPr>
            <w:r>
              <w:rPr>
                <w:rFonts w:ascii="Times New Roman" w:hAnsi="Times New Roman"/>
              </w:rPr>
              <w:t>19.48</w:t>
            </w:r>
          </w:p>
        </w:tc>
        <w:tc>
          <w:tcPr>
            <w:tcW w:w="460" w:type="pct"/>
            <w:vAlign w:val="center"/>
          </w:tcPr>
          <w:p>
            <w:pPr>
              <w:adjustRightInd w:val="0"/>
              <w:snapToGrid w:val="0"/>
              <w:jc w:val="center"/>
              <w:rPr>
                <w:rFonts w:ascii="Times New Roman" w:hAnsi="Times New Roman"/>
              </w:rPr>
            </w:pPr>
            <w:r>
              <w:rPr>
                <w:rFonts w:ascii="Times New Roman" w:hAnsi="Times New Roman"/>
              </w:rPr>
              <w:t>18.61</w:t>
            </w:r>
          </w:p>
        </w:tc>
        <w:tc>
          <w:tcPr>
            <w:tcW w:w="460" w:type="pct"/>
            <w:vAlign w:val="center"/>
          </w:tcPr>
          <w:p>
            <w:pPr>
              <w:adjustRightInd w:val="0"/>
              <w:snapToGrid w:val="0"/>
              <w:jc w:val="center"/>
              <w:rPr>
                <w:rFonts w:ascii="Times New Roman" w:hAnsi="Times New Roman"/>
              </w:rPr>
            </w:pPr>
            <w:r>
              <w:rPr>
                <w:rFonts w:ascii="Times New Roman" w:hAnsi="Times New Roman"/>
              </w:rPr>
              <w:t>18.14</w:t>
            </w:r>
          </w:p>
        </w:tc>
        <w:tc>
          <w:tcPr>
            <w:tcW w:w="460" w:type="pct"/>
            <w:vAlign w:val="center"/>
          </w:tcPr>
          <w:p>
            <w:pPr>
              <w:adjustRightInd w:val="0"/>
              <w:snapToGrid w:val="0"/>
              <w:jc w:val="center"/>
              <w:rPr>
                <w:rFonts w:ascii="Times New Roman" w:hAnsi="Times New Roman"/>
              </w:rPr>
            </w:pPr>
            <w:r>
              <w:rPr>
                <w:rFonts w:ascii="Times New Roman" w:hAnsi="Times New Roman"/>
              </w:rPr>
              <w:t>18.05</w:t>
            </w:r>
          </w:p>
        </w:tc>
        <w:tc>
          <w:tcPr>
            <w:tcW w:w="460" w:type="pct"/>
            <w:vAlign w:val="center"/>
          </w:tcPr>
          <w:p>
            <w:pPr>
              <w:adjustRightInd w:val="0"/>
              <w:snapToGrid w:val="0"/>
              <w:jc w:val="center"/>
              <w:rPr>
                <w:rFonts w:ascii="Times New Roman" w:hAnsi="Times New Roman"/>
              </w:rPr>
            </w:pPr>
            <w:r>
              <w:rPr>
                <w:rFonts w:ascii="Times New Roman" w:hAnsi="Times New Roman"/>
              </w:rPr>
              <w:t>17.92</w:t>
            </w:r>
          </w:p>
        </w:tc>
        <w:tc>
          <w:tcPr>
            <w:tcW w:w="460" w:type="pct"/>
            <w:vAlign w:val="center"/>
          </w:tcPr>
          <w:p>
            <w:pPr>
              <w:adjustRightInd w:val="0"/>
              <w:snapToGrid w:val="0"/>
              <w:jc w:val="center"/>
              <w:rPr>
                <w:rFonts w:ascii="Times New Roman" w:hAnsi="Times New Roman"/>
              </w:rPr>
            </w:pPr>
            <w:r>
              <w:rPr>
                <w:rFonts w:ascii="Times New Roman" w:hAnsi="Times New Roman"/>
              </w:rPr>
              <w:t>17.61</w:t>
            </w:r>
          </w:p>
        </w:tc>
        <w:tc>
          <w:tcPr>
            <w:tcW w:w="460" w:type="pct"/>
            <w:vAlign w:val="center"/>
          </w:tcPr>
          <w:p>
            <w:pPr>
              <w:adjustRightInd w:val="0"/>
              <w:snapToGrid w:val="0"/>
              <w:jc w:val="center"/>
              <w:rPr>
                <w:rFonts w:ascii="Times New Roman" w:hAnsi="Times New Roman"/>
              </w:rPr>
            </w:pPr>
            <w:r>
              <w:rPr>
                <w:rFonts w:ascii="Times New Roman" w:hAnsi="Times New Roman"/>
              </w:rPr>
              <w:t>17.22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59" w:type="pct"/>
            <w:vAlign w:val="center"/>
          </w:tcPr>
          <w:p>
            <w:pPr>
              <w:adjustRightInd w:val="0"/>
              <w:snapToGrid w:val="0"/>
              <w:jc w:val="center"/>
              <w:rPr>
                <w:rFonts w:ascii="Times New Roman" w:hAnsi="Times New Roman"/>
              </w:rPr>
            </w:pPr>
            <w:r>
              <w:rPr>
                <w:rFonts w:ascii="Times New Roman" w:hAnsi="Times New Roman"/>
              </w:rPr>
              <w:t>最近10年</w:t>
            </w:r>
          </w:p>
        </w:tc>
        <w:tc>
          <w:tcPr>
            <w:tcW w:w="460" w:type="pct"/>
            <w:vAlign w:val="center"/>
          </w:tcPr>
          <w:p>
            <w:pPr>
              <w:adjustRightInd w:val="0"/>
              <w:snapToGrid w:val="0"/>
              <w:jc w:val="center"/>
              <w:rPr>
                <w:rFonts w:ascii="Times New Roman" w:hAnsi="Times New Roman"/>
              </w:rPr>
            </w:pPr>
            <w:r>
              <w:rPr>
                <w:rFonts w:ascii="Times New Roman" w:hAnsi="Times New Roman"/>
              </w:rPr>
              <w:t>22.39</w:t>
            </w:r>
          </w:p>
        </w:tc>
        <w:tc>
          <w:tcPr>
            <w:tcW w:w="460" w:type="pct"/>
            <w:vAlign w:val="center"/>
          </w:tcPr>
          <w:p>
            <w:pPr>
              <w:adjustRightInd w:val="0"/>
              <w:snapToGrid w:val="0"/>
              <w:jc w:val="center"/>
              <w:rPr>
                <w:rFonts w:ascii="Times New Roman" w:hAnsi="Times New Roman"/>
              </w:rPr>
            </w:pPr>
            <w:r>
              <w:rPr>
                <w:rFonts w:ascii="Times New Roman" w:hAnsi="Times New Roman"/>
              </w:rPr>
              <w:t>19.82</w:t>
            </w:r>
          </w:p>
        </w:tc>
        <w:tc>
          <w:tcPr>
            <w:tcW w:w="460" w:type="pct"/>
            <w:vAlign w:val="center"/>
          </w:tcPr>
          <w:p>
            <w:pPr>
              <w:adjustRightInd w:val="0"/>
              <w:snapToGrid w:val="0"/>
              <w:jc w:val="center"/>
              <w:rPr>
                <w:rFonts w:ascii="Times New Roman" w:hAnsi="Times New Roman"/>
              </w:rPr>
            </w:pPr>
            <w:r>
              <w:rPr>
                <w:rFonts w:ascii="Times New Roman" w:hAnsi="Times New Roman"/>
              </w:rPr>
              <w:t>19.52</w:t>
            </w:r>
          </w:p>
        </w:tc>
        <w:tc>
          <w:tcPr>
            <w:tcW w:w="460" w:type="pct"/>
            <w:vAlign w:val="center"/>
          </w:tcPr>
          <w:p>
            <w:pPr>
              <w:adjustRightInd w:val="0"/>
              <w:snapToGrid w:val="0"/>
              <w:jc w:val="center"/>
              <w:rPr>
                <w:rFonts w:ascii="Times New Roman" w:hAnsi="Times New Roman"/>
              </w:rPr>
            </w:pPr>
            <w:r>
              <w:rPr>
                <w:rFonts w:ascii="Times New Roman" w:hAnsi="Times New Roman"/>
              </w:rPr>
              <w:t>18.78</w:t>
            </w:r>
          </w:p>
        </w:tc>
        <w:tc>
          <w:tcPr>
            <w:tcW w:w="460" w:type="pct"/>
            <w:vAlign w:val="center"/>
          </w:tcPr>
          <w:p>
            <w:pPr>
              <w:adjustRightInd w:val="0"/>
              <w:snapToGrid w:val="0"/>
              <w:jc w:val="center"/>
              <w:rPr>
                <w:rFonts w:ascii="Times New Roman" w:hAnsi="Times New Roman"/>
              </w:rPr>
            </w:pPr>
            <w:r>
              <w:rPr>
                <w:rFonts w:ascii="Times New Roman" w:hAnsi="Times New Roman"/>
              </w:rPr>
              <w:t>18.48</w:t>
            </w:r>
          </w:p>
        </w:tc>
        <w:tc>
          <w:tcPr>
            <w:tcW w:w="460" w:type="pct"/>
            <w:vAlign w:val="center"/>
          </w:tcPr>
          <w:p>
            <w:pPr>
              <w:adjustRightInd w:val="0"/>
              <w:snapToGrid w:val="0"/>
              <w:jc w:val="center"/>
              <w:rPr>
                <w:rFonts w:ascii="Times New Roman" w:hAnsi="Times New Roman"/>
              </w:rPr>
            </w:pPr>
            <w:r>
              <w:rPr>
                <w:rFonts w:ascii="Times New Roman" w:hAnsi="Times New Roman"/>
              </w:rPr>
              <w:t>18.43</w:t>
            </w:r>
          </w:p>
        </w:tc>
        <w:tc>
          <w:tcPr>
            <w:tcW w:w="460" w:type="pct"/>
            <w:vAlign w:val="center"/>
          </w:tcPr>
          <w:p>
            <w:pPr>
              <w:adjustRightInd w:val="0"/>
              <w:snapToGrid w:val="0"/>
              <w:jc w:val="center"/>
              <w:rPr>
                <w:rFonts w:ascii="Times New Roman" w:hAnsi="Times New Roman"/>
              </w:rPr>
            </w:pPr>
            <w:r>
              <w:rPr>
                <w:rFonts w:ascii="Times New Roman" w:hAnsi="Times New Roman"/>
              </w:rPr>
              <w:t>18.32</w:t>
            </w:r>
          </w:p>
        </w:tc>
        <w:tc>
          <w:tcPr>
            <w:tcW w:w="460" w:type="pct"/>
            <w:vAlign w:val="center"/>
          </w:tcPr>
          <w:p>
            <w:pPr>
              <w:adjustRightInd w:val="0"/>
              <w:snapToGrid w:val="0"/>
              <w:jc w:val="center"/>
              <w:rPr>
                <w:rFonts w:ascii="Times New Roman" w:hAnsi="Times New Roman"/>
              </w:rPr>
            </w:pPr>
            <w:r>
              <w:rPr>
                <w:rFonts w:ascii="Times New Roman" w:hAnsi="Times New Roman"/>
              </w:rPr>
              <w:t>18.21</w:t>
            </w:r>
          </w:p>
        </w:tc>
        <w:tc>
          <w:tcPr>
            <w:tcW w:w="460" w:type="pct"/>
            <w:vAlign w:val="center"/>
          </w:tcPr>
          <w:p>
            <w:pPr>
              <w:adjustRightInd w:val="0"/>
              <w:snapToGrid w:val="0"/>
              <w:jc w:val="center"/>
              <w:rPr>
                <w:rFonts w:ascii="Times New Roman" w:hAnsi="Times New Roman"/>
              </w:rPr>
            </w:pPr>
            <w:r>
              <w:rPr>
                <w:rFonts w:ascii="Times New Roman" w:hAnsi="Times New Roman"/>
              </w:rPr>
              <w:t>18.02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59" w:type="pct"/>
            <w:vAlign w:val="center"/>
          </w:tcPr>
          <w:p>
            <w:pPr>
              <w:adjustRightInd w:val="0"/>
              <w:snapToGrid w:val="0"/>
              <w:jc w:val="center"/>
              <w:rPr>
                <w:rFonts w:ascii="Times New Roman" w:hAnsi="Times New Roman"/>
              </w:rPr>
            </w:pPr>
            <w:r>
              <w:rPr>
                <w:rFonts w:ascii="Times New Roman" w:hAnsi="Times New Roman"/>
              </w:rPr>
              <w:t>最近15年</w:t>
            </w:r>
          </w:p>
        </w:tc>
        <w:tc>
          <w:tcPr>
            <w:tcW w:w="460" w:type="pct"/>
            <w:vAlign w:val="center"/>
          </w:tcPr>
          <w:p>
            <w:pPr>
              <w:adjustRightInd w:val="0"/>
              <w:snapToGrid w:val="0"/>
              <w:jc w:val="center"/>
              <w:rPr>
                <w:rFonts w:ascii="Times New Roman" w:hAnsi="Times New Roman"/>
              </w:rPr>
            </w:pPr>
            <w:r>
              <w:rPr>
                <w:rFonts w:ascii="Times New Roman" w:hAnsi="Times New Roman"/>
              </w:rPr>
              <w:t>22.62</w:t>
            </w:r>
          </w:p>
        </w:tc>
        <w:tc>
          <w:tcPr>
            <w:tcW w:w="460" w:type="pct"/>
            <w:vAlign w:val="center"/>
          </w:tcPr>
          <w:p>
            <w:pPr>
              <w:adjustRightInd w:val="0"/>
              <w:snapToGrid w:val="0"/>
              <w:jc w:val="center"/>
              <w:rPr>
                <w:rFonts w:ascii="Times New Roman" w:hAnsi="Times New Roman"/>
              </w:rPr>
            </w:pPr>
            <w:r>
              <w:rPr>
                <w:rFonts w:ascii="Times New Roman" w:hAnsi="Times New Roman"/>
              </w:rPr>
              <w:t>19.89</w:t>
            </w:r>
          </w:p>
        </w:tc>
        <w:tc>
          <w:tcPr>
            <w:tcW w:w="460" w:type="pct"/>
            <w:vAlign w:val="center"/>
          </w:tcPr>
          <w:p>
            <w:pPr>
              <w:adjustRightInd w:val="0"/>
              <w:snapToGrid w:val="0"/>
              <w:jc w:val="center"/>
              <w:rPr>
                <w:rFonts w:ascii="Times New Roman" w:hAnsi="Times New Roman"/>
              </w:rPr>
            </w:pPr>
            <w:r>
              <w:rPr>
                <w:rFonts w:ascii="Times New Roman" w:hAnsi="Times New Roman"/>
              </w:rPr>
              <w:t>19.49</w:t>
            </w:r>
          </w:p>
        </w:tc>
        <w:tc>
          <w:tcPr>
            <w:tcW w:w="460" w:type="pct"/>
            <w:vAlign w:val="center"/>
          </w:tcPr>
          <w:p>
            <w:pPr>
              <w:adjustRightInd w:val="0"/>
              <w:snapToGrid w:val="0"/>
              <w:jc w:val="center"/>
              <w:rPr>
                <w:rFonts w:ascii="Times New Roman" w:hAnsi="Times New Roman"/>
              </w:rPr>
            </w:pPr>
            <w:r>
              <w:rPr>
                <w:rFonts w:ascii="Times New Roman" w:hAnsi="Times New Roman"/>
              </w:rPr>
              <w:t>18.66</w:t>
            </w:r>
          </w:p>
        </w:tc>
        <w:tc>
          <w:tcPr>
            <w:tcW w:w="460" w:type="pct"/>
            <w:vAlign w:val="center"/>
          </w:tcPr>
          <w:p>
            <w:pPr>
              <w:adjustRightInd w:val="0"/>
              <w:snapToGrid w:val="0"/>
              <w:jc w:val="center"/>
              <w:rPr>
                <w:rFonts w:ascii="Times New Roman" w:hAnsi="Times New Roman"/>
              </w:rPr>
            </w:pPr>
            <w:r>
              <w:rPr>
                <w:rFonts w:ascii="Times New Roman" w:hAnsi="Times New Roman"/>
              </w:rPr>
              <w:t>18.24</w:t>
            </w:r>
          </w:p>
        </w:tc>
        <w:tc>
          <w:tcPr>
            <w:tcW w:w="460" w:type="pct"/>
            <w:vAlign w:val="center"/>
          </w:tcPr>
          <w:p>
            <w:pPr>
              <w:adjustRightInd w:val="0"/>
              <w:snapToGrid w:val="0"/>
              <w:jc w:val="center"/>
              <w:rPr>
                <w:rFonts w:ascii="Times New Roman" w:hAnsi="Times New Roman"/>
              </w:rPr>
            </w:pPr>
            <w:r>
              <w:rPr>
                <w:rFonts w:ascii="Times New Roman" w:hAnsi="Times New Roman"/>
              </w:rPr>
              <w:t>18.12</w:t>
            </w:r>
          </w:p>
        </w:tc>
        <w:tc>
          <w:tcPr>
            <w:tcW w:w="460" w:type="pct"/>
            <w:vAlign w:val="center"/>
          </w:tcPr>
          <w:p>
            <w:pPr>
              <w:adjustRightInd w:val="0"/>
              <w:snapToGrid w:val="0"/>
              <w:jc w:val="center"/>
              <w:rPr>
                <w:rFonts w:ascii="Times New Roman" w:hAnsi="Times New Roman"/>
              </w:rPr>
            </w:pPr>
            <w:r>
              <w:rPr>
                <w:rFonts w:ascii="Times New Roman" w:hAnsi="Times New Roman"/>
              </w:rPr>
              <w:t>18.01</w:t>
            </w:r>
          </w:p>
        </w:tc>
        <w:tc>
          <w:tcPr>
            <w:tcW w:w="460" w:type="pct"/>
            <w:vAlign w:val="center"/>
          </w:tcPr>
          <w:p>
            <w:pPr>
              <w:adjustRightInd w:val="0"/>
              <w:snapToGrid w:val="0"/>
              <w:jc w:val="center"/>
              <w:rPr>
                <w:rFonts w:ascii="Times New Roman" w:hAnsi="Times New Roman"/>
              </w:rPr>
            </w:pPr>
            <w:r>
              <w:rPr>
                <w:rFonts w:ascii="Times New Roman" w:hAnsi="Times New Roman"/>
              </w:rPr>
              <w:t>17.71</w:t>
            </w:r>
          </w:p>
        </w:tc>
        <w:tc>
          <w:tcPr>
            <w:tcW w:w="460" w:type="pct"/>
            <w:vAlign w:val="center"/>
          </w:tcPr>
          <w:p>
            <w:pPr>
              <w:adjustRightInd w:val="0"/>
              <w:snapToGrid w:val="0"/>
              <w:jc w:val="center"/>
              <w:rPr>
                <w:rFonts w:ascii="Times New Roman" w:hAnsi="Times New Roman"/>
              </w:rPr>
            </w:pPr>
            <w:r>
              <w:rPr>
                <w:rFonts w:ascii="Times New Roman" w:hAnsi="Times New Roman"/>
              </w:rPr>
              <w:t>17.19</w:t>
            </w:r>
          </w:p>
        </w:tc>
      </w:tr>
    </w:tbl>
    <w:p>
      <w:pPr>
        <w:adjustRightInd w:val="0"/>
        <w:snapToGrid w:val="0"/>
        <w:spacing w:line="360" w:lineRule="auto"/>
        <w:ind w:firstLine="480" w:firstLineChars="200"/>
        <w:rPr>
          <w:rFonts w:ascii="Times New Roman" w:hAnsi="Times New Roman"/>
          <w:sz w:val="24"/>
        </w:rPr>
      </w:pPr>
    </w:p>
    <w:p>
      <w:pPr>
        <w:spacing w:line="276" w:lineRule="auto"/>
        <w:jc w:val="right"/>
        <w:rPr>
          <w:rFonts w:ascii="Times New Roman" w:hAnsi="Times New Roman"/>
          <w:sz w:val="24"/>
        </w:rPr>
      </w:pPr>
      <w:r>
        <w:rPr>
          <w:rFonts w:ascii="Times New Roman" w:hAnsi="Times New Roman"/>
          <w:b/>
          <w:sz w:val="24"/>
        </w:rPr>
        <w:t xml:space="preserve">表4.1-4  螺山站水位计算表 </w:t>
      </w:r>
      <w:r>
        <w:rPr>
          <w:rFonts w:ascii="Times New Roman" w:hAnsi="Times New Roman"/>
          <w:sz w:val="24"/>
        </w:rPr>
        <w:t xml:space="preserve">                单位：m</w:t>
      </w:r>
    </w:p>
    <w:tbl>
      <w:tblPr>
        <w:tblStyle w:val="71"/>
        <w:tblpPr w:leftFromText="180" w:rightFromText="180" w:vertAnchor="text" w:tblpY="1"/>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424"/>
        <w:gridCol w:w="2339"/>
        <w:gridCol w:w="23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31" w:type="pct"/>
            <w:vMerge w:val="restart"/>
            <w:vAlign w:val="center"/>
          </w:tcPr>
          <w:p>
            <w:pPr>
              <w:adjustRightInd w:val="0"/>
              <w:snapToGrid w:val="0"/>
              <w:jc w:val="center"/>
              <w:rPr>
                <w:rFonts w:ascii="Times New Roman" w:hAnsi="Times New Roman"/>
                <w:b/>
              </w:rPr>
            </w:pPr>
            <w:r>
              <w:rPr>
                <w:rFonts w:ascii="Times New Roman" w:hAnsi="Times New Roman"/>
                <w:b/>
              </w:rPr>
              <w:t>建设点</w:t>
            </w:r>
          </w:p>
        </w:tc>
        <w:tc>
          <w:tcPr>
            <w:tcW w:w="1285" w:type="pct"/>
            <w:vAlign w:val="center"/>
          </w:tcPr>
          <w:p>
            <w:pPr>
              <w:adjustRightInd w:val="0"/>
              <w:snapToGrid w:val="0"/>
              <w:jc w:val="center"/>
              <w:rPr>
                <w:rFonts w:ascii="Times New Roman" w:hAnsi="Times New Roman"/>
                <w:b/>
              </w:rPr>
            </w:pPr>
            <w:r>
              <w:rPr>
                <w:rFonts w:ascii="Times New Roman" w:hAnsi="Times New Roman"/>
                <w:b/>
              </w:rPr>
              <w:t>保证率</w:t>
            </w:r>
          </w:p>
        </w:tc>
        <w:tc>
          <w:tcPr>
            <w:tcW w:w="1284" w:type="pct"/>
            <w:vAlign w:val="center"/>
          </w:tcPr>
          <w:p>
            <w:pPr>
              <w:adjustRightInd w:val="0"/>
              <w:snapToGrid w:val="0"/>
              <w:jc w:val="center"/>
              <w:rPr>
                <w:rFonts w:ascii="Times New Roman" w:hAnsi="Times New Roman"/>
                <w:b/>
              </w:rPr>
            </w:pPr>
            <w:r>
              <w:rPr>
                <w:rFonts w:ascii="Times New Roman" w:hAnsi="Times New Roman"/>
                <w:b/>
              </w:rPr>
              <w:t>频率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31" w:type="pct"/>
            <w:vMerge w:val="continue"/>
            <w:vAlign w:val="center"/>
          </w:tcPr>
          <w:p>
            <w:pPr>
              <w:adjustRightInd w:val="0"/>
              <w:snapToGrid w:val="0"/>
              <w:jc w:val="center"/>
              <w:rPr>
                <w:rFonts w:ascii="Times New Roman" w:hAnsi="Times New Roman"/>
                <w:b/>
              </w:rPr>
            </w:pPr>
          </w:p>
        </w:tc>
        <w:tc>
          <w:tcPr>
            <w:tcW w:w="1285" w:type="pct"/>
            <w:vAlign w:val="center"/>
          </w:tcPr>
          <w:p>
            <w:pPr>
              <w:adjustRightInd w:val="0"/>
              <w:snapToGrid w:val="0"/>
              <w:jc w:val="center"/>
              <w:rPr>
                <w:rFonts w:ascii="Times New Roman" w:hAnsi="Times New Roman"/>
                <w:b/>
              </w:rPr>
            </w:pPr>
            <w:r>
              <w:rPr>
                <w:rFonts w:ascii="Times New Roman" w:hAnsi="Times New Roman"/>
                <w:b/>
              </w:rPr>
              <w:t>98%</w:t>
            </w:r>
          </w:p>
        </w:tc>
        <w:tc>
          <w:tcPr>
            <w:tcW w:w="1284" w:type="pct"/>
            <w:vAlign w:val="center"/>
          </w:tcPr>
          <w:p>
            <w:pPr>
              <w:adjustRightInd w:val="0"/>
              <w:snapToGrid w:val="0"/>
              <w:jc w:val="center"/>
              <w:rPr>
                <w:rFonts w:ascii="Times New Roman" w:hAnsi="Times New Roman"/>
                <w:b/>
              </w:rPr>
            </w:pPr>
            <w:r>
              <w:rPr>
                <w:rFonts w:ascii="Times New Roman" w:hAnsi="Times New Roman"/>
                <w:b/>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31" w:type="pct"/>
            <w:vAlign w:val="center"/>
          </w:tcPr>
          <w:p>
            <w:pPr>
              <w:adjustRightInd w:val="0"/>
              <w:snapToGrid w:val="0"/>
              <w:jc w:val="center"/>
              <w:rPr>
                <w:rFonts w:ascii="Times New Roman" w:hAnsi="Times New Roman"/>
              </w:rPr>
            </w:pPr>
            <w:r>
              <w:rPr>
                <w:rFonts w:ascii="Times New Roman" w:hAnsi="Times New Roman"/>
              </w:rPr>
              <w:t>螺山站（1981-2002年）</w:t>
            </w:r>
          </w:p>
        </w:tc>
        <w:tc>
          <w:tcPr>
            <w:tcW w:w="1285" w:type="pct"/>
            <w:vAlign w:val="center"/>
          </w:tcPr>
          <w:p>
            <w:pPr>
              <w:adjustRightInd w:val="0"/>
              <w:snapToGrid w:val="0"/>
              <w:jc w:val="center"/>
              <w:rPr>
                <w:rFonts w:ascii="Times New Roman" w:hAnsi="Times New Roman"/>
              </w:rPr>
            </w:pPr>
            <w:r>
              <w:rPr>
                <w:rFonts w:ascii="Times New Roman" w:hAnsi="Times New Roman"/>
              </w:rPr>
              <w:t>16.47</w:t>
            </w:r>
          </w:p>
        </w:tc>
        <w:tc>
          <w:tcPr>
            <w:tcW w:w="1284" w:type="pct"/>
            <w:vAlign w:val="center"/>
          </w:tcPr>
          <w:p>
            <w:pPr>
              <w:adjustRightInd w:val="0"/>
              <w:snapToGrid w:val="0"/>
              <w:jc w:val="center"/>
              <w:rPr>
                <w:rFonts w:ascii="Times New Roman" w:hAnsi="Times New Roman"/>
              </w:rPr>
            </w:pPr>
            <w:r>
              <w:rPr>
                <w:rFonts w:ascii="Times New Roman" w:hAnsi="Times New Roman"/>
              </w:rPr>
              <w:t>29.01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31" w:type="pct"/>
            <w:vAlign w:val="center"/>
          </w:tcPr>
          <w:p>
            <w:pPr>
              <w:adjustRightInd w:val="0"/>
              <w:snapToGrid w:val="0"/>
              <w:jc w:val="center"/>
              <w:rPr>
                <w:rFonts w:ascii="Times New Roman" w:hAnsi="Times New Roman"/>
              </w:rPr>
            </w:pPr>
            <w:r>
              <w:rPr>
                <w:rFonts w:ascii="Times New Roman" w:hAnsi="Times New Roman"/>
              </w:rPr>
              <w:t>螺山站（2004-2010年）</w:t>
            </w:r>
          </w:p>
        </w:tc>
        <w:tc>
          <w:tcPr>
            <w:tcW w:w="1285" w:type="pct"/>
            <w:vAlign w:val="center"/>
          </w:tcPr>
          <w:p>
            <w:pPr>
              <w:adjustRightInd w:val="0"/>
              <w:snapToGrid w:val="0"/>
              <w:jc w:val="center"/>
              <w:rPr>
                <w:rFonts w:ascii="Times New Roman" w:hAnsi="Times New Roman"/>
              </w:rPr>
            </w:pPr>
            <w:r>
              <w:rPr>
                <w:rFonts w:ascii="Times New Roman" w:hAnsi="Times New Roman"/>
              </w:rPr>
              <w:t>16.91</w:t>
            </w:r>
          </w:p>
        </w:tc>
        <w:tc>
          <w:tcPr>
            <w:tcW w:w="1284" w:type="pct"/>
            <w:vAlign w:val="center"/>
          </w:tcPr>
          <w:p>
            <w:pPr>
              <w:adjustRightInd w:val="0"/>
              <w:snapToGrid w:val="0"/>
              <w:jc w:val="center"/>
              <w:rPr>
                <w:rFonts w:ascii="Times New Roman" w:hAnsi="Times New Roman"/>
              </w:rPr>
            </w:pPr>
            <w:r>
              <w:rPr>
                <w:rFonts w:ascii="Times New Roman" w:hAnsi="Times New Roman"/>
              </w:rPr>
              <w:t>27.86</w:t>
            </w:r>
          </w:p>
        </w:tc>
      </w:tr>
    </w:tbl>
    <w:p>
      <w:pPr>
        <w:adjustRightInd w:val="0"/>
        <w:snapToGrid w:val="0"/>
        <w:spacing w:line="360" w:lineRule="auto"/>
        <w:ind w:firstLine="480" w:firstLineChars="200"/>
        <w:rPr>
          <w:rFonts w:ascii="Times New Roman" w:hAnsi="Times New Roman" w:eastAsiaTheme="minorEastAsia"/>
          <w:color w:val="000000"/>
          <w:sz w:val="24"/>
        </w:rPr>
      </w:pPr>
    </w:p>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目前长江航道城陵矶航行基准面为16.13m，螺山航行基准面为14.81m。分别对比表4.1-3、4.1-4保证率98%的水位计算结果可知，航行基准面水位值偏低。</w:t>
      </w:r>
    </w:p>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另外从蓄水后历年螺山站年内最低水位统计看（表4.1-5），近年来最低水位与计算值相当，约为17m。</w:t>
      </w:r>
    </w:p>
    <w:p>
      <w:pPr>
        <w:spacing w:line="276" w:lineRule="auto"/>
        <w:jc w:val="right"/>
        <w:rPr>
          <w:rFonts w:ascii="Times New Roman" w:hAnsi="Times New Roman"/>
          <w:sz w:val="24"/>
        </w:rPr>
      </w:pPr>
      <w:r>
        <w:rPr>
          <w:rFonts w:ascii="Times New Roman" w:hAnsi="Times New Roman"/>
          <w:b/>
          <w:sz w:val="24"/>
        </w:rPr>
        <w:t xml:space="preserve">表4.1-5  蓄水后螺山站年内最低水位统计表 </w:t>
      </w:r>
      <w:r>
        <w:rPr>
          <w:rFonts w:ascii="Times New Roman" w:hAnsi="Times New Roman"/>
          <w:sz w:val="24"/>
        </w:rPr>
        <w:t xml:space="preserve">        单位：m</w:t>
      </w:r>
    </w:p>
    <w:tbl>
      <w:tblPr>
        <w:tblStyle w:val="7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542"/>
        <w:gridCol w:w="954"/>
        <w:gridCol w:w="952"/>
        <w:gridCol w:w="948"/>
        <w:gridCol w:w="948"/>
        <w:gridCol w:w="950"/>
        <w:gridCol w:w="950"/>
        <w:gridCol w:w="950"/>
        <w:gridCol w:w="9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47" w:type="pct"/>
            <w:shd w:val="clear" w:color="auto" w:fill="auto"/>
            <w:vAlign w:val="center"/>
          </w:tcPr>
          <w:p>
            <w:pPr>
              <w:adjustRightInd w:val="0"/>
              <w:snapToGrid w:val="0"/>
              <w:jc w:val="center"/>
              <w:rPr>
                <w:rFonts w:ascii="Times New Roman" w:hAnsi="Times New Roman"/>
                <w:b/>
              </w:rPr>
            </w:pPr>
            <w:r>
              <w:rPr>
                <w:rFonts w:ascii="Times New Roman" w:hAnsi="Times New Roman"/>
                <w:b/>
              </w:rPr>
              <w:t>年份</w:t>
            </w:r>
          </w:p>
        </w:tc>
        <w:tc>
          <w:tcPr>
            <w:tcW w:w="524" w:type="pct"/>
            <w:shd w:val="clear" w:color="auto" w:fill="auto"/>
            <w:vAlign w:val="center"/>
          </w:tcPr>
          <w:p>
            <w:pPr>
              <w:adjustRightInd w:val="0"/>
              <w:snapToGrid w:val="0"/>
              <w:jc w:val="center"/>
              <w:rPr>
                <w:rFonts w:ascii="Times New Roman" w:hAnsi="Times New Roman"/>
                <w:b/>
              </w:rPr>
            </w:pPr>
            <w:r>
              <w:rPr>
                <w:rFonts w:ascii="Times New Roman" w:hAnsi="Times New Roman"/>
                <w:b/>
              </w:rPr>
              <w:t>2004</w:t>
            </w:r>
          </w:p>
        </w:tc>
        <w:tc>
          <w:tcPr>
            <w:tcW w:w="523" w:type="pct"/>
            <w:shd w:val="clear" w:color="auto" w:fill="auto"/>
            <w:vAlign w:val="center"/>
          </w:tcPr>
          <w:p>
            <w:pPr>
              <w:adjustRightInd w:val="0"/>
              <w:snapToGrid w:val="0"/>
              <w:jc w:val="center"/>
              <w:rPr>
                <w:rFonts w:ascii="Times New Roman" w:hAnsi="Times New Roman"/>
                <w:b/>
              </w:rPr>
            </w:pPr>
            <w:r>
              <w:rPr>
                <w:rFonts w:ascii="Times New Roman" w:hAnsi="Times New Roman"/>
                <w:b/>
              </w:rPr>
              <w:t>2005</w:t>
            </w:r>
          </w:p>
        </w:tc>
        <w:tc>
          <w:tcPr>
            <w:tcW w:w="521" w:type="pct"/>
            <w:shd w:val="clear" w:color="auto" w:fill="auto"/>
            <w:vAlign w:val="center"/>
          </w:tcPr>
          <w:p>
            <w:pPr>
              <w:adjustRightInd w:val="0"/>
              <w:snapToGrid w:val="0"/>
              <w:jc w:val="center"/>
              <w:rPr>
                <w:rFonts w:ascii="Times New Roman" w:hAnsi="Times New Roman"/>
                <w:b/>
              </w:rPr>
            </w:pPr>
            <w:r>
              <w:rPr>
                <w:rFonts w:ascii="Times New Roman" w:hAnsi="Times New Roman"/>
                <w:b/>
              </w:rPr>
              <w:t>2006</w:t>
            </w:r>
          </w:p>
        </w:tc>
        <w:tc>
          <w:tcPr>
            <w:tcW w:w="521" w:type="pct"/>
            <w:shd w:val="clear" w:color="auto" w:fill="auto"/>
            <w:vAlign w:val="center"/>
          </w:tcPr>
          <w:p>
            <w:pPr>
              <w:adjustRightInd w:val="0"/>
              <w:snapToGrid w:val="0"/>
              <w:jc w:val="center"/>
              <w:rPr>
                <w:rFonts w:ascii="Times New Roman" w:hAnsi="Times New Roman"/>
                <w:b/>
              </w:rPr>
            </w:pPr>
            <w:r>
              <w:rPr>
                <w:rFonts w:ascii="Times New Roman" w:hAnsi="Times New Roman"/>
                <w:b/>
              </w:rPr>
              <w:t>2007</w:t>
            </w:r>
          </w:p>
        </w:tc>
        <w:tc>
          <w:tcPr>
            <w:tcW w:w="522" w:type="pct"/>
            <w:shd w:val="clear" w:color="auto" w:fill="auto"/>
            <w:vAlign w:val="center"/>
          </w:tcPr>
          <w:p>
            <w:pPr>
              <w:adjustRightInd w:val="0"/>
              <w:snapToGrid w:val="0"/>
              <w:jc w:val="center"/>
              <w:rPr>
                <w:rFonts w:ascii="Times New Roman" w:hAnsi="Times New Roman"/>
                <w:b/>
              </w:rPr>
            </w:pPr>
            <w:r>
              <w:rPr>
                <w:rFonts w:ascii="Times New Roman" w:hAnsi="Times New Roman"/>
                <w:b/>
              </w:rPr>
              <w:t>2008</w:t>
            </w:r>
          </w:p>
        </w:tc>
        <w:tc>
          <w:tcPr>
            <w:tcW w:w="522" w:type="pct"/>
            <w:shd w:val="clear" w:color="auto" w:fill="auto"/>
            <w:vAlign w:val="center"/>
          </w:tcPr>
          <w:p>
            <w:pPr>
              <w:adjustRightInd w:val="0"/>
              <w:snapToGrid w:val="0"/>
              <w:jc w:val="center"/>
              <w:rPr>
                <w:rFonts w:ascii="Times New Roman" w:hAnsi="Times New Roman"/>
                <w:b/>
              </w:rPr>
            </w:pPr>
            <w:r>
              <w:rPr>
                <w:rFonts w:ascii="Times New Roman" w:hAnsi="Times New Roman"/>
                <w:b/>
              </w:rPr>
              <w:t>2009</w:t>
            </w:r>
          </w:p>
        </w:tc>
        <w:tc>
          <w:tcPr>
            <w:tcW w:w="522" w:type="pct"/>
            <w:shd w:val="clear" w:color="auto" w:fill="auto"/>
            <w:vAlign w:val="center"/>
          </w:tcPr>
          <w:p>
            <w:pPr>
              <w:adjustRightInd w:val="0"/>
              <w:snapToGrid w:val="0"/>
              <w:jc w:val="center"/>
              <w:rPr>
                <w:rFonts w:ascii="Times New Roman" w:hAnsi="Times New Roman"/>
                <w:b/>
              </w:rPr>
            </w:pPr>
            <w:r>
              <w:rPr>
                <w:rFonts w:ascii="Times New Roman" w:hAnsi="Times New Roman"/>
                <w:b/>
              </w:rPr>
              <w:t>2010</w:t>
            </w:r>
          </w:p>
        </w:tc>
        <w:tc>
          <w:tcPr>
            <w:tcW w:w="497" w:type="pct"/>
            <w:shd w:val="clear" w:color="auto" w:fill="auto"/>
            <w:vAlign w:val="center"/>
          </w:tcPr>
          <w:p>
            <w:pPr>
              <w:adjustRightInd w:val="0"/>
              <w:snapToGrid w:val="0"/>
              <w:jc w:val="center"/>
              <w:rPr>
                <w:rFonts w:ascii="Times New Roman" w:hAnsi="Times New Roman"/>
                <w:b/>
              </w:rPr>
            </w:pPr>
            <w:r>
              <w:rPr>
                <w:rFonts w:ascii="Times New Roman" w:hAnsi="Times New Roman"/>
                <w:b/>
              </w:rPr>
              <w:t>平均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47" w:type="pct"/>
            <w:shd w:val="clear" w:color="auto" w:fill="auto"/>
            <w:vAlign w:val="center"/>
          </w:tcPr>
          <w:p>
            <w:pPr>
              <w:adjustRightInd w:val="0"/>
              <w:snapToGrid w:val="0"/>
              <w:jc w:val="center"/>
              <w:rPr>
                <w:rFonts w:ascii="Times New Roman" w:hAnsi="Times New Roman"/>
              </w:rPr>
            </w:pPr>
            <w:r>
              <w:rPr>
                <w:rFonts w:ascii="Times New Roman" w:hAnsi="Times New Roman"/>
              </w:rPr>
              <w:t>最低水位</w:t>
            </w:r>
          </w:p>
        </w:tc>
        <w:tc>
          <w:tcPr>
            <w:tcW w:w="524" w:type="pct"/>
            <w:shd w:val="clear" w:color="auto" w:fill="auto"/>
            <w:vAlign w:val="center"/>
          </w:tcPr>
          <w:p>
            <w:pPr>
              <w:adjustRightInd w:val="0"/>
              <w:snapToGrid w:val="0"/>
              <w:jc w:val="center"/>
              <w:rPr>
                <w:rFonts w:ascii="Times New Roman" w:hAnsi="Times New Roman"/>
              </w:rPr>
            </w:pPr>
            <w:r>
              <w:rPr>
                <w:rFonts w:ascii="Times New Roman" w:hAnsi="Times New Roman"/>
              </w:rPr>
              <w:t>16.44</w:t>
            </w:r>
          </w:p>
        </w:tc>
        <w:tc>
          <w:tcPr>
            <w:tcW w:w="523" w:type="pct"/>
            <w:shd w:val="clear" w:color="auto" w:fill="auto"/>
            <w:vAlign w:val="center"/>
          </w:tcPr>
          <w:p>
            <w:pPr>
              <w:adjustRightInd w:val="0"/>
              <w:snapToGrid w:val="0"/>
              <w:jc w:val="center"/>
              <w:rPr>
                <w:rFonts w:ascii="Times New Roman" w:hAnsi="Times New Roman"/>
              </w:rPr>
            </w:pPr>
            <w:r>
              <w:rPr>
                <w:rFonts w:ascii="Times New Roman" w:hAnsi="Times New Roman"/>
              </w:rPr>
              <w:t>17.34</w:t>
            </w:r>
          </w:p>
        </w:tc>
        <w:tc>
          <w:tcPr>
            <w:tcW w:w="521" w:type="pct"/>
            <w:shd w:val="clear" w:color="auto" w:fill="auto"/>
            <w:vAlign w:val="center"/>
          </w:tcPr>
          <w:p>
            <w:pPr>
              <w:adjustRightInd w:val="0"/>
              <w:snapToGrid w:val="0"/>
              <w:jc w:val="center"/>
              <w:rPr>
                <w:rFonts w:ascii="Times New Roman" w:hAnsi="Times New Roman"/>
              </w:rPr>
            </w:pPr>
            <w:r>
              <w:rPr>
                <w:rFonts w:ascii="Times New Roman" w:hAnsi="Times New Roman"/>
              </w:rPr>
              <w:t>16.99</w:t>
            </w:r>
          </w:p>
        </w:tc>
        <w:tc>
          <w:tcPr>
            <w:tcW w:w="521" w:type="pct"/>
            <w:shd w:val="clear" w:color="auto" w:fill="auto"/>
            <w:vAlign w:val="center"/>
          </w:tcPr>
          <w:p>
            <w:pPr>
              <w:adjustRightInd w:val="0"/>
              <w:snapToGrid w:val="0"/>
              <w:jc w:val="center"/>
              <w:rPr>
                <w:rFonts w:ascii="Times New Roman" w:hAnsi="Times New Roman"/>
              </w:rPr>
            </w:pPr>
            <w:r>
              <w:rPr>
                <w:rFonts w:ascii="Times New Roman" w:hAnsi="Times New Roman"/>
              </w:rPr>
              <w:t>17.12</w:t>
            </w:r>
          </w:p>
        </w:tc>
        <w:tc>
          <w:tcPr>
            <w:tcW w:w="522" w:type="pct"/>
            <w:shd w:val="clear" w:color="auto" w:fill="auto"/>
            <w:vAlign w:val="center"/>
          </w:tcPr>
          <w:p>
            <w:pPr>
              <w:adjustRightInd w:val="0"/>
              <w:snapToGrid w:val="0"/>
              <w:jc w:val="center"/>
              <w:rPr>
                <w:rFonts w:ascii="Times New Roman" w:hAnsi="Times New Roman"/>
              </w:rPr>
            </w:pPr>
            <w:r>
              <w:rPr>
                <w:rFonts w:ascii="Times New Roman" w:hAnsi="Times New Roman"/>
              </w:rPr>
              <w:t>17.16</w:t>
            </w:r>
          </w:p>
        </w:tc>
        <w:tc>
          <w:tcPr>
            <w:tcW w:w="522" w:type="pct"/>
            <w:shd w:val="clear" w:color="auto" w:fill="auto"/>
            <w:vAlign w:val="center"/>
          </w:tcPr>
          <w:p>
            <w:pPr>
              <w:adjustRightInd w:val="0"/>
              <w:snapToGrid w:val="0"/>
              <w:jc w:val="center"/>
              <w:rPr>
                <w:rFonts w:ascii="Times New Roman" w:hAnsi="Times New Roman"/>
              </w:rPr>
            </w:pPr>
            <w:r>
              <w:rPr>
                <w:rFonts w:ascii="Times New Roman" w:hAnsi="Times New Roman"/>
              </w:rPr>
              <w:t>17.4</w:t>
            </w:r>
          </w:p>
        </w:tc>
        <w:tc>
          <w:tcPr>
            <w:tcW w:w="522" w:type="pct"/>
            <w:shd w:val="clear" w:color="auto" w:fill="auto"/>
            <w:vAlign w:val="center"/>
          </w:tcPr>
          <w:p>
            <w:pPr>
              <w:adjustRightInd w:val="0"/>
              <w:snapToGrid w:val="0"/>
              <w:jc w:val="center"/>
              <w:rPr>
                <w:rFonts w:ascii="Times New Roman" w:hAnsi="Times New Roman"/>
              </w:rPr>
            </w:pPr>
            <w:r>
              <w:rPr>
                <w:rFonts w:ascii="Times New Roman" w:hAnsi="Times New Roman"/>
              </w:rPr>
              <w:t>17.15</w:t>
            </w:r>
          </w:p>
        </w:tc>
        <w:tc>
          <w:tcPr>
            <w:tcW w:w="497" w:type="pct"/>
            <w:shd w:val="clear" w:color="auto" w:fill="auto"/>
            <w:vAlign w:val="center"/>
          </w:tcPr>
          <w:p>
            <w:pPr>
              <w:adjustRightInd w:val="0"/>
              <w:snapToGrid w:val="0"/>
              <w:jc w:val="center"/>
              <w:rPr>
                <w:rFonts w:ascii="Times New Roman" w:hAnsi="Times New Roman"/>
              </w:rPr>
            </w:pPr>
            <w:r>
              <w:rPr>
                <w:rFonts w:ascii="Times New Roman" w:hAnsi="Times New Roman"/>
              </w:rPr>
              <w:t>17.09</w:t>
            </w:r>
          </w:p>
        </w:tc>
      </w:tr>
    </w:tbl>
    <w:p>
      <w:pPr>
        <w:adjustRightInd w:val="0"/>
        <w:snapToGrid w:val="0"/>
        <w:spacing w:line="360" w:lineRule="auto"/>
        <w:ind w:firstLine="480" w:firstLineChars="200"/>
        <w:rPr>
          <w:rFonts w:ascii="Times New Roman" w:hAnsi="Times New Roman" w:eastAsiaTheme="minorEastAsia"/>
          <w:color w:val="000000"/>
          <w:sz w:val="24"/>
        </w:rPr>
      </w:pPr>
    </w:p>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因此莲花塘和螺山站保证率98%的水位均按水位计算结果取值，根据工程河段枯水比降推算到码头处保证率98%的水位为17.30m。设计高水位根据莲花塘和螺山站20年一遇高水位确定工程河段洪水比降，再根据莲花塘站50年高水位推算到码头区域。</w:t>
      </w:r>
    </w:p>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最终确定码头设计水位如下（85国家高程）：</w:t>
      </w:r>
    </w:p>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设计高水位：33.14m（50年一遇）；</w:t>
      </w:r>
    </w:p>
    <w:p>
      <w:pPr>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设计低水位：17.39m（保证率98%）。</w:t>
      </w:r>
    </w:p>
    <w:p>
      <w:pPr>
        <w:widowControl/>
        <w:adjustRightInd w:val="0"/>
        <w:snapToGrid w:val="0"/>
        <w:spacing w:line="360" w:lineRule="auto"/>
        <w:ind w:firstLine="482" w:firstLineChars="200"/>
        <w:rPr>
          <w:rFonts w:ascii="Times New Roman" w:hAnsi="Times New Roman" w:eastAsiaTheme="minorEastAsia"/>
          <w:b/>
          <w:bCs/>
          <w:sz w:val="24"/>
        </w:rPr>
      </w:pPr>
      <w:r>
        <w:rPr>
          <w:rFonts w:ascii="Times New Roman" w:hAnsi="Times New Roman" w:eastAsiaTheme="minorEastAsia"/>
          <w:b/>
          <w:bCs/>
          <w:sz w:val="24"/>
        </w:rPr>
        <w:t>2、泥沙</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洞庭湖出口水道水沙量主要来自荆江三口分流和湘、资、沅、澧四水经洞庭湖调节后，在城陵矶注入长江。七里山水文站位于洞庭湖出口与长江汇合口上游约3km，是洞庭湖出口河段水沙控制站。入湖水沙特征见下表。</w:t>
      </w:r>
    </w:p>
    <w:p>
      <w:pPr>
        <w:spacing w:line="276" w:lineRule="auto"/>
        <w:jc w:val="center"/>
        <w:rPr>
          <w:rFonts w:ascii="Times New Roman" w:hAnsi="Times New Roman"/>
          <w:b/>
          <w:sz w:val="24"/>
        </w:rPr>
      </w:pPr>
      <w:r>
        <w:rPr>
          <w:rFonts w:ascii="Times New Roman" w:hAnsi="Times New Roman"/>
          <w:b/>
          <w:sz w:val="24"/>
        </w:rPr>
        <w:t>表4.1-6  入湖水沙变化表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341"/>
        <w:gridCol w:w="1294"/>
        <w:gridCol w:w="1294"/>
        <w:gridCol w:w="1294"/>
        <w:gridCol w:w="1294"/>
        <w:gridCol w:w="1294"/>
        <w:gridCol w:w="12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7" w:type="pct"/>
            <w:vMerge w:val="restart"/>
            <w:vAlign w:val="center"/>
          </w:tcPr>
          <w:p>
            <w:pPr>
              <w:adjustRightInd w:val="0"/>
              <w:snapToGrid w:val="0"/>
              <w:jc w:val="center"/>
              <w:rPr>
                <w:rFonts w:ascii="Times New Roman" w:hAnsi="Times New Roman"/>
                <w:b/>
              </w:rPr>
            </w:pPr>
            <w:r>
              <w:rPr>
                <w:rFonts w:ascii="Times New Roman" w:hAnsi="Times New Roman"/>
                <w:b/>
              </w:rPr>
              <w:t>年份</w:t>
            </w:r>
          </w:p>
        </w:tc>
        <w:tc>
          <w:tcPr>
            <w:tcW w:w="2133" w:type="pct"/>
            <w:gridSpan w:val="3"/>
            <w:vAlign w:val="center"/>
          </w:tcPr>
          <w:p>
            <w:pPr>
              <w:adjustRightInd w:val="0"/>
              <w:snapToGrid w:val="0"/>
              <w:jc w:val="center"/>
              <w:rPr>
                <w:rFonts w:ascii="Times New Roman" w:hAnsi="Times New Roman"/>
                <w:b/>
              </w:rPr>
            </w:pPr>
            <w:r>
              <w:rPr>
                <w:rFonts w:ascii="Times New Roman" w:hAnsi="Times New Roman"/>
                <w:b/>
              </w:rPr>
              <w:t>来水量（亿m</w:t>
            </w:r>
            <w:r>
              <w:rPr>
                <w:rFonts w:ascii="Times New Roman" w:hAnsi="Times New Roman"/>
                <w:b/>
                <w:vertAlign w:val="superscript"/>
              </w:rPr>
              <w:t>3</w:t>
            </w:r>
            <w:r>
              <w:rPr>
                <w:rFonts w:ascii="Times New Roman" w:hAnsi="Times New Roman"/>
                <w:b/>
              </w:rPr>
              <w:t>）</w:t>
            </w:r>
          </w:p>
        </w:tc>
        <w:tc>
          <w:tcPr>
            <w:tcW w:w="2129" w:type="pct"/>
            <w:gridSpan w:val="3"/>
            <w:vAlign w:val="center"/>
          </w:tcPr>
          <w:p>
            <w:pPr>
              <w:adjustRightInd w:val="0"/>
              <w:snapToGrid w:val="0"/>
              <w:jc w:val="center"/>
              <w:rPr>
                <w:rFonts w:ascii="Times New Roman" w:hAnsi="Times New Roman"/>
                <w:b/>
              </w:rPr>
            </w:pPr>
            <w:r>
              <w:rPr>
                <w:rFonts w:ascii="Times New Roman" w:hAnsi="Times New Roman"/>
                <w:b/>
              </w:rPr>
              <w:t>来沙量（亿t）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7" w:type="pct"/>
            <w:vMerge w:val="continue"/>
            <w:vAlign w:val="center"/>
          </w:tcPr>
          <w:p>
            <w:pPr>
              <w:adjustRightInd w:val="0"/>
              <w:snapToGrid w:val="0"/>
              <w:jc w:val="center"/>
              <w:rPr>
                <w:rFonts w:ascii="Times New Roman" w:hAnsi="Times New Roman"/>
                <w:b/>
              </w:rPr>
            </w:pPr>
          </w:p>
        </w:tc>
        <w:tc>
          <w:tcPr>
            <w:tcW w:w="711" w:type="pct"/>
            <w:vAlign w:val="center"/>
          </w:tcPr>
          <w:p>
            <w:pPr>
              <w:adjustRightInd w:val="0"/>
              <w:snapToGrid w:val="0"/>
              <w:jc w:val="center"/>
              <w:rPr>
                <w:rFonts w:ascii="Times New Roman" w:hAnsi="Times New Roman"/>
                <w:b/>
              </w:rPr>
            </w:pPr>
            <w:r>
              <w:rPr>
                <w:rFonts w:ascii="Times New Roman" w:hAnsi="Times New Roman"/>
                <w:b/>
              </w:rPr>
              <w:t>三口</w:t>
            </w:r>
          </w:p>
        </w:tc>
        <w:tc>
          <w:tcPr>
            <w:tcW w:w="711" w:type="pct"/>
            <w:vAlign w:val="center"/>
          </w:tcPr>
          <w:p>
            <w:pPr>
              <w:adjustRightInd w:val="0"/>
              <w:snapToGrid w:val="0"/>
              <w:jc w:val="center"/>
              <w:rPr>
                <w:rFonts w:ascii="Times New Roman" w:hAnsi="Times New Roman"/>
                <w:b/>
              </w:rPr>
            </w:pPr>
            <w:r>
              <w:rPr>
                <w:rFonts w:ascii="Times New Roman" w:hAnsi="Times New Roman"/>
                <w:b/>
              </w:rPr>
              <w:t>四水</w:t>
            </w:r>
          </w:p>
        </w:tc>
        <w:tc>
          <w:tcPr>
            <w:tcW w:w="711" w:type="pct"/>
            <w:vAlign w:val="center"/>
          </w:tcPr>
          <w:p>
            <w:pPr>
              <w:adjustRightInd w:val="0"/>
              <w:snapToGrid w:val="0"/>
              <w:jc w:val="center"/>
              <w:rPr>
                <w:rFonts w:ascii="Times New Roman" w:hAnsi="Times New Roman"/>
                <w:b/>
              </w:rPr>
            </w:pPr>
            <w:r>
              <w:rPr>
                <w:rFonts w:ascii="Times New Roman" w:hAnsi="Times New Roman"/>
                <w:b/>
              </w:rPr>
              <w:t>合计</w:t>
            </w:r>
          </w:p>
        </w:tc>
        <w:tc>
          <w:tcPr>
            <w:tcW w:w="711" w:type="pct"/>
            <w:vAlign w:val="center"/>
          </w:tcPr>
          <w:p>
            <w:pPr>
              <w:adjustRightInd w:val="0"/>
              <w:snapToGrid w:val="0"/>
              <w:jc w:val="center"/>
              <w:rPr>
                <w:rFonts w:ascii="Times New Roman" w:hAnsi="Times New Roman"/>
                <w:b/>
              </w:rPr>
            </w:pPr>
            <w:r>
              <w:rPr>
                <w:rFonts w:ascii="Times New Roman" w:hAnsi="Times New Roman"/>
                <w:b/>
              </w:rPr>
              <w:t>三口</w:t>
            </w:r>
          </w:p>
        </w:tc>
        <w:tc>
          <w:tcPr>
            <w:tcW w:w="711" w:type="pct"/>
            <w:vAlign w:val="center"/>
          </w:tcPr>
          <w:p>
            <w:pPr>
              <w:adjustRightInd w:val="0"/>
              <w:snapToGrid w:val="0"/>
              <w:jc w:val="center"/>
              <w:rPr>
                <w:rFonts w:ascii="Times New Roman" w:hAnsi="Times New Roman"/>
                <w:b/>
              </w:rPr>
            </w:pPr>
            <w:r>
              <w:rPr>
                <w:rFonts w:ascii="Times New Roman" w:hAnsi="Times New Roman"/>
                <w:b/>
              </w:rPr>
              <w:t>四水</w:t>
            </w:r>
          </w:p>
        </w:tc>
        <w:tc>
          <w:tcPr>
            <w:tcW w:w="708" w:type="pct"/>
            <w:vAlign w:val="center"/>
          </w:tcPr>
          <w:p>
            <w:pPr>
              <w:adjustRightInd w:val="0"/>
              <w:snapToGrid w:val="0"/>
              <w:jc w:val="center"/>
              <w:rPr>
                <w:rFonts w:ascii="Times New Roman" w:hAnsi="Times New Roman"/>
                <w:b/>
              </w:rPr>
            </w:pPr>
            <w:r>
              <w:rPr>
                <w:rFonts w:ascii="Times New Roman" w:hAnsi="Times New Roman"/>
                <w:b/>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7" w:type="pct"/>
            <w:vAlign w:val="center"/>
          </w:tcPr>
          <w:p>
            <w:pPr>
              <w:adjustRightInd w:val="0"/>
              <w:snapToGrid w:val="0"/>
              <w:jc w:val="center"/>
              <w:rPr>
                <w:rFonts w:ascii="Times New Roman" w:hAnsi="Times New Roman"/>
              </w:rPr>
            </w:pPr>
            <w:r>
              <w:rPr>
                <w:rFonts w:ascii="Times New Roman" w:hAnsi="Times New Roman"/>
              </w:rPr>
              <w:t>1956-1960</w:t>
            </w:r>
          </w:p>
        </w:tc>
        <w:tc>
          <w:tcPr>
            <w:tcW w:w="711" w:type="pct"/>
            <w:vAlign w:val="center"/>
          </w:tcPr>
          <w:p>
            <w:pPr>
              <w:adjustRightInd w:val="0"/>
              <w:snapToGrid w:val="0"/>
              <w:jc w:val="center"/>
              <w:rPr>
                <w:rFonts w:ascii="Times New Roman" w:hAnsi="Times New Roman"/>
              </w:rPr>
            </w:pPr>
            <w:r>
              <w:rPr>
                <w:rFonts w:ascii="Times New Roman" w:hAnsi="Times New Roman"/>
              </w:rPr>
              <w:t>1214</w:t>
            </w:r>
          </w:p>
        </w:tc>
        <w:tc>
          <w:tcPr>
            <w:tcW w:w="711" w:type="pct"/>
            <w:vAlign w:val="center"/>
          </w:tcPr>
          <w:p>
            <w:pPr>
              <w:adjustRightInd w:val="0"/>
              <w:snapToGrid w:val="0"/>
              <w:jc w:val="center"/>
              <w:rPr>
                <w:rFonts w:ascii="Times New Roman" w:hAnsi="Times New Roman"/>
              </w:rPr>
            </w:pPr>
            <w:r>
              <w:rPr>
                <w:rFonts w:ascii="Times New Roman" w:hAnsi="Times New Roman"/>
              </w:rPr>
              <w:t>1683</w:t>
            </w:r>
          </w:p>
        </w:tc>
        <w:tc>
          <w:tcPr>
            <w:tcW w:w="711" w:type="pct"/>
            <w:vAlign w:val="center"/>
          </w:tcPr>
          <w:p>
            <w:pPr>
              <w:adjustRightInd w:val="0"/>
              <w:snapToGrid w:val="0"/>
              <w:jc w:val="center"/>
              <w:rPr>
                <w:rFonts w:ascii="Times New Roman" w:hAnsi="Times New Roman"/>
              </w:rPr>
            </w:pPr>
            <w:r>
              <w:rPr>
                <w:rFonts w:ascii="Times New Roman" w:hAnsi="Times New Roman"/>
              </w:rPr>
              <w:t>2897</w:t>
            </w:r>
          </w:p>
        </w:tc>
        <w:tc>
          <w:tcPr>
            <w:tcW w:w="711" w:type="pct"/>
            <w:vAlign w:val="center"/>
          </w:tcPr>
          <w:p>
            <w:pPr>
              <w:adjustRightInd w:val="0"/>
              <w:snapToGrid w:val="0"/>
              <w:jc w:val="center"/>
              <w:rPr>
                <w:rFonts w:ascii="Times New Roman" w:hAnsi="Times New Roman"/>
              </w:rPr>
            </w:pPr>
            <w:r>
              <w:rPr>
                <w:rFonts w:ascii="Times New Roman" w:hAnsi="Times New Roman"/>
              </w:rPr>
              <w:t>1.867</w:t>
            </w:r>
          </w:p>
        </w:tc>
        <w:tc>
          <w:tcPr>
            <w:tcW w:w="711" w:type="pct"/>
            <w:vAlign w:val="center"/>
          </w:tcPr>
          <w:p>
            <w:pPr>
              <w:adjustRightInd w:val="0"/>
              <w:snapToGrid w:val="0"/>
              <w:jc w:val="center"/>
              <w:rPr>
                <w:rFonts w:ascii="Times New Roman" w:hAnsi="Times New Roman"/>
              </w:rPr>
            </w:pPr>
            <w:r>
              <w:rPr>
                <w:rFonts w:ascii="Times New Roman" w:hAnsi="Times New Roman"/>
              </w:rPr>
              <w:t>0.394</w:t>
            </w:r>
          </w:p>
        </w:tc>
        <w:tc>
          <w:tcPr>
            <w:tcW w:w="708" w:type="pct"/>
            <w:vAlign w:val="center"/>
          </w:tcPr>
          <w:p>
            <w:pPr>
              <w:adjustRightInd w:val="0"/>
              <w:snapToGrid w:val="0"/>
              <w:jc w:val="center"/>
              <w:rPr>
                <w:rFonts w:ascii="Times New Roman" w:hAnsi="Times New Roman"/>
              </w:rPr>
            </w:pPr>
            <w:r>
              <w:rPr>
                <w:rFonts w:ascii="Times New Roman" w:hAnsi="Times New Roman"/>
              </w:rPr>
              <w:t>2.262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7" w:type="pct"/>
            <w:vAlign w:val="center"/>
          </w:tcPr>
          <w:p>
            <w:pPr>
              <w:adjustRightInd w:val="0"/>
              <w:snapToGrid w:val="0"/>
              <w:jc w:val="center"/>
              <w:rPr>
                <w:rFonts w:ascii="Times New Roman" w:hAnsi="Times New Roman"/>
              </w:rPr>
            </w:pPr>
            <w:r>
              <w:rPr>
                <w:rFonts w:ascii="Times New Roman" w:hAnsi="Times New Roman"/>
              </w:rPr>
              <w:t>1961-1970</w:t>
            </w:r>
          </w:p>
        </w:tc>
        <w:tc>
          <w:tcPr>
            <w:tcW w:w="711" w:type="pct"/>
            <w:vAlign w:val="center"/>
          </w:tcPr>
          <w:p>
            <w:pPr>
              <w:adjustRightInd w:val="0"/>
              <w:snapToGrid w:val="0"/>
              <w:jc w:val="center"/>
              <w:rPr>
                <w:rFonts w:ascii="Times New Roman" w:hAnsi="Times New Roman"/>
              </w:rPr>
            </w:pPr>
            <w:r>
              <w:rPr>
                <w:rFonts w:ascii="Times New Roman" w:hAnsi="Times New Roman"/>
              </w:rPr>
              <w:t>1333</w:t>
            </w:r>
          </w:p>
        </w:tc>
        <w:tc>
          <w:tcPr>
            <w:tcW w:w="711" w:type="pct"/>
            <w:vAlign w:val="center"/>
          </w:tcPr>
          <w:p>
            <w:pPr>
              <w:adjustRightInd w:val="0"/>
              <w:snapToGrid w:val="0"/>
              <w:jc w:val="center"/>
              <w:rPr>
                <w:rFonts w:ascii="Times New Roman" w:hAnsi="Times New Roman"/>
              </w:rPr>
            </w:pPr>
            <w:r>
              <w:rPr>
                <w:rFonts w:ascii="Times New Roman" w:hAnsi="Times New Roman"/>
              </w:rPr>
              <w:t>1699</w:t>
            </w:r>
          </w:p>
        </w:tc>
        <w:tc>
          <w:tcPr>
            <w:tcW w:w="711" w:type="pct"/>
            <w:vAlign w:val="center"/>
          </w:tcPr>
          <w:p>
            <w:pPr>
              <w:adjustRightInd w:val="0"/>
              <w:snapToGrid w:val="0"/>
              <w:jc w:val="center"/>
              <w:rPr>
                <w:rFonts w:ascii="Times New Roman" w:hAnsi="Times New Roman"/>
              </w:rPr>
            </w:pPr>
            <w:r>
              <w:rPr>
                <w:rFonts w:ascii="Times New Roman" w:hAnsi="Times New Roman"/>
              </w:rPr>
              <w:t>3032</w:t>
            </w:r>
          </w:p>
        </w:tc>
        <w:tc>
          <w:tcPr>
            <w:tcW w:w="711" w:type="pct"/>
            <w:vAlign w:val="center"/>
          </w:tcPr>
          <w:p>
            <w:pPr>
              <w:adjustRightInd w:val="0"/>
              <w:snapToGrid w:val="0"/>
              <w:jc w:val="center"/>
              <w:rPr>
                <w:rFonts w:ascii="Times New Roman" w:hAnsi="Times New Roman"/>
              </w:rPr>
            </w:pPr>
            <w:r>
              <w:rPr>
                <w:rFonts w:ascii="Times New Roman" w:hAnsi="Times New Roman"/>
              </w:rPr>
              <w:t>1.9</w:t>
            </w:r>
          </w:p>
        </w:tc>
        <w:tc>
          <w:tcPr>
            <w:tcW w:w="711" w:type="pct"/>
            <w:vAlign w:val="center"/>
          </w:tcPr>
          <w:p>
            <w:pPr>
              <w:adjustRightInd w:val="0"/>
              <w:snapToGrid w:val="0"/>
              <w:jc w:val="center"/>
              <w:rPr>
                <w:rFonts w:ascii="Times New Roman" w:hAnsi="Times New Roman"/>
              </w:rPr>
            </w:pPr>
            <w:r>
              <w:rPr>
                <w:rFonts w:ascii="Times New Roman" w:hAnsi="Times New Roman"/>
              </w:rPr>
              <w:t>0.366</w:t>
            </w:r>
          </w:p>
        </w:tc>
        <w:tc>
          <w:tcPr>
            <w:tcW w:w="708" w:type="pct"/>
            <w:vAlign w:val="center"/>
          </w:tcPr>
          <w:p>
            <w:pPr>
              <w:adjustRightInd w:val="0"/>
              <w:snapToGrid w:val="0"/>
              <w:jc w:val="center"/>
              <w:rPr>
                <w:rFonts w:ascii="Times New Roman" w:hAnsi="Times New Roman"/>
              </w:rPr>
            </w:pPr>
            <w:r>
              <w:rPr>
                <w:rFonts w:ascii="Times New Roman" w:hAnsi="Times New Roman"/>
              </w:rPr>
              <w:t>2.266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7" w:type="pct"/>
            <w:vAlign w:val="center"/>
          </w:tcPr>
          <w:p>
            <w:pPr>
              <w:adjustRightInd w:val="0"/>
              <w:snapToGrid w:val="0"/>
              <w:jc w:val="center"/>
              <w:rPr>
                <w:rFonts w:ascii="Times New Roman" w:hAnsi="Times New Roman"/>
              </w:rPr>
            </w:pPr>
            <w:r>
              <w:rPr>
                <w:rFonts w:ascii="Times New Roman" w:hAnsi="Times New Roman"/>
              </w:rPr>
              <w:t>1971-1980</w:t>
            </w:r>
          </w:p>
        </w:tc>
        <w:tc>
          <w:tcPr>
            <w:tcW w:w="711" w:type="pct"/>
            <w:vAlign w:val="center"/>
          </w:tcPr>
          <w:p>
            <w:pPr>
              <w:adjustRightInd w:val="0"/>
              <w:snapToGrid w:val="0"/>
              <w:jc w:val="center"/>
              <w:rPr>
                <w:rFonts w:ascii="Times New Roman" w:hAnsi="Times New Roman"/>
              </w:rPr>
            </w:pPr>
            <w:r>
              <w:rPr>
                <w:rFonts w:ascii="Times New Roman" w:hAnsi="Times New Roman"/>
              </w:rPr>
              <w:t>809</w:t>
            </w:r>
          </w:p>
        </w:tc>
        <w:tc>
          <w:tcPr>
            <w:tcW w:w="711" w:type="pct"/>
            <w:vAlign w:val="center"/>
          </w:tcPr>
          <w:p>
            <w:pPr>
              <w:adjustRightInd w:val="0"/>
              <w:snapToGrid w:val="0"/>
              <w:jc w:val="center"/>
              <w:rPr>
                <w:rFonts w:ascii="Times New Roman" w:hAnsi="Times New Roman"/>
              </w:rPr>
            </w:pPr>
            <w:r>
              <w:rPr>
                <w:rFonts w:ascii="Times New Roman" w:hAnsi="Times New Roman"/>
              </w:rPr>
              <w:t>1639</w:t>
            </w:r>
          </w:p>
        </w:tc>
        <w:tc>
          <w:tcPr>
            <w:tcW w:w="711" w:type="pct"/>
            <w:vAlign w:val="center"/>
          </w:tcPr>
          <w:p>
            <w:pPr>
              <w:adjustRightInd w:val="0"/>
              <w:snapToGrid w:val="0"/>
              <w:jc w:val="center"/>
              <w:rPr>
                <w:rFonts w:ascii="Times New Roman" w:hAnsi="Times New Roman"/>
              </w:rPr>
            </w:pPr>
            <w:r>
              <w:rPr>
                <w:rFonts w:ascii="Times New Roman" w:hAnsi="Times New Roman"/>
              </w:rPr>
              <w:t>2448</w:t>
            </w:r>
          </w:p>
        </w:tc>
        <w:tc>
          <w:tcPr>
            <w:tcW w:w="711" w:type="pct"/>
            <w:vAlign w:val="center"/>
          </w:tcPr>
          <w:p>
            <w:pPr>
              <w:adjustRightInd w:val="0"/>
              <w:snapToGrid w:val="0"/>
              <w:jc w:val="center"/>
              <w:rPr>
                <w:rFonts w:ascii="Times New Roman" w:hAnsi="Times New Roman"/>
              </w:rPr>
            </w:pPr>
            <w:r>
              <w:rPr>
                <w:rFonts w:ascii="Times New Roman" w:hAnsi="Times New Roman"/>
              </w:rPr>
              <w:t>1.06</w:t>
            </w:r>
          </w:p>
        </w:tc>
        <w:tc>
          <w:tcPr>
            <w:tcW w:w="711" w:type="pct"/>
            <w:vAlign w:val="center"/>
          </w:tcPr>
          <w:p>
            <w:pPr>
              <w:adjustRightInd w:val="0"/>
              <w:snapToGrid w:val="0"/>
              <w:jc w:val="center"/>
              <w:rPr>
                <w:rFonts w:ascii="Times New Roman" w:hAnsi="Times New Roman"/>
              </w:rPr>
            </w:pPr>
            <w:r>
              <w:rPr>
                <w:rFonts w:ascii="Times New Roman" w:hAnsi="Times New Roman"/>
              </w:rPr>
              <w:t>0.343</w:t>
            </w:r>
          </w:p>
        </w:tc>
        <w:tc>
          <w:tcPr>
            <w:tcW w:w="708" w:type="pct"/>
            <w:vAlign w:val="center"/>
          </w:tcPr>
          <w:p>
            <w:pPr>
              <w:adjustRightInd w:val="0"/>
              <w:snapToGrid w:val="0"/>
              <w:jc w:val="center"/>
              <w:rPr>
                <w:rFonts w:ascii="Times New Roman" w:hAnsi="Times New Roman"/>
              </w:rPr>
            </w:pPr>
            <w:r>
              <w:rPr>
                <w:rFonts w:ascii="Times New Roman" w:hAnsi="Times New Roman"/>
              </w:rPr>
              <w:t>1.403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7" w:type="pct"/>
            <w:vAlign w:val="center"/>
          </w:tcPr>
          <w:p>
            <w:pPr>
              <w:adjustRightInd w:val="0"/>
              <w:snapToGrid w:val="0"/>
              <w:jc w:val="center"/>
              <w:rPr>
                <w:rFonts w:ascii="Times New Roman" w:hAnsi="Times New Roman"/>
              </w:rPr>
            </w:pPr>
            <w:r>
              <w:rPr>
                <w:rFonts w:ascii="Times New Roman" w:hAnsi="Times New Roman"/>
              </w:rPr>
              <w:t>1981-1990</w:t>
            </w:r>
          </w:p>
        </w:tc>
        <w:tc>
          <w:tcPr>
            <w:tcW w:w="711" w:type="pct"/>
            <w:vAlign w:val="center"/>
          </w:tcPr>
          <w:p>
            <w:pPr>
              <w:adjustRightInd w:val="0"/>
              <w:snapToGrid w:val="0"/>
              <w:jc w:val="center"/>
              <w:rPr>
                <w:rFonts w:ascii="Times New Roman" w:hAnsi="Times New Roman"/>
              </w:rPr>
            </w:pPr>
            <w:r>
              <w:rPr>
                <w:rFonts w:ascii="Times New Roman" w:hAnsi="Times New Roman"/>
              </w:rPr>
              <w:t>761</w:t>
            </w:r>
          </w:p>
        </w:tc>
        <w:tc>
          <w:tcPr>
            <w:tcW w:w="711" w:type="pct"/>
            <w:vAlign w:val="center"/>
          </w:tcPr>
          <w:p>
            <w:pPr>
              <w:adjustRightInd w:val="0"/>
              <w:snapToGrid w:val="0"/>
              <w:jc w:val="center"/>
              <w:rPr>
                <w:rFonts w:ascii="Times New Roman" w:hAnsi="Times New Roman"/>
              </w:rPr>
            </w:pPr>
            <w:r>
              <w:rPr>
                <w:rFonts w:ascii="Times New Roman" w:hAnsi="Times New Roman"/>
              </w:rPr>
              <w:t>1556</w:t>
            </w:r>
          </w:p>
        </w:tc>
        <w:tc>
          <w:tcPr>
            <w:tcW w:w="711" w:type="pct"/>
            <w:vAlign w:val="center"/>
          </w:tcPr>
          <w:p>
            <w:pPr>
              <w:adjustRightInd w:val="0"/>
              <w:snapToGrid w:val="0"/>
              <w:jc w:val="center"/>
              <w:rPr>
                <w:rFonts w:ascii="Times New Roman" w:hAnsi="Times New Roman"/>
              </w:rPr>
            </w:pPr>
            <w:r>
              <w:rPr>
                <w:rFonts w:ascii="Times New Roman" w:hAnsi="Times New Roman"/>
              </w:rPr>
              <w:t>2317</w:t>
            </w:r>
          </w:p>
        </w:tc>
        <w:tc>
          <w:tcPr>
            <w:tcW w:w="711" w:type="pct"/>
            <w:vAlign w:val="center"/>
          </w:tcPr>
          <w:p>
            <w:pPr>
              <w:adjustRightInd w:val="0"/>
              <w:snapToGrid w:val="0"/>
              <w:jc w:val="center"/>
              <w:rPr>
                <w:rFonts w:ascii="Times New Roman" w:hAnsi="Times New Roman"/>
              </w:rPr>
            </w:pPr>
            <w:r>
              <w:rPr>
                <w:rFonts w:ascii="Times New Roman" w:hAnsi="Times New Roman"/>
              </w:rPr>
              <w:t>1.09</w:t>
            </w:r>
          </w:p>
        </w:tc>
        <w:tc>
          <w:tcPr>
            <w:tcW w:w="711" w:type="pct"/>
            <w:vAlign w:val="center"/>
          </w:tcPr>
          <w:p>
            <w:pPr>
              <w:adjustRightInd w:val="0"/>
              <w:snapToGrid w:val="0"/>
              <w:jc w:val="center"/>
              <w:rPr>
                <w:rFonts w:ascii="Times New Roman" w:hAnsi="Times New Roman"/>
              </w:rPr>
            </w:pPr>
            <w:r>
              <w:rPr>
                <w:rFonts w:ascii="Times New Roman" w:hAnsi="Times New Roman"/>
              </w:rPr>
              <w:t>0.238</w:t>
            </w:r>
          </w:p>
        </w:tc>
        <w:tc>
          <w:tcPr>
            <w:tcW w:w="708" w:type="pct"/>
            <w:vAlign w:val="center"/>
          </w:tcPr>
          <w:p>
            <w:pPr>
              <w:adjustRightInd w:val="0"/>
              <w:snapToGrid w:val="0"/>
              <w:jc w:val="center"/>
              <w:rPr>
                <w:rFonts w:ascii="Times New Roman" w:hAnsi="Times New Roman"/>
              </w:rPr>
            </w:pPr>
            <w:r>
              <w:rPr>
                <w:rFonts w:ascii="Times New Roman" w:hAnsi="Times New Roman"/>
              </w:rPr>
              <w:t>1.328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7" w:type="pct"/>
            <w:vAlign w:val="center"/>
          </w:tcPr>
          <w:p>
            <w:pPr>
              <w:adjustRightInd w:val="0"/>
              <w:snapToGrid w:val="0"/>
              <w:jc w:val="center"/>
              <w:rPr>
                <w:rFonts w:ascii="Times New Roman" w:hAnsi="Times New Roman"/>
              </w:rPr>
            </w:pPr>
            <w:r>
              <w:rPr>
                <w:rFonts w:ascii="Times New Roman" w:hAnsi="Times New Roman"/>
              </w:rPr>
              <w:t>1991-2000</w:t>
            </w:r>
          </w:p>
        </w:tc>
        <w:tc>
          <w:tcPr>
            <w:tcW w:w="711" w:type="pct"/>
            <w:vAlign w:val="center"/>
          </w:tcPr>
          <w:p>
            <w:pPr>
              <w:adjustRightInd w:val="0"/>
              <w:snapToGrid w:val="0"/>
              <w:jc w:val="center"/>
              <w:rPr>
                <w:rFonts w:ascii="Times New Roman" w:hAnsi="Times New Roman"/>
              </w:rPr>
            </w:pPr>
            <w:r>
              <w:rPr>
                <w:rFonts w:ascii="Times New Roman" w:hAnsi="Times New Roman"/>
              </w:rPr>
              <w:t>647</w:t>
            </w:r>
          </w:p>
        </w:tc>
        <w:tc>
          <w:tcPr>
            <w:tcW w:w="711" w:type="pct"/>
            <w:vAlign w:val="center"/>
          </w:tcPr>
          <w:p>
            <w:pPr>
              <w:adjustRightInd w:val="0"/>
              <w:snapToGrid w:val="0"/>
              <w:jc w:val="center"/>
              <w:rPr>
                <w:rFonts w:ascii="Times New Roman" w:hAnsi="Times New Roman"/>
              </w:rPr>
            </w:pPr>
            <w:r>
              <w:rPr>
                <w:rFonts w:ascii="Times New Roman" w:hAnsi="Times New Roman"/>
              </w:rPr>
              <w:t>1862</w:t>
            </w:r>
          </w:p>
        </w:tc>
        <w:tc>
          <w:tcPr>
            <w:tcW w:w="711" w:type="pct"/>
            <w:vAlign w:val="center"/>
          </w:tcPr>
          <w:p>
            <w:pPr>
              <w:adjustRightInd w:val="0"/>
              <w:snapToGrid w:val="0"/>
              <w:jc w:val="center"/>
              <w:rPr>
                <w:rFonts w:ascii="Times New Roman" w:hAnsi="Times New Roman"/>
              </w:rPr>
            </w:pPr>
            <w:r>
              <w:rPr>
                <w:rFonts w:ascii="Times New Roman" w:hAnsi="Times New Roman"/>
              </w:rPr>
              <w:t>2509</w:t>
            </w:r>
          </w:p>
        </w:tc>
        <w:tc>
          <w:tcPr>
            <w:tcW w:w="711" w:type="pct"/>
            <w:vAlign w:val="center"/>
          </w:tcPr>
          <w:p>
            <w:pPr>
              <w:adjustRightInd w:val="0"/>
              <w:snapToGrid w:val="0"/>
              <w:jc w:val="center"/>
              <w:rPr>
                <w:rFonts w:ascii="Times New Roman" w:hAnsi="Times New Roman"/>
              </w:rPr>
            </w:pPr>
            <w:r>
              <w:rPr>
                <w:rFonts w:ascii="Times New Roman" w:hAnsi="Times New Roman"/>
              </w:rPr>
              <w:t>0.73</w:t>
            </w:r>
          </w:p>
        </w:tc>
        <w:tc>
          <w:tcPr>
            <w:tcW w:w="711" w:type="pct"/>
            <w:vAlign w:val="center"/>
          </w:tcPr>
          <w:p>
            <w:pPr>
              <w:adjustRightInd w:val="0"/>
              <w:snapToGrid w:val="0"/>
              <w:jc w:val="center"/>
              <w:rPr>
                <w:rFonts w:ascii="Times New Roman" w:hAnsi="Times New Roman"/>
              </w:rPr>
            </w:pPr>
            <w:r>
              <w:rPr>
                <w:rFonts w:ascii="Times New Roman" w:hAnsi="Times New Roman"/>
              </w:rPr>
              <w:t>0.245</w:t>
            </w:r>
          </w:p>
        </w:tc>
        <w:tc>
          <w:tcPr>
            <w:tcW w:w="708" w:type="pct"/>
            <w:vAlign w:val="center"/>
          </w:tcPr>
          <w:p>
            <w:pPr>
              <w:adjustRightInd w:val="0"/>
              <w:snapToGrid w:val="0"/>
              <w:jc w:val="center"/>
              <w:rPr>
                <w:rFonts w:ascii="Times New Roman" w:hAnsi="Times New Roman"/>
              </w:rPr>
            </w:pPr>
            <w:r>
              <w:rPr>
                <w:rFonts w:ascii="Times New Roman" w:hAnsi="Times New Roman"/>
              </w:rPr>
              <w:t>0.975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37" w:type="pct"/>
            <w:vAlign w:val="center"/>
          </w:tcPr>
          <w:p>
            <w:pPr>
              <w:adjustRightInd w:val="0"/>
              <w:snapToGrid w:val="0"/>
              <w:jc w:val="center"/>
              <w:rPr>
                <w:rFonts w:ascii="Times New Roman" w:hAnsi="Times New Roman"/>
              </w:rPr>
            </w:pPr>
            <w:r>
              <w:rPr>
                <w:rFonts w:ascii="Times New Roman" w:hAnsi="Times New Roman"/>
              </w:rPr>
              <w:t>2001-2009</w:t>
            </w:r>
          </w:p>
        </w:tc>
        <w:tc>
          <w:tcPr>
            <w:tcW w:w="711" w:type="pct"/>
            <w:vAlign w:val="center"/>
          </w:tcPr>
          <w:p>
            <w:pPr>
              <w:adjustRightInd w:val="0"/>
              <w:snapToGrid w:val="0"/>
              <w:jc w:val="center"/>
              <w:rPr>
                <w:rFonts w:ascii="Times New Roman" w:hAnsi="Times New Roman"/>
              </w:rPr>
            </w:pPr>
            <w:r>
              <w:rPr>
                <w:rFonts w:ascii="Times New Roman" w:hAnsi="Times New Roman"/>
              </w:rPr>
              <w:t>482</w:t>
            </w:r>
          </w:p>
        </w:tc>
        <w:tc>
          <w:tcPr>
            <w:tcW w:w="711" w:type="pct"/>
            <w:vAlign w:val="center"/>
          </w:tcPr>
          <w:p>
            <w:pPr>
              <w:adjustRightInd w:val="0"/>
              <w:snapToGrid w:val="0"/>
              <w:jc w:val="center"/>
              <w:rPr>
                <w:rFonts w:ascii="Times New Roman" w:hAnsi="Times New Roman"/>
              </w:rPr>
            </w:pPr>
            <w:r>
              <w:rPr>
                <w:rFonts w:ascii="Times New Roman" w:hAnsi="Times New Roman"/>
              </w:rPr>
              <w:t>1702</w:t>
            </w:r>
          </w:p>
        </w:tc>
        <w:tc>
          <w:tcPr>
            <w:tcW w:w="711" w:type="pct"/>
            <w:vAlign w:val="center"/>
          </w:tcPr>
          <w:p>
            <w:pPr>
              <w:adjustRightInd w:val="0"/>
              <w:snapToGrid w:val="0"/>
              <w:jc w:val="center"/>
              <w:rPr>
                <w:rFonts w:ascii="Times New Roman" w:hAnsi="Times New Roman"/>
              </w:rPr>
            </w:pPr>
            <w:r>
              <w:rPr>
                <w:rFonts w:ascii="Times New Roman" w:hAnsi="Times New Roman"/>
              </w:rPr>
              <w:t>2184</w:t>
            </w:r>
          </w:p>
        </w:tc>
        <w:tc>
          <w:tcPr>
            <w:tcW w:w="711" w:type="pct"/>
            <w:vAlign w:val="center"/>
          </w:tcPr>
          <w:p>
            <w:pPr>
              <w:adjustRightInd w:val="0"/>
              <w:snapToGrid w:val="0"/>
              <w:jc w:val="center"/>
              <w:rPr>
                <w:rFonts w:ascii="Times New Roman" w:hAnsi="Times New Roman"/>
              </w:rPr>
            </w:pPr>
            <w:r>
              <w:rPr>
                <w:rFonts w:ascii="Times New Roman" w:hAnsi="Times New Roman"/>
              </w:rPr>
              <w:t>0.14</w:t>
            </w:r>
          </w:p>
        </w:tc>
        <w:tc>
          <w:tcPr>
            <w:tcW w:w="711" w:type="pct"/>
            <w:vAlign w:val="center"/>
          </w:tcPr>
          <w:p>
            <w:pPr>
              <w:adjustRightInd w:val="0"/>
              <w:snapToGrid w:val="0"/>
              <w:jc w:val="center"/>
              <w:rPr>
                <w:rFonts w:ascii="Times New Roman" w:hAnsi="Times New Roman"/>
              </w:rPr>
            </w:pPr>
            <w:r>
              <w:rPr>
                <w:rFonts w:ascii="Times New Roman" w:hAnsi="Times New Roman"/>
              </w:rPr>
              <w:t>0.118</w:t>
            </w:r>
          </w:p>
        </w:tc>
        <w:tc>
          <w:tcPr>
            <w:tcW w:w="708" w:type="pct"/>
            <w:vAlign w:val="center"/>
          </w:tcPr>
          <w:p>
            <w:pPr>
              <w:adjustRightInd w:val="0"/>
              <w:snapToGrid w:val="0"/>
              <w:jc w:val="center"/>
              <w:rPr>
                <w:rFonts w:ascii="Times New Roman" w:hAnsi="Times New Roman"/>
              </w:rPr>
            </w:pPr>
            <w:r>
              <w:rPr>
                <w:rFonts w:ascii="Times New Roman" w:hAnsi="Times New Roman"/>
              </w:rPr>
              <w:t>0.258</w:t>
            </w:r>
          </w:p>
        </w:tc>
      </w:tr>
    </w:tbl>
    <w:p>
      <w:pPr>
        <w:widowControl/>
        <w:adjustRightInd w:val="0"/>
        <w:snapToGrid w:val="0"/>
        <w:spacing w:line="360" w:lineRule="auto"/>
        <w:ind w:firstLine="480" w:firstLineChars="200"/>
        <w:rPr>
          <w:rFonts w:ascii="Times New Roman" w:hAnsi="Times New Roman" w:eastAsiaTheme="minorEastAsia"/>
          <w:color w:val="000000"/>
          <w:sz w:val="24"/>
        </w:rPr>
      </w:pPr>
    </w:p>
    <w:p>
      <w:pPr>
        <w:widowControl/>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由上表可以看出三口分流在逐渐的减少，而四水来水量则略增大。在1956~1960年期间，三口来水量占入湖总量的41.9%，比四水略小，而到2001~2009年期间，三口来水量仅占入湖总量的22.1%，远小于四水的77.9%。</w:t>
      </w:r>
    </w:p>
    <w:p>
      <w:pPr>
        <w:widowControl/>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在1956~1960年期间，三口来沙量占入湖总量的82.5%，远大于四水来沙量，但到2001~2009年期间，三口来沙量占入湖总量的54.3%，却与四水的45.7%相当，说明三口进入洞庭湖的沙量明显减少，四水来沙量比例则相应有所增加。</w:t>
      </w:r>
    </w:p>
    <w:p>
      <w:pPr>
        <w:widowControl/>
        <w:adjustRightInd w:val="0"/>
        <w:snapToGrid w:val="0"/>
        <w:spacing w:line="360" w:lineRule="auto"/>
        <w:ind w:firstLine="482" w:firstLineChars="200"/>
        <w:rPr>
          <w:rFonts w:ascii="Times New Roman" w:hAnsi="Times New Roman" w:eastAsiaTheme="minorEastAsia"/>
          <w:b/>
          <w:color w:val="000000"/>
          <w:sz w:val="24"/>
        </w:rPr>
      </w:pPr>
      <w:r>
        <w:rPr>
          <w:rFonts w:ascii="Times New Roman" w:hAnsi="Times New Roman" w:eastAsiaTheme="minorEastAsia"/>
          <w:b/>
          <w:color w:val="000000"/>
          <w:sz w:val="24"/>
        </w:rPr>
        <w:t>3、河势演变</w:t>
      </w:r>
    </w:p>
    <w:p>
      <w:pPr>
        <w:widowControl/>
        <w:adjustRightInd w:val="0"/>
        <w:snapToGrid w:val="0"/>
        <w:spacing w:line="360" w:lineRule="auto"/>
        <w:ind w:firstLine="480" w:firstLineChars="200"/>
        <w:rPr>
          <w:rFonts w:ascii="Times New Roman" w:hAnsi="Times New Roman" w:eastAsiaTheme="minorEastAsia"/>
          <w:color w:val="000000"/>
          <w:sz w:val="24"/>
        </w:rPr>
      </w:pPr>
      <w:r>
        <w:rPr>
          <w:rFonts w:hint="eastAsia" w:ascii="宋体" w:hAnsi="宋体" w:cs="宋体"/>
          <w:color w:val="000000"/>
          <w:sz w:val="24"/>
        </w:rPr>
        <w:t>⑴</w:t>
      </w:r>
      <w:r>
        <w:rPr>
          <w:rFonts w:ascii="Times New Roman" w:hAnsi="Times New Roman" w:eastAsiaTheme="minorEastAsia"/>
          <w:color w:val="000000"/>
          <w:sz w:val="24"/>
        </w:rPr>
        <w:t xml:space="preserve"> 河道概况</w:t>
      </w:r>
    </w:p>
    <w:p>
      <w:pPr>
        <w:widowControl/>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本项目位于长江中游仙峰水道上段城陵矶擂鼓台下游约600m处的长江右岸。</w:t>
      </w:r>
    </w:p>
    <w:p>
      <w:pPr>
        <w:widowControl/>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城陵矶地处长江与洞庭湖交汇处，工程河段沿长江往上为观音洲水道，该水道全长约10km，属弯曲河段，沙质河床。水道右岸有泥滩洲边滩，下口有洞庭湖湖口汇流。城陵矶至上游湖区南津港长约13.6km，属洞庭湖区航道，连接湘、资、沅、澧和长江。汛期江河涨水，湖区一片汪洋，枯水期洲滩出露，缩窄为河。在岳阳港对面河心有联络洲，主航道在洲的右汊，航道等级为</w:t>
      </w:r>
      <w:r>
        <w:rPr>
          <w:rFonts w:hint="eastAsia" w:ascii="宋体" w:hAnsi="宋体" w:cs="宋体"/>
          <w:color w:val="000000"/>
          <w:sz w:val="24"/>
        </w:rPr>
        <w:t>Ⅲ</w:t>
      </w:r>
      <w:r>
        <w:rPr>
          <w:rFonts w:ascii="Times New Roman" w:hAnsi="Times New Roman" w:eastAsiaTheme="minorEastAsia"/>
          <w:color w:val="000000"/>
          <w:sz w:val="24"/>
        </w:rPr>
        <w:t>级，过刘公矶深泓偏左，至城陵矶靠右岸汇入长江。</w:t>
      </w:r>
    </w:p>
    <w:p>
      <w:pPr>
        <w:widowControl/>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城陵矶往下至螺山段长约25km，属长江中游河段，该河段集洞庭湖和荆江来水，水量充沛，江面宽阔。受地质构造影响，沿江有一系列山体和阶地濒临江边，头部为城陵矶，中部为道人矶与白螺山，尾部为龙头山与杨林山。它们隔江对峙，构成了控制河势的节点，节点间河床展宽，河心淤成洲滩，河床平面形态顺直分汊，宽窄相间，呈现藕节状。</w:t>
      </w:r>
    </w:p>
    <w:p>
      <w:pPr>
        <w:widowControl/>
        <w:adjustRightInd w:val="0"/>
        <w:snapToGrid w:val="0"/>
        <w:spacing w:line="360" w:lineRule="auto"/>
        <w:ind w:firstLine="480" w:firstLineChars="200"/>
        <w:rPr>
          <w:rFonts w:ascii="Times New Roman" w:hAnsi="Times New Roman" w:eastAsiaTheme="minorEastAsia"/>
          <w:color w:val="000000"/>
          <w:sz w:val="24"/>
        </w:rPr>
      </w:pPr>
      <w:r>
        <w:rPr>
          <w:rFonts w:hint="eastAsia" w:ascii="宋体" w:hAnsi="宋体" w:cs="宋体"/>
          <w:color w:val="000000"/>
          <w:sz w:val="24"/>
        </w:rPr>
        <w:t>⑵</w:t>
      </w:r>
      <w:r>
        <w:rPr>
          <w:rFonts w:ascii="Times New Roman" w:hAnsi="Times New Roman" w:eastAsiaTheme="minorEastAsia"/>
          <w:color w:val="000000"/>
          <w:sz w:val="24"/>
        </w:rPr>
        <w:t xml:space="preserve"> 河势演变分析</w:t>
      </w:r>
    </w:p>
    <w:p>
      <w:pPr>
        <w:widowControl/>
        <w:adjustRightInd w:val="0"/>
        <w:snapToGrid w:val="0"/>
        <w:spacing w:line="360" w:lineRule="auto"/>
        <w:ind w:firstLine="480" w:firstLineChars="200"/>
        <w:rPr>
          <w:rFonts w:ascii="Times New Roman" w:hAnsi="Times New Roman" w:eastAsiaTheme="minorEastAsia"/>
          <w:color w:val="000000"/>
          <w:sz w:val="24"/>
        </w:rPr>
      </w:pPr>
      <w:r>
        <w:rPr>
          <w:rFonts w:hint="eastAsia" w:ascii="宋体" w:hAnsi="宋体" w:cs="宋体"/>
          <w:color w:val="000000"/>
          <w:sz w:val="24"/>
        </w:rPr>
        <w:t>①</w:t>
      </w:r>
      <w:r>
        <w:rPr>
          <w:rFonts w:ascii="Times New Roman" w:hAnsi="Times New Roman" w:eastAsiaTheme="minorEastAsia"/>
          <w:color w:val="000000"/>
          <w:sz w:val="24"/>
        </w:rPr>
        <w:t xml:space="preserve"> 岸线平面变化</w:t>
      </w:r>
    </w:p>
    <w:p>
      <w:pPr>
        <w:widowControl/>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洞庭湖出口洪道段，左岸为芦苇滩地，右岸岳阳市至城陵矶建有防洪大堤，沿程有北门口山咀、城陵矶节点控制河势，洪道段岸线变化不大。近几十年来由于三口分流量减小，荆江出流量增大，水流趋直切割荆河垴边滩，使荆江出口左岸荆河垴上边滩冲刷崩退、下边滩淤积展宽。荆河脑凸岸上部20m等高线持续左移，年均左移42.1m。荆河脑凸岸下部总体淤积并逐渐展宽，20m等高线呈向右岸淤涨的趋势，其中1998年大洪水期间汇流段左岸冲刷崩退后又逐渐回淤，30年间20m等高线向右淤长约350m，年平均右移12.5m。</w:t>
      </w:r>
    </w:p>
    <w:p>
      <w:pPr>
        <w:widowControl/>
        <w:adjustRightInd w:val="0"/>
        <w:snapToGrid w:val="0"/>
        <w:spacing w:line="360" w:lineRule="auto"/>
        <w:ind w:firstLine="480" w:firstLineChars="200"/>
        <w:rPr>
          <w:rFonts w:ascii="Times New Roman" w:hAnsi="Times New Roman" w:eastAsiaTheme="minorEastAsia"/>
          <w:color w:val="000000"/>
          <w:sz w:val="24"/>
        </w:rPr>
      </w:pPr>
      <w:r>
        <w:rPr>
          <w:rFonts w:hint="eastAsia" w:ascii="宋体" w:hAnsi="宋体" w:cs="宋体"/>
          <w:color w:val="000000"/>
          <w:sz w:val="24"/>
        </w:rPr>
        <w:t>②</w:t>
      </w:r>
      <w:r>
        <w:rPr>
          <w:rFonts w:ascii="Times New Roman" w:hAnsi="Times New Roman" w:eastAsiaTheme="minorEastAsia"/>
          <w:color w:val="000000"/>
          <w:sz w:val="24"/>
        </w:rPr>
        <w:t xml:space="preserve"> 深泓平面变化</w:t>
      </w:r>
    </w:p>
    <w:p>
      <w:pPr>
        <w:widowControl/>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多年来工程河段深泓线基本保持相对稳定的态势。深泓由洞庭湖出口洪道上游进入七里山后基本居中而行，其后逐渐向右下行，在城陵矶附近与荆江出口河段的深泓线交汇。</w:t>
      </w:r>
    </w:p>
    <w:p>
      <w:pPr>
        <w:widowControl/>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在城陵矶~白螺矶（道人矶）对峙节点以上河段，1970~2008年间，深泓线平面变化较小，受上游弯道环流作用的影响，主流自上而下始终紧贴右岸下行，且这期间河段深泓线互有交错。这主要是由于城螺河段上游进口河段为洞庭湖与下荆江来水的汇流区，洞庭湖来水平稳进入本河段，下荆江来水则基本垂直从左岸进入本河段，逼向右岸的城陵矶，而本河段由于右岸地质条件良好，多年以来没有大的改变，致使主流的平面位置多年来都没有太大的变化。</w:t>
      </w:r>
    </w:p>
    <w:p>
      <w:pPr>
        <w:widowControl/>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在道人矶与杨林山河段之间，由于有南阳洲的存在，导致河道分汊，右汊为主航道。南阳洲左汊进口处深泓线平面变动较大，1998~2001年间主泓左摆幅度最大近600m左右，且分流点下移，而南阳洲右汊深泓线摆动较小，呈现较为稳定的态势；在此期间，南阳洲左、右汊深泓线汇流点均位于杨林山~龙头山一带，没有太明显的变化。</w:t>
      </w:r>
    </w:p>
    <w:p>
      <w:pPr>
        <w:widowControl/>
        <w:adjustRightInd w:val="0"/>
        <w:snapToGrid w:val="0"/>
        <w:spacing w:line="360" w:lineRule="auto"/>
        <w:ind w:firstLine="480" w:firstLineChars="200"/>
        <w:rPr>
          <w:rFonts w:ascii="Times New Roman" w:hAnsi="Times New Roman" w:eastAsiaTheme="minorEastAsia"/>
          <w:color w:val="000000"/>
          <w:sz w:val="24"/>
        </w:rPr>
      </w:pPr>
      <w:r>
        <w:rPr>
          <w:rFonts w:hint="eastAsia" w:ascii="宋体" w:hAnsi="宋体" w:cs="宋体"/>
          <w:color w:val="000000"/>
          <w:sz w:val="24"/>
        </w:rPr>
        <w:t>③</w:t>
      </w:r>
      <w:r>
        <w:rPr>
          <w:rFonts w:ascii="Times New Roman" w:hAnsi="Times New Roman" w:eastAsiaTheme="minorEastAsia"/>
          <w:color w:val="000000"/>
          <w:sz w:val="24"/>
        </w:rPr>
        <w:t xml:space="preserve"> 洲滩变化</w:t>
      </w:r>
    </w:p>
    <w:p>
      <w:pPr>
        <w:widowControl/>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历年来在拟建码头对岸偏下游位置形成仙峰洲，1970年仙峰洲已经成为完整的江心滩5m等深线的滩长、滩宽分别为3277m、649m，面积为1.43km</w:t>
      </w:r>
      <w:r>
        <w:rPr>
          <w:rFonts w:ascii="Times New Roman" w:hAnsi="Times New Roman" w:eastAsiaTheme="minorEastAsia"/>
          <w:color w:val="000000"/>
          <w:sz w:val="24"/>
          <w:vertAlign w:val="superscript"/>
        </w:rPr>
        <w:t>2</w:t>
      </w:r>
      <w:r>
        <w:rPr>
          <w:rFonts w:ascii="Times New Roman" w:hAnsi="Times New Roman" w:eastAsiaTheme="minorEastAsia"/>
          <w:color w:val="000000"/>
          <w:sz w:val="24"/>
        </w:rPr>
        <w:t>；下荆江裁弯后，江湖汇流段河床呈冲刷状态。1970~1981年间，随着城陵矶以下顶冲点的下移，中段北岸边滩逐渐淤长，仙峰洲北汊逐渐淤积，南汊冲刷，江心滩一部分被切割与北岸相连形成为边滩，此时的江心滩长、宽仅为952m、305m，面积大大减小，滩顶高程下降2.3m；1993年仙峰洲下移，滩体面积有所扩大，滩体右缘略有右移；至1998年，滩体遭遇大水冲刷，面积大大减小；1998~2001年间，边滩逐渐呈淤积趋势，不断向江心延伸，边滩又变成江心滩的雏形。至2008年，江心滩冲刷消失，而边滩滩体有所上移，其面积有所增大。</w:t>
      </w:r>
    </w:p>
    <w:p>
      <w:pPr>
        <w:widowControl/>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从以上分析来看，历年来工程河段左岸仙峰洲呈冲淤交替趋势，仅在1970年、1981年形成了较为完整的江心滩，1981年后至今，仙峰洲已消失形成边滩。从近年来的变化来看，码头区左岸的边滩规模有所减小，位置上亦有所上移，其发展较为缓慢，基本没有向右岸进一步淤进的趋势。</w:t>
      </w:r>
    </w:p>
    <w:p>
      <w:pPr>
        <w:widowControl/>
        <w:adjustRightInd w:val="0"/>
        <w:snapToGrid w:val="0"/>
        <w:spacing w:line="360" w:lineRule="auto"/>
        <w:ind w:firstLine="480" w:firstLineChars="200"/>
        <w:rPr>
          <w:rFonts w:ascii="Times New Roman" w:hAnsi="Times New Roman" w:eastAsiaTheme="minorEastAsia"/>
          <w:color w:val="000000"/>
          <w:sz w:val="24"/>
        </w:rPr>
      </w:pPr>
      <w:r>
        <w:rPr>
          <w:rFonts w:hint="eastAsia" w:ascii="宋体" w:hAnsi="宋体" w:cs="宋体"/>
          <w:color w:val="000000"/>
          <w:sz w:val="24"/>
        </w:rPr>
        <w:t>④</w:t>
      </w:r>
      <w:r>
        <w:rPr>
          <w:rFonts w:ascii="Times New Roman" w:hAnsi="Times New Roman" w:eastAsiaTheme="minorEastAsia"/>
          <w:color w:val="000000"/>
          <w:sz w:val="24"/>
        </w:rPr>
        <w:t xml:space="preserve"> 深槽变化</w:t>
      </w:r>
    </w:p>
    <w:p>
      <w:pPr>
        <w:widowControl/>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城螺河段在右岸城陵矶、道仁矶及左岸杨林山三处附近形成了较大的深槽。城陵矶附近深槽多年来平面位置稳定，1981年形成一个大的深槽，此后则一分为二，之后再次合二为一，深槽大小基本保持不变，1993年深槽面积为0.18km</w:t>
      </w:r>
      <w:r>
        <w:rPr>
          <w:rFonts w:ascii="Times New Roman" w:hAnsi="Times New Roman" w:eastAsiaTheme="minorEastAsia"/>
          <w:color w:val="000000"/>
          <w:sz w:val="24"/>
          <w:vertAlign w:val="superscript"/>
        </w:rPr>
        <w:t>2</w:t>
      </w:r>
      <w:r>
        <w:rPr>
          <w:rFonts w:ascii="Times New Roman" w:hAnsi="Times New Roman" w:eastAsiaTheme="minorEastAsia"/>
          <w:color w:val="000000"/>
          <w:sz w:val="24"/>
        </w:rPr>
        <w:t>，1993~2006年间，深槽头部大幅向上移动，面积随之增大，其尾部略有下延，左右缘均受到冲刷。道人矶右岸深槽则有较大变化，1970年，深槽长约为1km，面积约为0.11km</w:t>
      </w:r>
      <w:r>
        <w:rPr>
          <w:rFonts w:ascii="Times New Roman" w:hAnsi="Times New Roman" w:eastAsiaTheme="minorEastAsia"/>
          <w:color w:val="000000"/>
          <w:sz w:val="24"/>
          <w:vertAlign w:val="superscript"/>
        </w:rPr>
        <w:t>2</w:t>
      </w:r>
      <w:r>
        <w:rPr>
          <w:rFonts w:ascii="Times New Roman" w:hAnsi="Times New Roman" w:eastAsiaTheme="minorEastAsia"/>
          <w:color w:val="000000"/>
          <w:sz w:val="24"/>
        </w:rPr>
        <w:t>，1981年，深槽尾部上移近300m，而深槽首部基本稳定，其面积明显减小，至1993年深槽则显著增大，其首部向上延伸，尾部下移，其面积增至0.24km</w:t>
      </w:r>
      <w:r>
        <w:rPr>
          <w:rFonts w:ascii="Times New Roman" w:hAnsi="Times New Roman" w:eastAsiaTheme="minorEastAsia"/>
          <w:color w:val="000000"/>
          <w:sz w:val="24"/>
          <w:vertAlign w:val="superscript"/>
        </w:rPr>
        <w:t>2</w:t>
      </w:r>
      <w:r>
        <w:rPr>
          <w:rFonts w:ascii="Times New Roman" w:hAnsi="Times New Roman" w:eastAsiaTheme="minorEastAsia"/>
          <w:color w:val="000000"/>
          <w:sz w:val="24"/>
        </w:rPr>
        <w:t>，到1998年，此处深槽急剧减小，面积仅为0.013km</w:t>
      </w:r>
      <w:r>
        <w:rPr>
          <w:rFonts w:ascii="Times New Roman" w:hAnsi="Times New Roman" w:eastAsiaTheme="minorEastAsia"/>
          <w:color w:val="000000"/>
          <w:sz w:val="24"/>
          <w:vertAlign w:val="superscript"/>
        </w:rPr>
        <w:t>2</w:t>
      </w:r>
      <w:r>
        <w:rPr>
          <w:rFonts w:ascii="Times New Roman" w:hAnsi="Times New Roman" w:eastAsiaTheme="minorEastAsia"/>
          <w:color w:val="000000"/>
          <w:sz w:val="24"/>
        </w:rPr>
        <w:t>，2001年深槽再次变大，其尾部下延近500m，而其头部基本稳定，深槽面积增至0.07km</w:t>
      </w:r>
      <w:r>
        <w:rPr>
          <w:rFonts w:ascii="Times New Roman" w:hAnsi="Times New Roman" w:eastAsiaTheme="minorEastAsia"/>
          <w:color w:val="000000"/>
          <w:sz w:val="24"/>
          <w:vertAlign w:val="superscript"/>
        </w:rPr>
        <w:t>2</w:t>
      </w:r>
      <w:r>
        <w:rPr>
          <w:rFonts w:ascii="Times New Roman" w:hAnsi="Times New Roman" w:eastAsiaTheme="minorEastAsia"/>
          <w:color w:val="000000"/>
          <w:sz w:val="24"/>
        </w:rPr>
        <w:t>，2001~2006年间，深槽再次减小，最大长度约400m，面积仅为0.22km</w:t>
      </w:r>
      <w:r>
        <w:rPr>
          <w:rFonts w:ascii="Times New Roman" w:hAnsi="Times New Roman" w:eastAsiaTheme="minorEastAsia"/>
          <w:color w:val="000000"/>
          <w:sz w:val="24"/>
          <w:vertAlign w:val="superscript"/>
        </w:rPr>
        <w:t>2</w:t>
      </w:r>
      <w:r>
        <w:rPr>
          <w:rFonts w:ascii="Times New Roman" w:hAnsi="Times New Roman" w:eastAsiaTheme="minorEastAsia"/>
          <w:color w:val="000000"/>
          <w:sz w:val="24"/>
        </w:rPr>
        <w:t>，总体来说此处深槽不是太明显；2006~2011年间，深槽冲淤变化不大，基本稳定。</w:t>
      </w:r>
    </w:p>
    <w:p>
      <w:pPr>
        <w:widowControl/>
        <w:adjustRightInd w:val="0"/>
        <w:snapToGrid w:val="0"/>
        <w:spacing w:line="360" w:lineRule="auto"/>
        <w:ind w:firstLine="480" w:firstLineChars="200"/>
        <w:rPr>
          <w:rFonts w:ascii="Times New Roman" w:hAnsi="Times New Roman" w:eastAsiaTheme="minorEastAsia"/>
          <w:color w:val="000000"/>
          <w:sz w:val="24"/>
        </w:rPr>
      </w:pPr>
      <w:r>
        <w:rPr>
          <w:rFonts w:hint="eastAsia" w:ascii="宋体" w:hAnsi="宋体" w:cs="宋体"/>
          <w:color w:val="000000"/>
          <w:sz w:val="24"/>
        </w:rPr>
        <w:t>⑤</w:t>
      </w:r>
      <w:r>
        <w:rPr>
          <w:rFonts w:ascii="Times New Roman" w:hAnsi="Times New Roman" w:eastAsiaTheme="minorEastAsia"/>
          <w:color w:val="000000"/>
          <w:sz w:val="24"/>
        </w:rPr>
        <w:t xml:space="preserve"> 断面特征</w:t>
      </w:r>
    </w:p>
    <w:p>
      <w:pPr>
        <w:widowControl/>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工程处断面属于典型的“Ｖ”型断面，右岸为擂鼓台矶头，左岸有较大边滩，河面较窄。从工程区七年的断面套绘图上来看，由于擂鼓台矶头的存在，断面右岸多年来较为稳定，主流线偏右，河床横向变形主要表现在左岸边滩的冲淤上。1970~1981年，断面近左岸部分明显淤高，河宽变窄，平均河底高程抬高。至1993年，左岸边滩部分有所冲刷，而河床则有所淤高，因而河宽有所展宽，而平均河底高程继续抬高，较之1993年平均河底高程抬升1.3m。98年大洪水过后，则明显表现出冲刷形态，河床变形向窄深方向发展，河宽变窄，平均河底高程大幅度降低，由1993年的12.0m降至9.9m，达到历年来的最低值。1998~2006年间，左岸河床经历了一个大幅冲淤反复的过程，至2001年，左岸河床大幅淤高，河宽变窄约200m，平均河底高程由1998年的9.9m淤高至2001年的10.8m；到2008年间，左岸河床有所冲刷，主河槽河床则较为稳定。</w:t>
      </w:r>
    </w:p>
    <w:p>
      <w:pPr>
        <w:widowControl/>
        <w:adjustRightInd w:val="0"/>
        <w:snapToGrid w:val="0"/>
        <w:spacing w:line="360" w:lineRule="auto"/>
        <w:ind w:firstLine="480" w:firstLineChars="200"/>
        <w:rPr>
          <w:rFonts w:ascii="Times New Roman" w:hAnsi="Times New Roman" w:eastAsiaTheme="minorEastAsia"/>
          <w:color w:val="000000"/>
          <w:sz w:val="24"/>
        </w:rPr>
      </w:pPr>
      <w:r>
        <w:rPr>
          <w:rFonts w:hint="eastAsia" w:ascii="宋体" w:hAnsi="宋体" w:cs="宋体"/>
          <w:color w:val="000000"/>
          <w:sz w:val="24"/>
        </w:rPr>
        <w:t>⑶</w:t>
      </w:r>
      <w:r>
        <w:rPr>
          <w:rFonts w:ascii="Times New Roman" w:hAnsi="Times New Roman" w:eastAsiaTheme="minorEastAsia"/>
          <w:color w:val="000000"/>
          <w:sz w:val="24"/>
        </w:rPr>
        <w:t xml:space="preserve"> 演变趋势预测</w:t>
      </w:r>
    </w:p>
    <w:p>
      <w:pPr>
        <w:widowControl/>
        <w:adjustRightInd w:val="0"/>
        <w:snapToGrid w:val="0"/>
        <w:spacing w:line="360" w:lineRule="auto"/>
        <w:ind w:firstLine="480" w:firstLineChars="200"/>
        <w:rPr>
          <w:rFonts w:ascii="Times New Roman" w:hAnsi="Times New Roman" w:eastAsiaTheme="minorEastAsia"/>
          <w:color w:val="000000"/>
          <w:sz w:val="24"/>
        </w:rPr>
      </w:pPr>
      <w:r>
        <w:rPr>
          <w:rFonts w:ascii="Times New Roman" w:hAnsi="Times New Roman" w:eastAsiaTheme="minorEastAsia"/>
          <w:color w:val="000000"/>
          <w:sz w:val="24"/>
        </w:rPr>
        <w:t>综合历史变迁和近期河床演变分析，工程河段受上游江湖来水来沙的影响较为敏感，表现为河床冲淤、洲滩消长。由于该河段边界条件较好，河道岸线变化较小，主流基本保持稳定，河道将继续保持顺直分汊的河道形势。经城陵矶、螺山两站水沙特性分析认为，近20年来，从荆江及洞庭湖汇入本河段的水量及各站流量特征值没有明显变化。但输沙量和含沙量呈逐年减小的趋势。</w:t>
      </w:r>
    </w:p>
    <w:p>
      <w:pPr>
        <w:pStyle w:val="4"/>
        <w:rPr>
          <w:rFonts w:eastAsiaTheme="minorEastAsia"/>
        </w:rPr>
      </w:pPr>
      <w:r>
        <w:rPr>
          <w:rFonts w:eastAsiaTheme="minorEastAsia"/>
        </w:rPr>
        <w:t>地下水</w:t>
      </w:r>
    </w:p>
    <w:p>
      <w:pPr>
        <w:adjustRightInd w:val="0"/>
        <w:snapToGrid w:val="0"/>
        <w:spacing w:line="360" w:lineRule="auto"/>
        <w:ind w:firstLine="482" w:firstLineChars="200"/>
        <w:rPr>
          <w:rFonts w:ascii="Times New Roman" w:hAnsi="Times New Roman" w:eastAsiaTheme="minorEastAsia"/>
          <w:b/>
          <w:bCs/>
          <w:sz w:val="24"/>
        </w:rPr>
      </w:pPr>
      <w:r>
        <w:rPr>
          <w:rFonts w:ascii="Times New Roman" w:hAnsi="Times New Roman" w:eastAsiaTheme="minorEastAsia"/>
          <w:b/>
          <w:bCs/>
          <w:sz w:val="24"/>
        </w:rPr>
        <w:t>1、地下水赋存条件</w:t>
      </w:r>
    </w:p>
    <w:p>
      <w:pPr>
        <w:adjustRightInd w:val="0"/>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地下水主要为上层滞水、孔隙潜水、基岩裂隙水。</w:t>
      </w:r>
    </w:p>
    <w:p>
      <w:pPr>
        <w:adjustRightInd w:val="0"/>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上层滞水赋存于表层黏性土中（包括人工填土），埋藏浅，主要由大气降水补给，由蒸发而排泄，所形成的蓄水体与其它水体不连通，通常水量小且不稳定，水位分布不连续。</w:t>
      </w:r>
    </w:p>
    <w:p>
      <w:pPr>
        <w:adjustRightInd w:val="0"/>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孔隙潜水赋存于地表以下覆盖层中，勘区砂土层发育较少、贯通性较差，勘区覆盖层总体孔隙度较小，渗透性较差。孔隙潜水水量随季节变化，主要受大气降水补给，其次为侧向补给，排泄方式主要向低洼方向渗流排泄，局部由蒸发而排泄。</w:t>
      </w:r>
    </w:p>
    <w:p>
      <w:pPr>
        <w:adjustRightInd w:val="0"/>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基岩裂隙水主要赋存于基岩风化裂隙、构造裂隙及断层破碎带中，其富水性及导水性受断裂构造及风化程度控制，在构造破碎带等局部地带富水性较好，一般水量较为贫乏，裂隙水的埋藏和分布受岩性、层面及裂隙的张开程度、连通性等影响明显，各向异性。由于勘区构造裂隙不甚发育，风化裂隙为细小的网状裂隙，连通性差，因此富水性差，属弱含水、弱透水地层，水量贫乏。</w:t>
      </w:r>
    </w:p>
    <w:p>
      <w:pPr>
        <w:adjustRightInd w:val="0"/>
        <w:snapToGrid w:val="0"/>
        <w:spacing w:line="360" w:lineRule="auto"/>
        <w:ind w:firstLine="482" w:firstLineChars="200"/>
        <w:rPr>
          <w:rFonts w:ascii="Times New Roman" w:hAnsi="Times New Roman" w:eastAsiaTheme="minorEastAsia"/>
          <w:b/>
          <w:bCs/>
          <w:sz w:val="24"/>
        </w:rPr>
      </w:pPr>
      <w:r>
        <w:rPr>
          <w:rFonts w:ascii="Times New Roman" w:hAnsi="Times New Roman" w:eastAsiaTheme="minorEastAsia"/>
          <w:b/>
          <w:bCs/>
          <w:sz w:val="24"/>
        </w:rPr>
        <w:t>2、地下水补给、径流、排泄条件</w:t>
      </w:r>
    </w:p>
    <w:p>
      <w:pPr>
        <w:adjustRightInd w:val="0"/>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上层滞水因与其它水体不贯通，主要接受降雨及地表散水垂直下渗的补给，以蒸发和逐步下渗的方式排泄。</w:t>
      </w:r>
    </w:p>
    <w:p>
      <w:pPr>
        <w:adjustRightInd w:val="0"/>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孔隙潜水主要接受大气降水及地表水补给，其次为侧向含水层补给，潜水排泄方式主要向低洼方向渗流排泄及自然蒸发。</w:t>
      </w:r>
    </w:p>
    <w:p>
      <w:pPr>
        <w:adjustRightInd w:val="0"/>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勘区基岩裂隙水主要接受上部含水层的补给，径流条件差，排泄方式亦主要向相邻含水层渗流排泄。</w:t>
      </w:r>
    </w:p>
    <w:p>
      <w:pPr>
        <w:pStyle w:val="3"/>
        <w:rPr>
          <w:rFonts w:ascii="Times New Roman" w:hAnsi="Times New Roman" w:eastAsiaTheme="minorEastAsia"/>
          <w:b/>
        </w:rPr>
      </w:pPr>
      <w:bookmarkStart w:id="73" w:name="_Toc25590403"/>
      <w:bookmarkStart w:id="74" w:name="_Toc3990"/>
      <w:r>
        <w:rPr>
          <w:rFonts w:ascii="Times New Roman" w:hAnsi="Times New Roman" w:eastAsiaTheme="minorEastAsia"/>
          <w:b/>
        </w:rPr>
        <w:t>生态敏感区环境概况</w:t>
      </w:r>
      <w:bookmarkEnd w:id="73"/>
      <w:bookmarkEnd w:id="74"/>
    </w:p>
    <w:p>
      <w:pPr>
        <w:pStyle w:val="4"/>
        <w:rPr>
          <w:rFonts w:eastAsiaTheme="minorEastAsia"/>
        </w:rPr>
      </w:pPr>
      <w:r>
        <w:rPr>
          <w:rFonts w:eastAsiaTheme="minorEastAsia"/>
        </w:rPr>
        <w:t>洞庭湖口铜鱼短颌鲚国家级水产种质资源保护区</w:t>
      </w:r>
    </w:p>
    <w:p>
      <w:pPr>
        <w:pStyle w:val="5"/>
        <w:rPr>
          <w:rFonts w:eastAsiaTheme="minorEastAsia"/>
          <w:color w:val="auto"/>
        </w:rPr>
      </w:pPr>
      <w:r>
        <w:rPr>
          <w:rFonts w:eastAsiaTheme="minorEastAsia"/>
          <w:color w:val="auto"/>
        </w:rPr>
        <w:t>保护区概况</w:t>
      </w:r>
    </w:p>
    <w:p>
      <w:pPr>
        <w:adjustRightInd w:val="0"/>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洞庭湖口铜鱼短颌鲚国家级水产种质资源保护区为2011年农业部公告第1864号公布的第五批水产种质资源保护区。保护区总面积2100公顷，其中三江口江段为核心区，面积1500公顷，其他江段为实验区，面积600公顷。特别保护期为每年的2月1日~6月30日。</w:t>
      </w:r>
    </w:p>
    <w:p>
      <w:pPr>
        <w:adjustRightInd w:val="0"/>
        <w:snapToGrid w:val="0"/>
        <w:spacing w:line="360" w:lineRule="auto"/>
        <w:ind w:firstLine="480" w:firstLineChars="200"/>
        <w:rPr>
          <w:rFonts w:ascii="Times New Roman" w:hAnsi="Times New Roman" w:eastAsiaTheme="minorEastAsia"/>
        </w:rPr>
      </w:pPr>
      <w:r>
        <w:rPr>
          <w:rFonts w:ascii="Times New Roman" w:hAnsi="Times New Roman" w:eastAsiaTheme="minorEastAsia"/>
          <w:bCs/>
          <w:sz w:val="24"/>
        </w:rPr>
        <w:t>保护区地处湖南省北部，岳阳市境内，位于长江道仁矶（113°12'36.41"E，29°32'15.17"N）、君山芦苇场（113°06'44.87"E，29°29'10.16"N）、东洞庭湖入长江北门渡口（113°05'21.70"E，29°23'33.13"N）及城陵矶三江口（113°08'28.07"E，29°27'40.26"N）江段之间。核心区由以下4个拐点沿河道方向顺次连线所围的水域：（113°05'21.70"E，29°23'33.13"N）~（113°09'57.96"E，29°27'54.96"N）—（113°07'15.12"E，29°27'54.96"N）~（113°05'00.76"E，29°24'18.83"N）；实验区为以下4个拐点沿河道方向顺次连线所围的水域：（113°09'57.96"E，29°27'54.96"N）~（113°12'36.41"E，29°32'15.17"N）—（113°06'44.87"E，29°29'10.16"N）~（113°07'15.12"E，29°27'54.98"N）。</w:t>
      </w:r>
    </w:p>
    <w:p>
      <w:pPr>
        <w:pStyle w:val="5"/>
        <w:rPr>
          <w:rFonts w:eastAsiaTheme="minorEastAsia"/>
          <w:color w:val="auto"/>
        </w:rPr>
      </w:pPr>
      <w:r>
        <w:rPr>
          <w:rFonts w:eastAsiaTheme="minorEastAsia"/>
          <w:color w:val="auto"/>
        </w:rPr>
        <w:t>保护区主要保护对象</w:t>
      </w:r>
    </w:p>
    <w:p>
      <w:pPr>
        <w:adjustRightInd w:val="0"/>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洞庭湖口铜鱼短颌鲚国家级水产种质资源保护区主要保护对象为铜鱼、短颌鲚，其他保护物种还有青鱼、草鱼、鲢、鳙、鱤、鳤、鯮等江河半洄游性鱼类。</w:t>
      </w:r>
    </w:p>
    <w:p>
      <w:pPr>
        <w:pStyle w:val="5"/>
        <w:rPr>
          <w:rFonts w:eastAsiaTheme="minorEastAsia"/>
          <w:color w:val="auto"/>
        </w:rPr>
      </w:pPr>
      <w:r>
        <w:rPr>
          <w:rFonts w:eastAsiaTheme="minorEastAsia"/>
          <w:color w:val="auto"/>
        </w:rPr>
        <w:t>项目与保护区位置关系</w:t>
      </w:r>
    </w:p>
    <w:p>
      <w:pPr>
        <w:adjustRightInd w:val="0"/>
        <w:snapToGrid w:val="0"/>
        <w:spacing w:line="360" w:lineRule="auto"/>
        <w:ind w:firstLine="480" w:firstLineChars="200"/>
        <w:rPr>
          <w:rFonts w:ascii="Times New Roman" w:hAnsi="Times New Roman" w:eastAsiaTheme="minorEastAsia"/>
          <w:bCs/>
          <w:sz w:val="24"/>
        </w:rPr>
      </w:pPr>
      <w:r>
        <w:rPr>
          <w:rFonts w:ascii="Times New Roman" w:hAnsi="Times New Roman" w:eastAsiaTheme="minorEastAsia"/>
          <w:bCs/>
          <w:sz w:val="24"/>
        </w:rPr>
        <w:t>根据岳阳市江豚保护中心现场核实及岳阳市自然资源和规划局对工程矢量位置的核实，2#泊位提质改造工程均位于洞庭湖口铜鱼短颌鲚国家级水产种质资源保护区实验区内，2#泊位趸船位于核心区下游0.14km，见附图9。</w:t>
      </w:r>
    </w:p>
    <w:p>
      <w:pPr>
        <w:pStyle w:val="4"/>
        <w:rPr>
          <w:rFonts w:eastAsiaTheme="minorEastAsia"/>
        </w:rPr>
      </w:pPr>
      <w:r>
        <w:rPr>
          <w:rFonts w:eastAsiaTheme="minorEastAsia"/>
        </w:rPr>
        <w:t>湖南东洞庭湖国家级自然保护区</w:t>
      </w:r>
    </w:p>
    <w:p>
      <w:pPr>
        <w:pStyle w:val="5"/>
        <w:rPr>
          <w:rFonts w:eastAsiaTheme="minorEastAsia"/>
          <w:color w:val="auto"/>
        </w:rPr>
      </w:pPr>
      <w:r>
        <w:rPr>
          <w:rFonts w:eastAsiaTheme="minorEastAsia"/>
          <w:color w:val="auto"/>
        </w:rPr>
        <w:t>地理位置</w:t>
      </w:r>
    </w:p>
    <w:p>
      <w:pPr>
        <w:adjustRightInd w:val="0"/>
        <w:snapToGrid w:val="0"/>
        <w:spacing w:line="360" w:lineRule="auto"/>
        <w:ind w:firstLine="480" w:firstLineChars="200"/>
        <w:rPr>
          <w:rFonts w:ascii="Times New Roman" w:hAnsi="Times New Roman" w:eastAsiaTheme="minorEastAsia"/>
          <w:sz w:val="24"/>
        </w:rPr>
      </w:pPr>
      <w:r>
        <w:rPr>
          <w:rFonts w:ascii="Times New Roman" w:hAnsi="Times New Roman" w:eastAsiaTheme="minorEastAsia"/>
          <w:sz w:val="24"/>
        </w:rPr>
        <w:t>湖南东洞庭湖国家级自然保护区位于长江中下游荆江江段南侧，地处湖南省东北部岳阳市境内，地理坐标介于东经112°43′~113°14′，北纬29°00′-29°38′之间。总面积19万hm</w:t>
      </w:r>
      <w:r>
        <w:rPr>
          <w:rFonts w:ascii="Times New Roman" w:hAnsi="Times New Roman" w:eastAsiaTheme="minorEastAsia"/>
          <w:sz w:val="24"/>
          <w:vertAlign w:val="superscript"/>
        </w:rPr>
        <w:t>2</w:t>
      </w:r>
      <w:r>
        <w:rPr>
          <w:rFonts w:ascii="Times New Roman" w:hAnsi="Times New Roman" w:eastAsiaTheme="minorEastAsia"/>
          <w:sz w:val="24"/>
        </w:rPr>
        <w:t>，主要保护东洞庭湖特有湿地生态系统和生物多样性。保护区成立于1982年，1992年加入“国际重要湿地公约”，被列为我国首批加入“国际重要湿地公约”的六个国际重要湿地之一，1994年经国务院批准升格为国家级自然保护区。湖南东洞庭湖国家级自然保护区管理局是保护区的行政主管部门。</w:t>
      </w:r>
    </w:p>
    <w:p>
      <w:pPr>
        <w:pStyle w:val="5"/>
        <w:rPr>
          <w:rFonts w:eastAsiaTheme="minorEastAsia"/>
          <w:color w:val="auto"/>
        </w:rPr>
      </w:pPr>
      <w:r>
        <w:rPr>
          <w:rFonts w:eastAsiaTheme="minorEastAsia"/>
          <w:color w:val="auto"/>
        </w:rPr>
        <w:t>保护区类型</w:t>
      </w:r>
    </w:p>
    <w:p>
      <w:pPr>
        <w:adjustRightInd w:val="0"/>
        <w:snapToGrid w:val="0"/>
        <w:spacing w:line="360" w:lineRule="auto"/>
        <w:ind w:firstLine="480" w:firstLineChars="200"/>
        <w:rPr>
          <w:rFonts w:ascii="Times New Roman" w:hAnsi="Times New Roman" w:eastAsiaTheme="minorEastAsia"/>
          <w:sz w:val="24"/>
        </w:rPr>
      </w:pPr>
      <w:r>
        <w:rPr>
          <w:rFonts w:ascii="Times New Roman" w:hAnsi="Times New Roman" w:eastAsiaTheme="minorEastAsia"/>
          <w:sz w:val="24"/>
        </w:rPr>
        <w:t>湖南东洞庭湖国家级自然保护区境内湿地生态环境保存完好，珍稀濒危水禽种类、数量丰富，为迁徙水禽特别重要的越冬地和歇息地，并具有良好的自然属性。根据《自然保护区类型与级别区分原则》（GB/T14529-93），该保护区类别为自然生态系统类、内陆湿地和水域生态系统类型的国家级自然保护区。</w:t>
      </w:r>
    </w:p>
    <w:p>
      <w:pPr>
        <w:pStyle w:val="5"/>
        <w:rPr>
          <w:rFonts w:eastAsiaTheme="minorEastAsia"/>
          <w:color w:val="auto"/>
        </w:rPr>
      </w:pPr>
      <w:r>
        <w:rPr>
          <w:rFonts w:eastAsiaTheme="minorEastAsia"/>
          <w:color w:val="auto"/>
        </w:rPr>
        <w:t>功能区划</w:t>
      </w:r>
    </w:p>
    <w:p>
      <w:pPr>
        <w:adjustRightInd w:val="0"/>
        <w:snapToGrid w:val="0"/>
        <w:spacing w:line="360" w:lineRule="auto"/>
        <w:ind w:firstLine="480" w:firstLineChars="200"/>
        <w:rPr>
          <w:rFonts w:hint="eastAsia" w:ascii="Times New Roman" w:hAnsi="Times New Roman" w:eastAsiaTheme="minorEastAsia"/>
          <w:sz w:val="24"/>
          <w:lang w:val="en-US" w:eastAsia="zh-CN"/>
        </w:rPr>
      </w:pPr>
      <w:r>
        <w:rPr>
          <w:rFonts w:ascii="Times New Roman" w:hAnsi="Times New Roman" w:eastAsiaTheme="minorEastAsia"/>
          <w:sz w:val="24"/>
        </w:rPr>
        <w:t>根据《湖南东洞庭湖国家级自然保护区总体规划》将保护区划分为核心区、缓冲区、实验区三大功能区。</w:t>
      </w:r>
    </w:p>
    <w:p>
      <w:pPr>
        <w:adjustRightInd w:val="0"/>
        <w:snapToGrid w:val="0"/>
        <w:spacing w:line="360" w:lineRule="auto"/>
        <w:ind w:firstLine="482" w:firstLineChars="200"/>
        <w:rPr>
          <w:rFonts w:ascii="Times New Roman" w:hAnsi="Times New Roman" w:eastAsiaTheme="minorEastAsia"/>
          <w:b/>
          <w:sz w:val="24"/>
        </w:rPr>
      </w:pPr>
      <w:r>
        <w:rPr>
          <w:rFonts w:ascii="Times New Roman" w:hAnsi="Times New Roman" w:eastAsiaTheme="minorEastAsia"/>
          <w:b/>
          <w:sz w:val="24"/>
        </w:rPr>
        <w:t>1、核心区</w:t>
      </w:r>
    </w:p>
    <w:p>
      <w:pPr>
        <w:adjustRightInd w:val="0"/>
        <w:snapToGrid w:val="0"/>
        <w:spacing w:line="360" w:lineRule="auto"/>
        <w:ind w:firstLine="480" w:firstLineChars="200"/>
        <w:rPr>
          <w:rFonts w:ascii="Times New Roman" w:hAnsi="Times New Roman" w:eastAsiaTheme="minorEastAsia"/>
          <w:b/>
          <w:sz w:val="24"/>
        </w:rPr>
      </w:pPr>
      <w:r>
        <w:rPr>
          <w:rFonts w:ascii="Times New Roman" w:hAnsi="Times New Roman" w:eastAsiaTheme="minorEastAsia"/>
          <w:sz w:val="24"/>
        </w:rPr>
        <w:t>该保护区内将湿地生态系统完整、生物资源丰富、白鹤、黑鹳、东方白鹳、小天鹅、鸿雁等珍稀濒危鸟类集中栖息的地段作为核心区，总面积2.90万hm</w:t>
      </w:r>
      <w:r>
        <w:rPr>
          <w:rFonts w:ascii="Times New Roman" w:hAnsi="Times New Roman" w:eastAsiaTheme="minorEastAsia"/>
          <w:sz w:val="24"/>
          <w:vertAlign w:val="superscript"/>
        </w:rPr>
        <w:t>2</w:t>
      </w:r>
      <w:r>
        <w:rPr>
          <w:rFonts w:ascii="Times New Roman" w:hAnsi="Times New Roman" w:eastAsiaTheme="minorEastAsia"/>
          <w:sz w:val="24"/>
        </w:rPr>
        <w:t>。依据功能区划原则，又将保护区核心区分为3大块。即大小西湖-君山后湖核心区：从大小西湖、三坝、四坝至君山后湖包括黑嘴在内的定权发证区域，面积1.60万hm</w:t>
      </w:r>
      <w:r>
        <w:rPr>
          <w:rFonts w:ascii="Times New Roman" w:hAnsi="Times New Roman" w:eastAsiaTheme="minorEastAsia"/>
          <w:sz w:val="24"/>
          <w:vertAlign w:val="superscript"/>
        </w:rPr>
        <w:t>2</w:t>
      </w:r>
      <w:r>
        <w:rPr>
          <w:rFonts w:ascii="Times New Roman" w:hAnsi="Times New Roman" w:eastAsiaTheme="minorEastAsia"/>
          <w:sz w:val="24"/>
        </w:rPr>
        <w:t>；红旗湖核心区：上、下红旗湖、天鹅段定权发证区域，面积0.80万hm</w:t>
      </w:r>
      <w:r>
        <w:rPr>
          <w:rFonts w:ascii="Times New Roman" w:hAnsi="Times New Roman" w:eastAsiaTheme="minorEastAsia"/>
          <w:sz w:val="24"/>
          <w:vertAlign w:val="superscript"/>
        </w:rPr>
        <w:t>2</w:t>
      </w:r>
      <w:r>
        <w:rPr>
          <w:rFonts w:ascii="Times New Roman" w:hAnsi="Times New Roman" w:eastAsiaTheme="minorEastAsia"/>
          <w:sz w:val="24"/>
        </w:rPr>
        <w:t>；春风湖核心区：包括春风湖及其大片洲滩在内的0.50万hm</w:t>
      </w:r>
      <w:r>
        <w:rPr>
          <w:rFonts w:ascii="Times New Roman" w:hAnsi="Times New Roman" w:eastAsiaTheme="minorEastAsia"/>
          <w:sz w:val="24"/>
          <w:vertAlign w:val="superscript"/>
        </w:rPr>
        <w:t>2</w:t>
      </w:r>
      <w:r>
        <w:rPr>
          <w:rFonts w:ascii="Times New Roman" w:hAnsi="Times New Roman" w:eastAsiaTheme="minorEastAsia"/>
          <w:sz w:val="24"/>
        </w:rPr>
        <w:t>定权发证区域。核心区内，实行封闭式管理，严格控制外界人员随意进入或从事捕鱼、放牧等生产经营活动，并对湖水水位进行严格的管理和调控。</w:t>
      </w:r>
    </w:p>
    <w:p>
      <w:pPr>
        <w:adjustRightInd w:val="0"/>
        <w:snapToGrid w:val="0"/>
        <w:spacing w:line="360" w:lineRule="auto"/>
        <w:ind w:firstLine="482" w:firstLineChars="200"/>
        <w:rPr>
          <w:rFonts w:ascii="Times New Roman" w:hAnsi="Times New Roman" w:eastAsiaTheme="minorEastAsia"/>
          <w:b/>
          <w:sz w:val="24"/>
        </w:rPr>
      </w:pPr>
      <w:r>
        <w:rPr>
          <w:rFonts w:ascii="Times New Roman" w:hAnsi="Times New Roman" w:eastAsiaTheme="minorEastAsia"/>
          <w:b/>
          <w:sz w:val="24"/>
        </w:rPr>
        <w:t>2、缓冲区</w:t>
      </w:r>
    </w:p>
    <w:p>
      <w:pPr>
        <w:adjustRightInd w:val="0"/>
        <w:snapToGrid w:val="0"/>
        <w:spacing w:line="360" w:lineRule="auto"/>
        <w:ind w:firstLine="480" w:firstLineChars="200"/>
        <w:rPr>
          <w:rFonts w:ascii="Times New Roman" w:hAnsi="Times New Roman" w:eastAsiaTheme="minorEastAsia"/>
          <w:b/>
          <w:sz w:val="24"/>
        </w:rPr>
      </w:pPr>
      <w:r>
        <w:rPr>
          <w:rFonts w:ascii="Times New Roman" w:hAnsi="Times New Roman" w:eastAsiaTheme="minorEastAsia"/>
          <w:sz w:val="24"/>
        </w:rPr>
        <w:t>核心区外围所有东洞庭湖区域，面积3.64万hm</w:t>
      </w:r>
      <w:r>
        <w:rPr>
          <w:rFonts w:ascii="Times New Roman" w:hAnsi="Times New Roman" w:eastAsiaTheme="minorEastAsia"/>
          <w:sz w:val="24"/>
          <w:vertAlign w:val="superscript"/>
        </w:rPr>
        <w:t>2</w:t>
      </w:r>
      <w:r>
        <w:rPr>
          <w:rFonts w:ascii="Times New Roman" w:hAnsi="Times New Roman" w:eastAsiaTheme="minorEastAsia"/>
          <w:sz w:val="24"/>
        </w:rPr>
        <w:t>。缓冲区是指环绕核心区的周围地区。是试验性和生产性的科研基地，如饲养、繁殖和发展本地特有生物，是对各生态系统物质循环和能量流动等进行研究的地区，也是保护区的主要设施基地和教育基地。</w:t>
      </w:r>
    </w:p>
    <w:p>
      <w:pPr>
        <w:adjustRightInd w:val="0"/>
        <w:snapToGrid w:val="0"/>
        <w:spacing w:line="360" w:lineRule="auto"/>
        <w:ind w:firstLine="482" w:firstLineChars="200"/>
        <w:rPr>
          <w:rFonts w:ascii="Times New Roman" w:hAnsi="Times New Roman" w:eastAsiaTheme="minorEastAsia"/>
          <w:b/>
          <w:sz w:val="24"/>
        </w:rPr>
      </w:pPr>
      <w:r>
        <w:rPr>
          <w:rFonts w:ascii="Times New Roman" w:hAnsi="Times New Roman" w:eastAsiaTheme="minorEastAsia"/>
          <w:b/>
          <w:sz w:val="24"/>
        </w:rPr>
        <w:t>3、实验区</w:t>
      </w:r>
    </w:p>
    <w:p>
      <w:pPr>
        <w:adjustRightInd w:val="0"/>
        <w:snapToGrid w:val="0"/>
        <w:spacing w:line="360" w:lineRule="auto"/>
        <w:ind w:firstLine="480" w:firstLineChars="200"/>
        <w:rPr>
          <w:rFonts w:ascii="Times New Roman" w:hAnsi="Times New Roman" w:eastAsiaTheme="minorEastAsia"/>
          <w:b/>
          <w:sz w:val="24"/>
        </w:rPr>
      </w:pPr>
      <w:r>
        <w:rPr>
          <w:rFonts w:ascii="Times New Roman" w:hAnsi="Times New Roman" w:eastAsiaTheme="minorEastAsia"/>
          <w:sz w:val="24"/>
        </w:rPr>
        <w:t>保护区区界以内缓冲区以外的广大区域，包括采桑湖、团湖、方台湖、南湖、芭蕉湖等在内的湖泊和农业用地，面积12.46万hm</w:t>
      </w:r>
      <w:r>
        <w:rPr>
          <w:rFonts w:ascii="Times New Roman" w:hAnsi="Times New Roman" w:eastAsiaTheme="minorEastAsia"/>
          <w:sz w:val="24"/>
          <w:vertAlign w:val="superscript"/>
        </w:rPr>
        <w:t>2</w:t>
      </w:r>
      <w:r>
        <w:rPr>
          <w:rFonts w:ascii="Times New Roman" w:hAnsi="Times New Roman" w:eastAsiaTheme="minorEastAsia"/>
          <w:sz w:val="24"/>
        </w:rPr>
        <w:t>。</w:t>
      </w:r>
    </w:p>
    <w:p>
      <w:pPr>
        <w:adjustRightInd w:val="0"/>
        <w:snapToGrid w:val="0"/>
        <w:spacing w:line="360" w:lineRule="auto"/>
        <w:ind w:firstLine="480" w:firstLineChars="200"/>
        <w:rPr>
          <w:rFonts w:ascii="Times New Roman" w:hAnsi="Times New Roman" w:eastAsiaTheme="minorEastAsia"/>
          <w:b/>
          <w:sz w:val="24"/>
        </w:rPr>
      </w:pPr>
      <w:r>
        <w:rPr>
          <w:rFonts w:ascii="Times New Roman" w:hAnsi="Times New Roman" w:eastAsiaTheme="minorEastAsia"/>
          <w:sz w:val="24"/>
        </w:rPr>
        <w:t>在缓冲区和实验区内，保护区将依法取缔各种非法渔具，全面禁止偷猎或毒杀珍禽的违法活动。</w:t>
      </w:r>
    </w:p>
    <w:p>
      <w:pPr>
        <w:adjustRightInd w:val="0"/>
        <w:snapToGrid w:val="0"/>
        <w:spacing w:line="360" w:lineRule="auto"/>
        <w:ind w:firstLine="480" w:firstLineChars="200"/>
        <w:rPr>
          <w:rFonts w:ascii="Times New Roman" w:hAnsi="Times New Roman" w:eastAsiaTheme="minorEastAsia"/>
          <w:b/>
          <w:sz w:val="24"/>
        </w:rPr>
      </w:pPr>
      <w:r>
        <w:rPr>
          <w:rFonts w:ascii="Times New Roman" w:hAnsi="Times New Roman" w:eastAsiaTheme="minorEastAsia"/>
          <w:sz w:val="24"/>
        </w:rPr>
        <w:t>保护区的核心区和缓冲区，是珍稀濒危野生动物的主要栖息地，又是湿地生态系统的典型区域。在该范围内以保护为主，除开展科研、调查活动外，尽量减少人为影响和干扰，绝对禁止在该区域开展经营活动和一切生产活动。</w:t>
      </w:r>
    </w:p>
    <w:p>
      <w:pPr>
        <w:adjustRightInd w:val="0"/>
        <w:snapToGrid w:val="0"/>
        <w:spacing w:line="360" w:lineRule="auto"/>
        <w:ind w:firstLine="480" w:firstLineChars="200"/>
        <w:rPr>
          <w:rFonts w:ascii="Times New Roman" w:hAnsi="Times New Roman" w:eastAsiaTheme="minorEastAsia"/>
          <w:b/>
          <w:sz w:val="24"/>
        </w:rPr>
      </w:pPr>
      <w:r>
        <w:rPr>
          <w:rFonts w:ascii="Times New Roman" w:hAnsi="Times New Roman" w:eastAsiaTheme="minorEastAsia"/>
          <w:sz w:val="24"/>
        </w:rPr>
        <w:t>实验区实际上应该为可持续发展示范区，且实验区内在有利于保护的基础上，该区域内可以开展自然资源的合理利用，特别是应开展非消耗性资源利用，如开展生态旅游业（观鸟、观荷花等），以减少人们对自然资源的直接消耗和过分依赖。</w:t>
      </w:r>
    </w:p>
    <w:p>
      <w:pPr>
        <w:pStyle w:val="5"/>
        <w:rPr>
          <w:rFonts w:eastAsiaTheme="minorEastAsia"/>
          <w:color w:val="auto"/>
        </w:rPr>
      </w:pPr>
      <w:r>
        <w:rPr>
          <w:rFonts w:eastAsiaTheme="minorEastAsia"/>
          <w:color w:val="auto"/>
        </w:rPr>
        <w:t>主要保护对象及分布</w:t>
      </w:r>
    </w:p>
    <w:p>
      <w:pPr>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东洞庭湖国家级自然保护区的主要保护对象为：湿地生态系统和生物多样性；珍稀濒危水禽；自然生态环境和自然资源；自然、人文景观等。</w:t>
      </w:r>
    </w:p>
    <w:p>
      <w:pPr>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东洞庭湖国家级自然保护区湿地洲滩发育，是我国珍稀候鸟越冬栖息地和繁殖地。鸟类数量、种类，水生生物数量、种类，淡水鱼类数量、种类都十分丰富。鱼类有114种、贝类40余种、鸟类80余种、兽类10余种，野生植物有873种。其中属于国家一类保护的水禽有白鹤、丹顶鹤、白头鹤、白枕鹤、白图、黑鹤、斑嘴鸦鹏等7种，属于国家二类保护的水禽有大鸨、灰鹤、白琵鸳、天鹅等多种；还有属于国家一类保护的中华鲟、白鳍豚，属于国家二类保护的江豚、扬子鳄、麋鹿、具有十分重要的研究和保护价值。</w:t>
      </w:r>
    </w:p>
    <w:p>
      <w:pPr>
        <w:pStyle w:val="5"/>
        <w:rPr>
          <w:rFonts w:eastAsiaTheme="minorEastAsia"/>
          <w:color w:val="auto"/>
        </w:rPr>
      </w:pPr>
      <w:r>
        <w:rPr>
          <w:rFonts w:eastAsiaTheme="minorEastAsia"/>
          <w:color w:val="auto"/>
        </w:rPr>
        <w:t>项目与国家级自然保护区位置关系</w:t>
      </w:r>
    </w:p>
    <w:p>
      <w:pPr>
        <w:widowControl/>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本项目位于东洞庭国家级自然保护区范围外，项目与自然保护区最近的为实验区，与实验区边界最近距离约40m，见附图10。</w:t>
      </w:r>
    </w:p>
    <w:p>
      <w:pPr>
        <w:pStyle w:val="4"/>
        <w:rPr>
          <w:rFonts w:eastAsiaTheme="minorEastAsia"/>
        </w:rPr>
      </w:pPr>
      <w:r>
        <w:rPr>
          <w:rFonts w:eastAsiaTheme="minorEastAsia"/>
        </w:rPr>
        <w:t>岳阳楼-洞庭湖风景名胜区</w:t>
      </w:r>
    </w:p>
    <w:p>
      <w:pPr>
        <w:pStyle w:val="5"/>
        <w:rPr>
          <w:rFonts w:eastAsiaTheme="minorEastAsia"/>
          <w:color w:val="auto"/>
        </w:rPr>
      </w:pPr>
      <w:r>
        <w:rPr>
          <w:rFonts w:eastAsiaTheme="minorEastAsia"/>
          <w:color w:val="auto"/>
        </w:rPr>
        <w:t>风景名胜区概况</w:t>
      </w:r>
    </w:p>
    <w:p>
      <w:pPr>
        <w:widowControl/>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岳阳楼洞庭湖风景名胜区位于湖南省岳阳市区西北部，为国家级风景名胜区。以岳阳楼、屈子祠和洞庭湖泊水景等国家文化与自然遗产资源为主要特征，具有游览观光、历史教育、文化交流、科普考察以及休闲度假等多种功能的湖泊型国家级风景名胜区。</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风景区的范围包括岳阳楼景区、君山景区、南湖景区、屈子祠汨罗江景区、铁山景区五个景区以及团湖、城陵矶两处独立景点，总面积332.96km</w:t>
      </w:r>
      <w:r>
        <w:rPr>
          <w:rFonts w:ascii="Times New Roman" w:hAnsi="Times New Roman" w:eastAsiaTheme="minorEastAsia"/>
          <w:sz w:val="24"/>
          <w:szCs w:val="24"/>
          <w:vertAlign w:val="superscript"/>
        </w:rPr>
        <w:t>2</w:t>
      </w:r>
      <w:r>
        <w:rPr>
          <w:rFonts w:ascii="Times New Roman" w:hAnsi="Times New Roman" w:eastAsiaTheme="minorEastAsia"/>
          <w:sz w:val="24"/>
          <w:szCs w:val="24"/>
        </w:rPr>
        <w:t>。各景区、独立景点范围如下：</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（一）岳阳楼景区北至北门渡口、九华山，南至南湖景区边界，东以洞庭湖路为界，西侧包括湖岸至主航道之间的洞庭湖水域（宽约1200</w:t>
      </w:r>
      <w:r>
        <w:rPr>
          <w:rFonts w:hint="eastAsia" w:ascii="Times New Roman" w:hAnsi="Times New Roman" w:eastAsiaTheme="minorEastAsia"/>
          <w:sz w:val="24"/>
          <w:szCs w:val="24"/>
        </w:rPr>
        <w:t>m</w:t>
      </w:r>
      <w:r>
        <w:rPr>
          <w:rFonts w:ascii="Times New Roman" w:hAnsi="Times New Roman" w:eastAsiaTheme="minorEastAsia"/>
          <w:sz w:val="24"/>
          <w:szCs w:val="24"/>
        </w:rPr>
        <w:t>），面积7.48km</w:t>
      </w:r>
      <w:r>
        <w:rPr>
          <w:rFonts w:ascii="Times New Roman" w:hAnsi="Times New Roman" w:eastAsiaTheme="minorEastAsia"/>
          <w:sz w:val="24"/>
          <w:szCs w:val="24"/>
          <w:vertAlign w:val="superscript"/>
        </w:rPr>
        <w:t>2</w:t>
      </w:r>
      <w:r>
        <w:rPr>
          <w:rFonts w:ascii="Times New Roman" w:hAnsi="Times New Roman" w:eastAsiaTheme="minorEastAsia"/>
          <w:sz w:val="24"/>
          <w:szCs w:val="24"/>
        </w:rPr>
        <w:t>。其中陆地面积1.67km</w:t>
      </w:r>
      <w:r>
        <w:rPr>
          <w:rFonts w:ascii="Times New Roman" w:hAnsi="Times New Roman" w:eastAsiaTheme="minorEastAsia"/>
          <w:sz w:val="24"/>
          <w:szCs w:val="24"/>
          <w:vertAlign w:val="superscript"/>
        </w:rPr>
        <w:t>2</w:t>
      </w:r>
      <w:r>
        <w:rPr>
          <w:rFonts w:ascii="Times New Roman" w:hAnsi="Times New Roman" w:eastAsiaTheme="minorEastAsia"/>
          <w:sz w:val="24"/>
          <w:szCs w:val="24"/>
        </w:rPr>
        <w:t>，水域5.81km</w:t>
      </w:r>
      <w:r>
        <w:rPr>
          <w:rFonts w:ascii="Times New Roman" w:hAnsi="Times New Roman" w:eastAsiaTheme="minorEastAsia"/>
          <w:sz w:val="24"/>
          <w:szCs w:val="24"/>
          <w:vertAlign w:val="superscript"/>
        </w:rPr>
        <w:t>2</w:t>
      </w:r>
      <w:r>
        <w:rPr>
          <w:rFonts w:ascii="Times New Roman" w:hAnsi="Times New Roman" w:eastAsiaTheme="minorEastAsia"/>
          <w:sz w:val="24"/>
          <w:szCs w:val="24"/>
        </w:rPr>
        <w:t>。</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（二）君山景区包括陆地及水面两部分，面积为14.5km</w:t>
      </w:r>
      <w:r>
        <w:rPr>
          <w:rFonts w:ascii="Times New Roman" w:hAnsi="Times New Roman" w:eastAsiaTheme="minorEastAsia"/>
          <w:sz w:val="24"/>
          <w:szCs w:val="24"/>
          <w:vertAlign w:val="superscript"/>
        </w:rPr>
        <w:t>2</w:t>
      </w:r>
      <w:r>
        <w:rPr>
          <w:rFonts w:ascii="Times New Roman" w:hAnsi="Times New Roman" w:eastAsiaTheme="minorEastAsia"/>
          <w:sz w:val="24"/>
          <w:szCs w:val="24"/>
        </w:rPr>
        <w:t>。其中陆地为君山岛、艑山岛，面积1.01km</w:t>
      </w:r>
      <w:r>
        <w:rPr>
          <w:rFonts w:ascii="Times New Roman" w:hAnsi="Times New Roman" w:eastAsiaTheme="minorEastAsia"/>
          <w:sz w:val="24"/>
          <w:szCs w:val="24"/>
          <w:vertAlign w:val="superscript"/>
        </w:rPr>
        <w:t>2</w:t>
      </w:r>
      <w:r>
        <w:rPr>
          <w:rFonts w:ascii="Times New Roman" w:hAnsi="Times New Roman" w:eastAsiaTheme="minorEastAsia"/>
          <w:sz w:val="24"/>
          <w:szCs w:val="24"/>
        </w:rPr>
        <w:t>；岛周边洞庭湖水域面积13.49km</w:t>
      </w:r>
      <w:r>
        <w:rPr>
          <w:rFonts w:ascii="Times New Roman" w:hAnsi="Times New Roman" w:eastAsiaTheme="minorEastAsia"/>
          <w:sz w:val="24"/>
          <w:szCs w:val="24"/>
          <w:vertAlign w:val="superscript"/>
        </w:rPr>
        <w:t>2</w:t>
      </w:r>
      <w:r>
        <w:rPr>
          <w:rFonts w:ascii="Times New Roman" w:hAnsi="Times New Roman" w:eastAsiaTheme="minorEastAsia"/>
          <w:sz w:val="24"/>
          <w:szCs w:val="24"/>
        </w:rPr>
        <w:t>。</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（三）南湖景区北至王家河大桥，东至三眼桥湖及湖外山体，东南以岳兴路为界，南面包括龙山以南的丘岭地带，西南以岳荣路为界，西面包括甄壁山至洞庭湖部分水域，面积为32.72km</w:t>
      </w:r>
      <w:r>
        <w:rPr>
          <w:rFonts w:ascii="Times New Roman" w:hAnsi="Times New Roman" w:eastAsiaTheme="minorEastAsia"/>
          <w:sz w:val="24"/>
          <w:szCs w:val="24"/>
          <w:vertAlign w:val="superscript"/>
        </w:rPr>
        <w:t>2</w:t>
      </w:r>
      <w:r>
        <w:rPr>
          <w:rFonts w:ascii="Times New Roman" w:hAnsi="Times New Roman" w:eastAsiaTheme="minorEastAsia"/>
          <w:sz w:val="24"/>
          <w:szCs w:val="24"/>
        </w:rPr>
        <w:t>，其中南湖主水面12.51km</w:t>
      </w:r>
      <w:r>
        <w:rPr>
          <w:rFonts w:ascii="Times New Roman" w:hAnsi="Times New Roman" w:eastAsiaTheme="minorEastAsia"/>
          <w:sz w:val="24"/>
          <w:szCs w:val="24"/>
          <w:vertAlign w:val="superscript"/>
        </w:rPr>
        <w:t>2</w:t>
      </w:r>
      <w:r>
        <w:rPr>
          <w:rFonts w:ascii="Times New Roman" w:hAnsi="Times New Roman" w:eastAsiaTheme="minorEastAsia"/>
          <w:sz w:val="24"/>
          <w:szCs w:val="24"/>
        </w:rPr>
        <w:t>。</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（四）屈子祠汨罗江景区包括从汨罗市区至楚塘镇之间的汨罗江河段、屈子祠、玉笥山、屈原墓、罗子国城遗址等区域及其周围环境，面积为21.46km</w:t>
      </w:r>
      <w:r>
        <w:rPr>
          <w:rFonts w:ascii="Times New Roman" w:hAnsi="Times New Roman" w:eastAsiaTheme="minorEastAsia"/>
          <w:sz w:val="24"/>
          <w:szCs w:val="24"/>
          <w:vertAlign w:val="superscript"/>
        </w:rPr>
        <w:t>2</w:t>
      </w:r>
      <w:r>
        <w:rPr>
          <w:rFonts w:ascii="Times New Roman" w:hAnsi="Times New Roman" w:eastAsiaTheme="minorEastAsia"/>
          <w:sz w:val="24"/>
          <w:szCs w:val="24"/>
        </w:rPr>
        <w:t>。</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（五）铁山景区包括铁山水库、相思山、大云山、双江峡等区域，面积为246.38km</w:t>
      </w:r>
      <w:r>
        <w:rPr>
          <w:rFonts w:ascii="Times New Roman" w:hAnsi="Times New Roman" w:eastAsiaTheme="minorEastAsia"/>
          <w:sz w:val="24"/>
          <w:szCs w:val="24"/>
          <w:vertAlign w:val="superscript"/>
        </w:rPr>
        <w:t>2</w:t>
      </w:r>
      <w:r>
        <w:rPr>
          <w:rFonts w:ascii="Times New Roman" w:hAnsi="Times New Roman" w:eastAsiaTheme="minorEastAsia"/>
          <w:sz w:val="24"/>
          <w:szCs w:val="24"/>
        </w:rPr>
        <w:t>。</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（六）团湖独立景点是位于君山区广兴乡境内的团湖，面积为2.14km</w:t>
      </w:r>
      <w:r>
        <w:rPr>
          <w:rFonts w:ascii="Times New Roman" w:hAnsi="Times New Roman" w:eastAsiaTheme="minorEastAsia"/>
          <w:sz w:val="24"/>
          <w:szCs w:val="24"/>
          <w:vertAlign w:val="superscript"/>
        </w:rPr>
        <w:t>2</w:t>
      </w:r>
      <w:r>
        <w:rPr>
          <w:rFonts w:ascii="Times New Roman" w:hAnsi="Times New Roman" w:eastAsiaTheme="minorEastAsia"/>
          <w:sz w:val="24"/>
          <w:szCs w:val="24"/>
        </w:rPr>
        <w:t>。</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（七）城陵矶独立景点包括城陵矶、三江口一带，面积为8.28km</w:t>
      </w:r>
      <w:r>
        <w:rPr>
          <w:rFonts w:ascii="Times New Roman" w:hAnsi="Times New Roman" w:eastAsiaTheme="minorEastAsia"/>
          <w:sz w:val="24"/>
          <w:szCs w:val="24"/>
          <w:vertAlign w:val="superscript"/>
        </w:rPr>
        <w:t>2</w:t>
      </w:r>
      <w:r>
        <w:rPr>
          <w:rFonts w:ascii="Times New Roman" w:hAnsi="Times New Roman" w:eastAsiaTheme="minorEastAsia"/>
          <w:sz w:val="24"/>
          <w:szCs w:val="24"/>
        </w:rPr>
        <w:t>。</w:t>
      </w:r>
    </w:p>
    <w:p>
      <w:pPr>
        <w:pStyle w:val="5"/>
        <w:rPr>
          <w:rFonts w:eastAsiaTheme="minorEastAsia"/>
          <w:color w:val="auto"/>
        </w:rPr>
      </w:pPr>
      <w:r>
        <w:rPr>
          <w:rFonts w:eastAsiaTheme="minorEastAsia"/>
          <w:color w:val="auto"/>
        </w:rPr>
        <w:t>项目与风景名胜区位置关系</w:t>
      </w:r>
    </w:p>
    <w:p>
      <w:pPr>
        <w:widowControl/>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项目位于岳阳楼-洞庭湖风景名胜区的城陵矶独立景点的外围保护地带范围内，不属于风景名胜区范围内。拟提质改造的2#泊位与城陵矶独立景点的二级保护区（不设三级保护区）边界最近直线距离约145m，新增的输煤皮带线位于城陵矶独立景点的外围保护地带范围内，与城陵矶独立景点的二级保护区的最近距离约10m。此外，本项目不涉及特级、一级、二级和三级保护区范围，见附图11。</w:t>
      </w:r>
    </w:p>
    <w:p>
      <w:pPr>
        <w:pStyle w:val="4"/>
        <w:rPr>
          <w:rFonts w:eastAsiaTheme="minorEastAsia"/>
        </w:rPr>
      </w:pPr>
      <w:r>
        <w:rPr>
          <w:rFonts w:eastAsiaTheme="minorEastAsia"/>
        </w:rPr>
        <w:t>长江监利段四大家鱼国家级水产种质资源保护区</w:t>
      </w:r>
    </w:p>
    <w:p>
      <w:pPr>
        <w:pStyle w:val="5"/>
        <w:rPr>
          <w:rFonts w:eastAsiaTheme="minorEastAsia"/>
          <w:color w:val="auto"/>
        </w:rPr>
      </w:pPr>
      <w:r>
        <w:rPr>
          <w:rFonts w:eastAsiaTheme="minorEastAsia"/>
          <w:color w:val="auto"/>
        </w:rPr>
        <w:t>地理位置</w:t>
      </w:r>
    </w:p>
    <w:p>
      <w:pPr>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长江监利段四大家鱼国家级水产种质资源保护区是2009年12月经原农业部（农业部公告第1308号）批准成立的第三批国家级水产种质资源保护区之一。保护区位于长江湖北监利段，保护区由老江河长江故道和长江干流部分水域组成。</w:t>
      </w:r>
    </w:p>
    <w:p>
      <w:pPr>
        <w:pStyle w:val="5"/>
        <w:rPr>
          <w:rFonts w:eastAsiaTheme="minorEastAsia"/>
          <w:color w:val="auto"/>
        </w:rPr>
      </w:pPr>
      <w:r>
        <w:rPr>
          <w:rFonts w:eastAsiaTheme="minorEastAsia"/>
          <w:color w:val="auto"/>
        </w:rPr>
        <w:t>功能区划</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kern w:val="0"/>
          <w:sz w:val="24"/>
          <w:szCs w:val="24"/>
        </w:rPr>
        <w:t>长江监利段四大家鱼国家级水产种质资源保护区</w:t>
      </w:r>
      <w:r>
        <w:rPr>
          <w:rFonts w:ascii="Times New Roman" w:hAnsi="Times New Roman" w:eastAsiaTheme="minorEastAsia"/>
          <w:sz w:val="24"/>
          <w:szCs w:val="24"/>
        </w:rPr>
        <w:t>总面积15996公顷，其中核心区6294公顷，占总面积的39.35%，实验区9702hm</w:t>
      </w:r>
      <w:r>
        <w:rPr>
          <w:rFonts w:ascii="Times New Roman" w:hAnsi="Times New Roman" w:eastAsiaTheme="minorEastAsia"/>
          <w:sz w:val="24"/>
          <w:szCs w:val="24"/>
          <w:vertAlign w:val="superscript"/>
        </w:rPr>
        <w:t>2</w:t>
      </w:r>
      <w:r>
        <w:rPr>
          <w:rFonts w:ascii="Times New Roman" w:hAnsi="Times New Roman" w:eastAsiaTheme="minorEastAsia"/>
          <w:sz w:val="24"/>
          <w:szCs w:val="24"/>
        </w:rPr>
        <w:t>，占总面积的60.65%。核心区特别保护期为每年4月1日至6月30日，现已全面禁捕。保护区划分为3段核心区和4段实验区。</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bCs/>
          <w:sz w:val="24"/>
          <w:szCs w:val="24"/>
        </w:rPr>
        <w:t>核心区：</w:t>
      </w:r>
      <w:r>
        <w:rPr>
          <w:rFonts w:hint="eastAsia" w:ascii="宋体" w:hAnsi="宋体" w:cs="宋体"/>
          <w:sz w:val="24"/>
          <w:szCs w:val="24"/>
        </w:rPr>
        <w:t>⑴</w:t>
      </w:r>
      <w:r>
        <w:rPr>
          <w:rFonts w:ascii="Times New Roman" w:hAnsi="Times New Roman" w:eastAsiaTheme="minorEastAsia"/>
          <w:sz w:val="24"/>
          <w:szCs w:val="24"/>
        </w:rPr>
        <w:t xml:space="preserve"> 监利县红城乡杨家湾至容城镇新洲沙咀轮渡码头长江江段，长度15.80km，面积3634hm</w:t>
      </w:r>
      <w:r>
        <w:rPr>
          <w:rFonts w:ascii="Times New Roman" w:hAnsi="Times New Roman" w:eastAsiaTheme="minorEastAsia"/>
          <w:sz w:val="24"/>
          <w:szCs w:val="24"/>
          <w:vertAlign w:val="superscript"/>
        </w:rPr>
        <w:t>2</w:t>
      </w:r>
      <w:r>
        <w:rPr>
          <w:rFonts w:ascii="Times New Roman" w:hAnsi="Times New Roman" w:eastAsiaTheme="minorEastAsia"/>
          <w:sz w:val="24"/>
          <w:szCs w:val="24"/>
        </w:rPr>
        <w:t>。坐标位：112°49'51"E，29°45'52"N至112°55'26"E，29°43'7"N。</w:t>
      </w:r>
      <w:r>
        <w:rPr>
          <w:rFonts w:hint="eastAsia" w:ascii="宋体" w:hAnsi="宋体" w:cs="宋体"/>
          <w:sz w:val="24"/>
          <w:szCs w:val="24"/>
        </w:rPr>
        <w:t>⑵</w:t>
      </w:r>
      <w:r>
        <w:rPr>
          <w:rFonts w:ascii="Times New Roman" w:hAnsi="Times New Roman" w:eastAsiaTheme="minorEastAsia"/>
          <w:sz w:val="24"/>
          <w:szCs w:val="24"/>
        </w:rPr>
        <w:t xml:space="preserve"> 三洲镇盐船轮渡口至上沙村江段，长度6.00km，面积960hm</w:t>
      </w:r>
      <w:r>
        <w:rPr>
          <w:rFonts w:ascii="Times New Roman" w:hAnsi="Times New Roman" w:eastAsiaTheme="minorEastAsia"/>
          <w:sz w:val="24"/>
          <w:szCs w:val="24"/>
          <w:vertAlign w:val="superscript"/>
        </w:rPr>
        <w:t>2</w:t>
      </w:r>
      <w:r>
        <w:rPr>
          <w:rFonts w:ascii="Times New Roman" w:hAnsi="Times New Roman" w:eastAsiaTheme="minorEastAsia"/>
          <w:sz w:val="24"/>
          <w:szCs w:val="24"/>
        </w:rPr>
        <w:t>。坐标位：112°55'38"E，29°32'31"N至112°56'25"E，29°29'3"N。</w:t>
      </w:r>
      <w:r>
        <w:rPr>
          <w:rFonts w:hint="eastAsia" w:ascii="宋体" w:hAnsi="宋体" w:cs="宋体"/>
          <w:sz w:val="24"/>
          <w:szCs w:val="24"/>
        </w:rPr>
        <w:t>⑶</w:t>
      </w:r>
      <w:r>
        <w:rPr>
          <w:rFonts w:ascii="Times New Roman" w:hAnsi="Times New Roman" w:eastAsiaTheme="minorEastAsia"/>
          <w:sz w:val="24"/>
          <w:szCs w:val="24"/>
        </w:rPr>
        <w:t xml:space="preserve"> 老江河长江故道（三洲镇熊洲闸至柘木乡孙梁洲闸），长度20.00km，面积1700hm</w:t>
      </w:r>
      <w:r>
        <w:rPr>
          <w:rFonts w:ascii="Times New Roman" w:hAnsi="Times New Roman" w:eastAsiaTheme="minorEastAsia"/>
          <w:sz w:val="24"/>
          <w:szCs w:val="24"/>
          <w:vertAlign w:val="superscript"/>
        </w:rPr>
        <w:t>2</w:t>
      </w:r>
      <w:r>
        <w:rPr>
          <w:rFonts w:ascii="Times New Roman" w:hAnsi="Times New Roman" w:eastAsiaTheme="minorEastAsia"/>
          <w:sz w:val="24"/>
          <w:szCs w:val="24"/>
        </w:rPr>
        <w:t>。坐标位：112°59'45"E，29°30'51"N至113°4'13"E，29°30'46"N。</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bCs/>
          <w:sz w:val="24"/>
          <w:szCs w:val="24"/>
        </w:rPr>
        <w:t>实验区：</w:t>
      </w:r>
      <w:r>
        <w:rPr>
          <w:rFonts w:hint="eastAsia" w:ascii="宋体" w:hAnsi="宋体" w:cs="宋体"/>
          <w:sz w:val="24"/>
          <w:szCs w:val="24"/>
        </w:rPr>
        <w:t>⑴</w:t>
      </w:r>
      <w:r>
        <w:rPr>
          <w:rFonts w:ascii="Times New Roman" w:hAnsi="Times New Roman" w:eastAsiaTheme="minorEastAsia"/>
          <w:sz w:val="24"/>
          <w:szCs w:val="24"/>
        </w:rPr>
        <w:t xml:space="preserve"> 监利县大垸农场管理区柳口至红城乡杨家湾江段，长度12.93km，面积1294hm</w:t>
      </w:r>
      <w:r>
        <w:rPr>
          <w:rFonts w:ascii="Times New Roman" w:hAnsi="Times New Roman" w:eastAsiaTheme="minorEastAsia"/>
          <w:sz w:val="24"/>
          <w:szCs w:val="24"/>
          <w:vertAlign w:val="superscript"/>
        </w:rPr>
        <w:t>2</w:t>
      </w:r>
      <w:r>
        <w:rPr>
          <w:rFonts w:ascii="Times New Roman" w:hAnsi="Times New Roman" w:eastAsiaTheme="minorEastAsia"/>
          <w:sz w:val="24"/>
          <w:szCs w:val="24"/>
        </w:rPr>
        <w:t>。坐标位：112°42'47"E，29°44'14"N至112°49'51"E，29°45'52" N。</w:t>
      </w:r>
      <w:r>
        <w:rPr>
          <w:rFonts w:hint="eastAsia" w:ascii="宋体" w:hAnsi="宋体" w:cs="宋体"/>
          <w:sz w:val="24"/>
          <w:szCs w:val="24"/>
        </w:rPr>
        <w:t>⑵</w:t>
      </w:r>
      <w:r>
        <w:rPr>
          <w:rFonts w:ascii="Times New Roman" w:hAnsi="Times New Roman" w:eastAsiaTheme="minorEastAsia"/>
          <w:sz w:val="24"/>
          <w:szCs w:val="24"/>
        </w:rPr>
        <w:t xml:space="preserve"> 三洲镇左家滩至三洲镇盐船轮渡口江段，长度12.64km，面积1896hm</w:t>
      </w:r>
      <w:r>
        <w:rPr>
          <w:rFonts w:ascii="Times New Roman" w:hAnsi="Times New Roman" w:eastAsiaTheme="minorEastAsia"/>
          <w:sz w:val="24"/>
          <w:szCs w:val="24"/>
          <w:vertAlign w:val="superscript"/>
        </w:rPr>
        <w:t>2</w:t>
      </w:r>
      <w:r>
        <w:rPr>
          <w:rFonts w:ascii="Times New Roman" w:hAnsi="Times New Roman" w:eastAsiaTheme="minorEastAsia"/>
          <w:sz w:val="24"/>
          <w:szCs w:val="24"/>
        </w:rPr>
        <w:t>。坐标位：112°55'59"E，29°38'44"N至112°55'38"E，29°32'31"N。</w:t>
      </w:r>
      <w:r>
        <w:rPr>
          <w:rFonts w:hint="eastAsia" w:ascii="宋体" w:hAnsi="宋体" w:cs="宋体"/>
          <w:sz w:val="24"/>
          <w:szCs w:val="24"/>
        </w:rPr>
        <w:t>⑶</w:t>
      </w:r>
      <w:r>
        <w:rPr>
          <w:rFonts w:ascii="Times New Roman" w:hAnsi="Times New Roman" w:eastAsiaTheme="minorEastAsia"/>
          <w:sz w:val="24"/>
          <w:szCs w:val="24"/>
        </w:rPr>
        <w:t xml:space="preserve"> 三洲镇上沙村至柘木乡孙梁洲江段，长度17.18km，面积3780hm</w:t>
      </w:r>
      <w:r>
        <w:rPr>
          <w:rFonts w:ascii="Times New Roman" w:hAnsi="Times New Roman" w:eastAsiaTheme="minorEastAsia"/>
          <w:sz w:val="24"/>
          <w:szCs w:val="24"/>
          <w:vertAlign w:val="superscript"/>
        </w:rPr>
        <w:t>2</w:t>
      </w:r>
      <w:r>
        <w:rPr>
          <w:rFonts w:ascii="Times New Roman" w:hAnsi="Times New Roman" w:eastAsiaTheme="minorEastAsia"/>
          <w:sz w:val="24"/>
          <w:szCs w:val="24"/>
        </w:rPr>
        <w:t>。坐标位：112°56'25"E，29°29'3"N至113°3'47"E，29°30'16"N。</w:t>
      </w:r>
      <w:r>
        <w:rPr>
          <w:rFonts w:hint="eastAsia" w:ascii="宋体" w:hAnsi="宋体" w:cs="宋体"/>
          <w:sz w:val="24"/>
          <w:szCs w:val="24"/>
        </w:rPr>
        <w:t>⑷</w:t>
      </w:r>
      <w:r>
        <w:rPr>
          <w:rFonts w:ascii="Times New Roman" w:hAnsi="Times New Roman" w:eastAsiaTheme="minorEastAsia"/>
          <w:sz w:val="24"/>
          <w:szCs w:val="24"/>
        </w:rPr>
        <w:t xml:space="preserve"> 白螺镇白螺矶至白螺镇韩家埠江段，长度13.93km，面积2732hm</w:t>
      </w:r>
      <w:r>
        <w:rPr>
          <w:rFonts w:ascii="Times New Roman" w:hAnsi="Times New Roman" w:eastAsiaTheme="minorEastAsia"/>
          <w:sz w:val="24"/>
          <w:szCs w:val="24"/>
          <w:vertAlign w:val="superscript"/>
        </w:rPr>
        <w:t>2</w:t>
      </w:r>
      <w:r>
        <w:rPr>
          <w:rFonts w:ascii="Times New Roman" w:hAnsi="Times New Roman" w:eastAsiaTheme="minorEastAsia"/>
          <w:sz w:val="24"/>
          <w:szCs w:val="24"/>
        </w:rPr>
        <w:t>。坐标位：113°12'37"E，29°32'8.58"N至113°18'11"E，29°37'51"N。</w:t>
      </w:r>
    </w:p>
    <w:p>
      <w:pPr>
        <w:adjustRightInd w:val="0"/>
        <w:snapToGrid w:val="0"/>
        <w:spacing w:line="276" w:lineRule="auto"/>
        <w:jc w:val="center"/>
        <w:rPr>
          <w:rFonts w:ascii="Times New Roman" w:hAnsi="Times New Roman" w:eastAsiaTheme="minorEastAsia"/>
          <w:sz w:val="24"/>
          <w:szCs w:val="24"/>
        </w:rPr>
      </w:pPr>
      <w:r>
        <w:rPr>
          <w:rFonts w:ascii="Times New Roman" w:hAnsi="Times New Roman" w:eastAsiaTheme="minorEastAsia"/>
          <w:b/>
          <w:sz w:val="24"/>
          <w:szCs w:val="24"/>
        </w:rPr>
        <w:t>表4.2-1  保护区功能区起讫坐标及位置</w:t>
      </w:r>
    </w:p>
    <w:tbl>
      <w:tblPr>
        <w:tblStyle w:val="71"/>
        <w:tblW w:w="910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137"/>
        <w:gridCol w:w="2464"/>
        <w:gridCol w:w="1707"/>
        <w:gridCol w:w="1669"/>
        <w:gridCol w:w="985"/>
        <w:gridCol w:w="11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1137" w:type="dxa"/>
            <w:vMerge w:val="restart"/>
            <w:vAlign w:val="center"/>
          </w:tcPr>
          <w:p>
            <w:pPr>
              <w:tabs>
                <w:tab w:val="left" w:pos="180"/>
              </w:tabs>
              <w:adjustRightInd w:val="0"/>
              <w:snapToGrid w:val="0"/>
              <w:jc w:val="center"/>
              <w:rPr>
                <w:rFonts w:ascii="Times New Roman" w:hAnsi="Times New Roman" w:eastAsiaTheme="minorEastAsia"/>
                <w:b/>
              </w:rPr>
            </w:pPr>
            <w:r>
              <w:rPr>
                <w:rFonts w:ascii="Times New Roman" w:hAnsi="Times New Roman" w:eastAsiaTheme="minorEastAsia"/>
                <w:b/>
              </w:rPr>
              <w:t>功能区</w:t>
            </w:r>
          </w:p>
        </w:tc>
        <w:tc>
          <w:tcPr>
            <w:tcW w:w="2464" w:type="dxa"/>
            <w:vMerge w:val="restart"/>
            <w:vAlign w:val="center"/>
          </w:tcPr>
          <w:p>
            <w:pPr>
              <w:tabs>
                <w:tab w:val="left" w:pos="-108"/>
              </w:tabs>
              <w:adjustRightInd w:val="0"/>
              <w:snapToGrid w:val="0"/>
              <w:jc w:val="center"/>
              <w:rPr>
                <w:rFonts w:ascii="Times New Roman" w:hAnsi="Times New Roman" w:eastAsiaTheme="minorEastAsia"/>
                <w:b/>
              </w:rPr>
            </w:pPr>
            <w:r>
              <w:rPr>
                <w:rFonts w:ascii="Times New Roman" w:hAnsi="Times New Roman" w:eastAsiaTheme="minorEastAsia"/>
                <w:b/>
              </w:rPr>
              <w:t>起点和终点</w:t>
            </w:r>
          </w:p>
        </w:tc>
        <w:tc>
          <w:tcPr>
            <w:tcW w:w="3376" w:type="dxa"/>
            <w:gridSpan w:val="2"/>
            <w:vAlign w:val="center"/>
          </w:tcPr>
          <w:p>
            <w:pPr>
              <w:tabs>
                <w:tab w:val="left" w:pos="180"/>
              </w:tabs>
              <w:adjustRightInd w:val="0"/>
              <w:snapToGrid w:val="0"/>
              <w:jc w:val="center"/>
              <w:rPr>
                <w:rFonts w:ascii="Times New Roman" w:hAnsi="Times New Roman" w:eastAsiaTheme="minorEastAsia"/>
                <w:b/>
              </w:rPr>
            </w:pPr>
            <w:r>
              <w:rPr>
                <w:rFonts w:ascii="Times New Roman" w:hAnsi="Times New Roman" w:eastAsiaTheme="minorEastAsia"/>
                <w:b/>
              </w:rPr>
              <w:t>地理坐标</w:t>
            </w:r>
          </w:p>
        </w:tc>
        <w:tc>
          <w:tcPr>
            <w:tcW w:w="985" w:type="dxa"/>
            <w:vMerge w:val="restart"/>
            <w:vAlign w:val="center"/>
          </w:tcPr>
          <w:p>
            <w:pPr>
              <w:tabs>
                <w:tab w:val="left" w:pos="-108"/>
              </w:tabs>
              <w:adjustRightInd w:val="0"/>
              <w:snapToGrid w:val="0"/>
              <w:jc w:val="center"/>
              <w:rPr>
                <w:rFonts w:ascii="Times New Roman" w:hAnsi="Times New Roman" w:eastAsiaTheme="minorEastAsia"/>
                <w:b/>
              </w:rPr>
            </w:pPr>
            <w:r>
              <w:rPr>
                <w:rFonts w:ascii="Times New Roman" w:hAnsi="Times New Roman" w:eastAsiaTheme="minorEastAsia"/>
                <w:b/>
              </w:rPr>
              <w:t>长度</w:t>
            </w:r>
          </w:p>
          <w:p>
            <w:pPr>
              <w:tabs>
                <w:tab w:val="left" w:pos="-108"/>
              </w:tabs>
              <w:adjustRightInd w:val="0"/>
              <w:snapToGrid w:val="0"/>
              <w:jc w:val="center"/>
              <w:rPr>
                <w:rFonts w:ascii="Times New Roman" w:hAnsi="Times New Roman" w:eastAsiaTheme="minorEastAsia"/>
                <w:b/>
              </w:rPr>
            </w:pPr>
            <w:r>
              <w:rPr>
                <w:rFonts w:ascii="Times New Roman" w:hAnsi="Times New Roman" w:eastAsiaTheme="minorEastAsia"/>
                <w:b/>
              </w:rPr>
              <w:t>（km）</w:t>
            </w:r>
          </w:p>
        </w:tc>
        <w:tc>
          <w:tcPr>
            <w:tcW w:w="1138" w:type="dxa"/>
            <w:vMerge w:val="restart"/>
            <w:vAlign w:val="center"/>
          </w:tcPr>
          <w:p>
            <w:pPr>
              <w:tabs>
                <w:tab w:val="left" w:pos="-108"/>
              </w:tabs>
              <w:adjustRightInd w:val="0"/>
              <w:snapToGrid w:val="0"/>
              <w:jc w:val="center"/>
              <w:rPr>
                <w:rFonts w:ascii="Times New Roman" w:hAnsi="Times New Roman" w:eastAsiaTheme="minorEastAsia"/>
                <w:b/>
              </w:rPr>
            </w:pPr>
            <w:r>
              <w:rPr>
                <w:rFonts w:ascii="Times New Roman" w:hAnsi="Times New Roman" w:eastAsiaTheme="minorEastAsia"/>
                <w:b/>
              </w:rPr>
              <w:t>面积</w:t>
            </w:r>
          </w:p>
          <w:p>
            <w:pPr>
              <w:tabs>
                <w:tab w:val="left" w:pos="-108"/>
              </w:tabs>
              <w:adjustRightInd w:val="0"/>
              <w:snapToGrid w:val="0"/>
              <w:jc w:val="center"/>
              <w:rPr>
                <w:rFonts w:ascii="Times New Roman" w:hAnsi="Times New Roman" w:eastAsiaTheme="minorEastAsia"/>
                <w:b/>
              </w:rPr>
            </w:pPr>
            <w:r>
              <w:rPr>
                <w:rFonts w:ascii="Times New Roman" w:hAnsi="Times New Roman" w:eastAsiaTheme="minorEastAsia"/>
                <w:b/>
              </w:rPr>
              <w:t>（hm</w:t>
            </w:r>
            <w:r>
              <w:rPr>
                <w:rFonts w:ascii="Times New Roman" w:hAnsi="Times New Roman" w:eastAsiaTheme="minorEastAsia"/>
                <w:b/>
                <w:vertAlign w:val="superscript"/>
              </w:rPr>
              <w:t>2</w:t>
            </w:r>
            <w:r>
              <w:rPr>
                <w:rFonts w:ascii="Times New Roman" w:hAnsi="Times New Roman" w:eastAsiaTheme="minorEastAsia"/>
                <w:b/>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1137" w:type="dxa"/>
            <w:vMerge w:val="continue"/>
            <w:vAlign w:val="center"/>
          </w:tcPr>
          <w:p>
            <w:pPr>
              <w:tabs>
                <w:tab w:val="left" w:pos="180"/>
              </w:tabs>
              <w:adjustRightInd w:val="0"/>
              <w:snapToGrid w:val="0"/>
              <w:jc w:val="center"/>
              <w:rPr>
                <w:rFonts w:ascii="Times New Roman" w:hAnsi="Times New Roman" w:eastAsiaTheme="minorEastAsia"/>
                <w:b/>
              </w:rPr>
            </w:pPr>
          </w:p>
        </w:tc>
        <w:tc>
          <w:tcPr>
            <w:tcW w:w="2464" w:type="dxa"/>
            <w:vMerge w:val="continue"/>
            <w:vAlign w:val="center"/>
          </w:tcPr>
          <w:p>
            <w:pPr>
              <w:tabs>
                <w:tab w:val="left" w:pos="180"/>
              </w:tabs>
              <w:adjustRightInd w:val="0"/>
              <w:snapToGrid w:val="0"/>
              <w:jc w:val="center"/>
              <w:rPr>
                <w:rFonts w:ascii="Times New Roman" w:hAnsi="Times New Roman" w:eastAsiaTheme="minorEastAsia"/>
                <w:b/>
              </w:rPr>
            </w:pPr>
          </w:p>
        </w:tc>
        <w:tc>
          <w:tcPr>
            <w:tcW w:w="1707" w:type="dxa"/>
            <w:vAlign w:val="center"/>
          </w:tcPr>
          <w:p>
            <w:pPr>
              <w:tabs>
                <w:tab w:val="left" w:pos="180"/>
              </w:tabs>
              <w:adjustRightInd w:val="0"/>
              <w:snapToGrid w:val="0"/>
              <w:jc w:val="center"/>
              <w:rPr>
                <w:rFonts w:ascii="Times New Roman" w:hAnsi="Times New Roman" w:eastAsiaTheme="minorEastAsia"/>
                <w:b/>
              </w:rPr>
            </w:pPr>
            <w:r>
              <w:rPr>
                <w:rFonts w:ascii="Times New Roman" w:hAnsi="Times New Roman" w:eastAsiaTheme="minorEastAsia"/>
                <w:b/>
              </w:rPr>
              <w:t>起点</w:t>
            </w:r>
          </w:p>
        </w:tc>
        <w:tc>
          <w:tcPr>
            <w:tcW w:w="1669" w:type="dxa"/>
            <w:vAlign w:val="center"/>
          </w:tcPr>
          <w:p>
            <w:pPr>
              <w:tabs>
                <w:tab w:val="left" w:pos="180"/>
              </w:tabs>
              <w:adjustRightInd w:val="0"/>
              <w:snapToGrid w:val="0"/>
              <w:jc w:val="center"/>
              <w:rPr>
                <w:rFonts w:ascii="Times New Roman" w:hAnsi="Times New Roman" w:eastAsiaTheme="minorEastAsia"/>
                <w:b/>
              </w:rPr>
            </w:pPr>
            <w:r>
              <w:rPr>
                <w:rFonts w:ascii="Times New Roman" w:hAnsi="Times New Roman" w:eastAsiaTheme="minorEastAsia"/>
                <w:b/>
              </w:rPr>
              <w:t>终点</w:t>
            </w:r>
          </w:p>
        </w:tc>
        <w:tc>
          <w:tcPr>
            <w:tcW w:w="985" w:type="dxa"/>
            <w:vMerge w:val="continue"/>
            <w:vAlign w:val="center"/>
          </w:tcPr>
          <w:p>
            <w:pPr>
              <w:tabs>
                <w:tab w:val="left" w:pos="180"/>
              </w:tabs>
              <w:adjustRightInd w:val="0"/>
              <w:snapToGrid w:val="0"/>
              <w:jc w:val="center"/>
              <w:rPr>
                <w:rFonts w:ascii="Times New Roman" w:hAnsi="Times New Roman" w:eastAsiaTheme="minorEastAsia"/>
                <w:b/>
              </w:rPr>
            </w:pPr>
          </w:p>
        </w:tc>
        <w:tc>
          <w:tcPr>
            <w:tcW w:w="1138" w:type="dxa"/>
            <w:vMerge w:val="continue"/>
            <w:vAlign w:val="center"/>
          </w:tcPr>
          <w:p>
            <w:pPr>
              <w:tabs>
                <w:tab w:val="left" w:pos="180"/>
              </w:tabs>
              <w:adjustRightInd w:val="0"/>
              <w:snapToGrid w:val="0"/>
              <w:jc w:val="center"/>
              <w:rPr>
                <w:rFonts w:ascii="Times New Roman" w:hAnsi="Times New Roman" w:eastAsiaTheme="minorEastAsia"/>
                <w: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37" w:type="dxa"/>
            <w:shd w:val="clear" w:color="auto" w:fill="E6E6E6"/>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实验区</w:t>
            </w:r>
          </w:p>
        </w:tc>
        <w:tc>
          <w:tcPr>
            <w:tcW w:w="2464" w:type="dxa"/>
            <w:shd w:val="clear" w:color="auto" w:fill="E6E6E6"/>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柳口至杨家湾</w:t>
            </w:r>
          </w:p>
        </w:tc>
        <w:tc>
          <w:tcPr>
            <w:tcW w:w="1707" w:type="dxa"/>
            <w:shd w:val="clear" w:color="auto" w:fill="E6E6E6"/>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E112°42'47"</w:t>
            </w:r>
          </w:p>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N29°44'14"</w:t>
            </w:r>
          </w:p>
        </w:tc>
        <w:tc>
          <w:tcPr>
            <w:tcW w:w="1669" w:type="dxa"/>
            <w:shd w:val="clear" w:color="auto" w:fill="E6E6E6"/>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E112°49'51"</w:t>
            </w:r>
          </w:p>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N29°45'52"</w:t>
            </w:r>
          </w:p>
        </w:tc>
        <w:tc>
          <w:tcPr>
            <w:tcW w:w="985" w:type="dxa"/>
            <w:shd w:val="clear" w:color="auto" w:fill="E6E6E6"/>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12.93</w:t>
            </w:r>
          </w:p>
        </w:tc>
        <w:tc>
          <w:tcPr>
            <w:tcW w:w="1138" w:type="dxa"/>
            <w:shd w:val="clear" w:color="auto" w:fill="E6E6E6"/>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1294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37" w:type="dxa"/>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核心区</w:t>
            </w:r>
          </w:p>
        </w:tc>
        <w:tc>
          <w:tcPr>
            <w:tcW w:w="2464" w:type="dxa"/>
            <w:vAlign w:val="center"/>
          </w:tcPr>
          <w:p>
            <w:pPr>
              <w:tabs>
                <w:tab w:val="left" w:pos="0"/>
              </w:tabs>
              <w:adjustRightInd w:val="0"/>
              <w:snapToGrid w:val="0"/>
              <w:jc w:val="center"/>
              <w:rPr>
                <w:rFonts w:ascii="Times New Roman" w:hAnsi="Times New Roman" w:eastAsiaTheme="minorEastAsia"/>
              </w:rPr>
            </w:pPr>
            <w:r>
              <w:rPr>
                <w:rFonts w:ascii="Times New Roman" w:hAnsi="Times New Roman" w:eastAsiaTheme="minorEastAsia"/>
              </w:rPr>
              <w:t>杨家湾至沙咀轮渡码头</w:t>
            </w:r>
          </w:p>
        </w:tc>
        <w:tc>
          <w:tcPr>
            <w:tcW w:w="1707" w:type="dxa"/>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E112°49'51"</w:t>
            </w:r>
          </w:p>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N 29°45'52"</w:t>
            </w:r>
          </w:p>
        </w:tc>
        <w:tc>
          <w:tcPr>
            <w:tcW w:w="1669" w:type="dxa"/>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E112°55'26"</w:t>
            </w:r>
          </w:p>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N29°43'7"</w:t>
            </w:r>
          </w:p>
        </w:tc>
        <w:tc>
          <w:tcPr>
            <w:tcW w:w="985" w:type="dxa"/>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15.80</w:t>
            </w:r>
          </w:p>
        </w:tc>
        <w:tc>
          <w:tcPr>
            <w:tcW w:w="1138" w:type="dxa"/>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3634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37" w:type="dxa"/>
            <w:shd w:val="clear" w:color="auto" w:fill="E6E6E6"/>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实验区</w:t>
            </w:r>
          </w:p>
        </w:tc>
        <w:tc>
          <w:tcPr>
            <w:tcW w:w="2464" w:type="dxa"/>
            <w:shd w:val="clear" w:color="auto" w:fill="E6E6E6"/>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左家滩至盐船轮渡口</w:t>
            </w:r>
          </w:p>
        </w:tc>
        <w:tc>
          <w:tcPr>
            <w:tcW w:w="1707" w:type="dxa"/>
            <w:shd w:val="clear" w:color="auto" w:fill="E6E6E6"/>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E112°55'59"</w:t>
            </w:r>
          </w:p>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N29°38'44"</w:t>
            </w:r>
          </w:p>
        </w:tc>
        <w:tc>
          <w:tcPr>
            <w:tcW w:w="1669" w:type="dxa"/>
            <w:shd w:val="clear" w:color="auto" w:fill="E6E6E6"/>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E112°55'38</w:t>
            </w:r>
          </w:p>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N29°32'31"</w:t>
            </w:r>
          </w:p>
        </w:tc>
        <w:tc>
          <w:tcPr>
            <w:tcW w:w="985" w:type="dxa"/>
            <w:shd w:val="clear" w:color="auto" w:fill="E6E6E6"/>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12.64</w:t>
            </w:r>
          </w:p>
        </w:tc>
        <w:tc>
          <w:tcPr>
            <w:tcW w:w="1138" w:type="dxa"/>
            <w:shd w:val="clear" w:color="auto" w:fill="E6E6E6"/>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1896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37" w:type="dxa"/>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核心区</w:t>
            </w:r>
          </w:p>
        </w:tc>
        <w:tc>
          <w:tcPr>
            <w:tcW w:w="2464" w:type="dxa"/>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盐船轮渡口至上沙村</w:t>
            </w:r>
          </w:p>
        </w:tc>
        <w:tc>
          <w:tcPr>
            <w:tcW w:w="1707" w:type="dxa"/>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E112°55'38"</w:t>
            </w:r>
          </w:p>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N29°32'31"</w:t>
            </w:r>
          </w:p>
        </w:tc>
        <w:tc>
          <w:tcPr>
            <w:tcW w:w="1669" w:type="dxa"/>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E112°56'25"</w:t>
            </w:r>
          </w:p>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N29°29'3"</w:t>
            </w:r>
          </w:p>
        </w:tc>
        <w:tc>
          <w:tcPr>
            <w:tcW w:w="985" w:type="dxa"/>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6.00</w:t>
            </w:r>
          </w:p>
        </w:tc>
        <w:tc>
          <w:tcPr>
            <w:tcW w:w="1138" w:type="dxa"/>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960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37" w:type="dxa"/>
            <w:shd w:val="clear" w:color="auto" w:fill="E6E6E6"/>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实验区</w:t>
            </w:r>
          </w:p>
        </w:tc>
        <w:tc>
          <w:tcPr>
            <w:tcW w:w="2464" w:type="dxa"/>
            <w:shd w:val="clear" w:color="auto" w:fill="E6E6E6"/>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上沙村至孙梁洲</w:t>
            </w:r>
          </w:p>
        </w:tc>
        <w:tc>
          <w:tcPr>
            <w:tcW w:w="1707" w:type="dxa"/>
            <w:shd w:val="clear" w:color="auto" w:fill="E6E6E6"/>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E112°56'25"</w:t>
            </w:r>
          </w:p>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N29°29'3"</w:t>
            </w:r>
          </w:p>
        </w:tc>
        <w:tc>
          <w:tcPr>
            <w:tcW w:w="1669" w:type="dxa"/>
            <w:shd w:val="clear" w:color="auto" w:fill="E6E6E6"/>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E113°3'47"</w:t>
            </w:r>
          </w:p>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N29°30'16"</w:t>
            </w:r>
          </w:p>
        </w:tc>
        <w:tc>
          <w:tcPr>
            <w:tcW w:w="985" w:type="dxa"/>
            <w:shd w:val="clear" w:color="auto" w:fill="E6E6E6"/>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17.18</w:t>
            </w:r>
          </w:p>
        </w:tc>
        <w:tc>
          <w:tcPr>
            <w:tcW w:w="1138" w:type="dxa"/>
            <w:shd w:val="clear" w:color="auto" w:fill="E6E6E6"/>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3780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37" w:type="dxa"/>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核心区</w:t>
            </w:r>
          </w:p>
        </w:tc>
        <w:tc>
          <w:tcPr>
            <w:tcW w:w="2464" w:type="dxa"/>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熊洲闸至孙梁洲闸（老江河故道）</w:t>
            </w:r>
          </w:p>
        </w:tc>
        <w:tc>
          <w:tcPr>
            <w:tcW w:w="1707" w:type="dxa"/>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E112°59'45"</w:t>
            </w:r>
          </w:p>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N29°30'51"</w:t>
            </w:r>
          </w:p>
        </w:tc>
        <w:tc>
          <w:tcPr>
            <w:tcW w:w="1669" w:type="dxa"/>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E113°4'13"</w:t>
            </w:r>
          </w:p>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N29°30'46"</w:t>
            </w:r>
          </w:p>
        </w:tc>
        <w:tc>
          <w:tcPr>
            <w:tcW w:w="985" w:type="dxa"/>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20.00</w:t>
            </w:r>
          </w:p>
        </w:tc>
        <w:tc>
          <w:tcPr>
            <w:tcW w:w="1138" w:type="dxa"/>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1700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37" w:type="dxa"/>
            <w:shd w:val="clear" w:color="auto" w:fill="E6E6E6"/>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实验区</w:t>
            </w:r>
          </w:p>
        </w:tc>
        <w:tc>
          <w:tcPr>
            <w:tcW w:w="2464" w:type="dxa"/>
            <w:shd w:val="clear" w:color="auto" w:fill="E6E6E6"/>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白螺矶至韩家埠</w:t>
            </w:r>
          </w:p>
        </w:tc>
        <w:tc>
          <w:tcPr>
            <w:tcW w:w="1707" w:type="dxa"/>
            <w:shd w:val="clear" w:color="auto" w:fill="E6E6E6"/>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E113°12'37"</w:t>
            </w:r>
          </w:p>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N29°32'8"</w:t>
            </w:r>
          </w:p>
        </w:tc>
        <w:tc>
          <w:tcPr>
            <w:tcW w:w="1669" w:type="dxa"/>
            <w:shd w:val="clear" w:color="auto" w:fill="E6E6E6"/>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E113°18'11"</w:t>
            </w:r>
          </w:p>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N29°37'51"</w:t>
            </w:r>
          </w:p>
        </w:tc>
        <w:tc>
          <w:tcPr>
            <w:tcW w:w="985" w:type="dxa"/>
            <w:shd w:val="clear" w:color="auto" w:fill="E6E6E6"/>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13.93</w:t>
            </w:r>
          </w:p>
        </w:tc>
        <w:tc>
          <w:tcPr>
            <w:tcW w:w="1138" w:type="dxa"/>
            <w:shd w:val="clear" w:color="auto" w:fill="E6E6E6"/>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2732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77" w:type="dxa"/>
            <w:gridSpan w:val="4"/>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合计</w:t>
            </w:r>
          </w:p>
        </w:tc>
        <w:tc>
          <w:tcPr>
            <w:tcW w:w="985" w:type="dxa"/>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98.48</w:t>
            </w:r>
          </w:p>
        </w:tc>
        <w:tc>
          <w:tcPr>
            <w:tcW w:w="1138" w:type="dxa"/>
            <w:vAlign w:val="center"/>
          </w:tcPr>
          <w:p>
            <w:pPr>
              <w:tabs>
                <w:tab w:val="left" w:pos="180"/>
              </w:tabs>
              <w:adjustRightInd w:val="0"/>
              <w:snapToGrid w:val="0"/>
              <w:jc w:val="center"/>
              <w:rPr>
                <w:rFonts w:ascii="Times New Roman" w:hAnsi="Times New Roman" w:eastAsiaTheme="minorEastAsia"/>
              </w:rPr>
            </w:pPr>
            <w:r>
              <w:rPr>
                <w:rFonts w:ascii="Times New Roman" w:hAnsi="Times New Roman" w:eastAsiaTheme="minorEastAsia"/>
              </w:rPr>
              <w:t>15996</w:t>
            </w:r>
          </w:p>
        </w:tc>
      </w:tr>
    </w:tbl>
    <w:p>
      <w:pPr>
        <w:adjustRightInd w:val="0"/>
        <w:snapToGrid w:val="0"/>
        <w:spacing w:line="360" w:lineRule="auto"/>
        <w:rPr>
          <w:rFonts w:ascii="Times New Roman" w:hAnsi="Times New Roman" w:eastAsiaTheme="minorEastAsia"/>
          <w:bCs/>
          <w:sz w:val="24"/>
          <w:szCs w:val="24"/>
        </w:rPr>
      </w:pPr>
    </w:p>
    <w:p>
      <w:pPr>
        <w:pStyle w:val="5"/>
        <w:rPr>
          <w:rFonts w:eastAsiaTheme="minorEastAsia"/>
          <w:color w:val="auto"/>
        </w:rPr>
      </w:pPr>
      <w:r>
        <w:rPr>
          <w:rFonts w:eastAsiaTheme="minorEastAsia"/>
          <w:color w:val="auto"/>
        </w:rPr>
        <w:t>保护区的主要功能</w:t>
      </w:r>
    </w:p>
    <w:p>
      <w:pPr>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水产种质资源保护区是以鱼类和其它水生动植物及其生态系统为主要保护对象，保护鱼虾类产卵场、索饵场、越冬场、洄游通道及其生态环境，防治渔业水域污染；保护珍稀野生水生生物栖息地与集中分布区；维护渔业水域的生物多样性。属于集生物多样性保护、科学研究、宣传教育为一体的综合性生态系统类型的保护区。主导功能是保护水产种质资源、维护生物多样性。</w:t>
      </w:r>
    </w:p>
    <w:p>
      <w:pPr>
        <w:pStyle w:val="5"/>
        <w:rPr>
          <w:rFonts w:eastAsiaTheme="minorEastAsia"/>
          <w:color w:val="auto"/>
        </w:rPr>
      </w:pPr>
      <w:r>
        <w:rPr>
          <w:rFonts w:eastAsiaTheme="minorEastAsia"/>
          <w:color w:val="auto"/>
        </w:rPr>
        <w:t>保护区主要保护对象</w:t>
      </w:r>
    </w:p>
    <w:p>
      <w:pPr>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保护区主要保护对象为青鱼、草鱼、鲢、鳙“四大家鱼”，其他保护对象为保护区内的其它水生生物。</w:t>
      </w:r>
    </w:p>
    <w:p>
      <w:pPr>
        <w:pStyle w:val="5"/>
        <w:rPr>
          <w:rFonts w:eastAsiaTheme="minorEastAsia"/>
          <w:color w:val="auto"/>
        </w:rPr>
      </w:pPr>
      <w:r>
        <w:rPr>
          <w:rFonts w:eastAsiaTheme="minorEastAsia"/>
          <w:color w:val="auto"/>
        </w:rPr>
        <w:t>项目与国家级水产种质资源保护区位置关系</w:t>
      </w:r>
    </w:p>
    <w:p>
      <w:pPr>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本项目位于该水产种质自然保护区范围外，项目与水产种质资源保护区最近的为实验区，与实验区上边界最近距离约8.8km，见附图12。</w:t>
      </w:r>
    </w:p>
    <w:p>
      <w:pPr>
        <w:pStyle w:val="4"/>
        <w:rPr>
          <w:rFonts w:eastAsiaTheme="minorEastAsia"/>
        </w:rPr>
      </w:pPr>
      <w:r>
        <w:rPr>
          <w:rFonts w:eastAsiaTheme="minorEastAsia"/>
        </w:rPr>
        <w:t>湖北长江新螺段白鱀豚国家级自然保护区</w:t>
      </w:r>
    </w:p>
    <w:p>
      <w:pPr>
        <w:pStyle w:val="5"/>
        <w:rPr>
          <w:rFonts w:eastAsiaTheme="minorEastAsia"/>
          <w:color w:val="auto"/>
        </w:rPr>
      </w:pPr>
      <w:r>
        <w:rPr>
          <w:rFonts w:eastAsiaTheme="minorEastAsia"/>
          <w:color w:val="auto"/>
        </w:rPr>
        <w:t>保护区面积范围</w:t>
      </w:r>
    </w:p>
    <w:p>
      <w:pPr>
        <w:widowControl/>
        <w:shd w:val="clear" w:color="auto"/>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保护区上起洪湖市螺山镇（左岸：螺山保护区标志碑上游5km，北纬29°38'10.14"，东经113°17'19.14"；右岸：临湘市儒溪宝塔，北纬29°37'14.59"，东经113°18'46.45"），下至洪湖市新滩镇（左岸：保护区标志碑下游4.5km，北纬30°12'40.83"，东经113°51'20.17"；右岸：嘉鱼县簰洲镇下游3.2km，北纬30°13'6.93"，东经113°53'26.20"）。保护河段的横向边界以长江大堤为界（在没有大堤的山体或矶头江段以历史最高水位线为界，同时存在大堤和民堤的江段以民堤为界）。</w:t>
      </w:r>
    </w:p>
    <w:p>
      <w:pPr>
        <w:widowControl/>
        <w:shd w:val="clear" w:color="auto"/>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保护区涉及湖北省洪湖市、赤壁市、嘉鱼县和湖南省临湘市4市县。保护河段总长度128.5km（长江中游航道里程76km~204.5km），保护区总面积413.87km</w:t>
      </w:r>
      <w:r>
        <w:rPr>
          <w:rFonts w:ascii="Times New Roman" w:hAnsi="Times New Roman" w:eastAsiaTheme="minorEastAsia"/>
          <w:kern w:val="0"/>
          <w:sz w:val="24"/>
          <w:szCs w:val="24"/>
          <w:vertAlign w:val="superscript"/>
        </w:rPr>
        <w:t>2</w:t>
      </w:r>
      <w:r>
        <w:rPr>
          <w:rFonts w:ascii="Times New Roman" w:hAnsi="Times New Roman" w:eastAsiaTheme="minorEastAsia"/>
          <w:kern w:val="0"/>
          <w:sz w:val="24"/>
          <w:szCs w:val="24"/>
        </w:rPr>
        <w:t>。其中核心区长度69.5km，面积236.60km</w:t>
      </w:r>
      <w:r>
        <w:rPr>
          <w:rFonts w:ascii="Times New Roman" w:hAnsi="Times New Roman" w:eastAsiaTheme="minorEastAsia"/>
          <w:kern w:val="0"/>
          <w:sz w:val="24"/>
          <w:szCs w:val="24"/>
          <w:vertAlign w:val="superscript"/>
        </w:rPr>
        <w:t>2</w:t>
      </w:r>
      <w:r>
        <w:rPr>
          <w:rFonts w:ascii="Times New Roman" w:hAnsi="Times New Roman" w:eastAsiaTheme="minorEastAsia"/>
          <w:kern w:val="0"/>
          <w:sz w:val="24"/>
          <w:szCs w:val="24"/>
        </w:rPr>
        <w:t>；缓冲区长度4.4km，面积11.04km</w:t>
      </w:r>
      <w:r>
        <w:rPr>
          <w:rFonts w:ascii="Times New Roman" w:hAnsi="Times New Roman" w:eastAsiaTheme="minorEastAsia"/>
          <w:kern w:val="0"/>
          <w:sz w:val="24"/>
          <w:szCs w:val="24"/>
          <w:vertAlign w:val="superscript"/>
        </w:rPr>
        <w:t>2</w:t>
      </w:r>
      <w:r>
        <w:rPr>
          <w:rFonts w:ascii="Times New Roman" w:hAnsi="Times New Roman" w:eastAsiaTheme="minorEastAsia"/>
          <w:kern w:val="0"/>
          <w:sz w:val="24"/>
          <w:szCs w:val="24"/>
        </w:rPr>
        <w:t>；实验区长度54.6km，总面积为166.23km</w:t>
      </w:r>
      <w:r>
        <w:rPr>
          <w:rFonts w:ascii="Times New Roman" w:hAnsi="Times New Roman" w:eastAsiaTheme="minorEastAsia"/>
          <w:kern w:val="0"/>
          <w:sz w:val="24"/>
          <w:szCs w:val="24"/>
          <w:vertAlign w:val="superscript"/>
        </w:rPr>
        <w:t>2</w:t>
      </w:r>
      <w:r>
        <w:rPr>
          <w:rFonts w:ascii="Times New Roman" w:hAnsi="Times New Roman" w:eastAsiaTheme="minorEastAsia"/>
          <w:kern w:val="0"/>
          <w:sz w:val="24"/>
          <w:szCs w:val="24"/>
        </w:rPr>
        <w:t>。</w:t>
      </w:r>
    </w:p>
    <w:p>
      <w:pPr>
        <w:pStyle w:val="5"/>
        <w:rPr>
          <w:rFonts w:eastAsiaTheme="minorEastAsia"/>
          <w:color w:val="auto"/>
        </w:rPr>
      </w:pPr>
      <w:r>
        <w:rPr>
          <w:rFonts w:eastAsiaTheme="minorEastAsia"/>
          <w:color w:val="auto"/>
        </w:rPr>
        <w:t>保护区功能区划</w:t>
      </w:r>
    </w:p>
    <w:p>
      <w:pPr>
        <w:widowControl/>
        <w:shd w:val="clear" w:color="auto"/>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保护区设8个核心区，16个缓冲区和9个实验区。核心区从上游到下游依次为：螺山核心区、南门洲核心区、腰口核心区、中洲核心区、护县洲核心区、复兴洲核心区、土地洲核心区和团洲核心区。</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表4.2-2  国家级自然保护区功能区起讫坐标及位置</w:t>
      </w:r>
    </w:p>
    <w:tbl>
      <w:tblPr>
        <w:tblStyle w:val="71"/>
        <w:tblW w:w="910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264"/>
        <w:gridCol w:w="1138"/>
        <w:gridCol w:w="1569"/>
        <w:gridCol w:w="1436"/>
        <w:gridCol w:w="1285"/>
        <w:gridCol w:w="1270"/>
        <w:gridCol w:w="11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84" w:hRule="atLeast"/>
          <w:tblHeader/>
        </w:trPr>
        <w:tc>
          <w:tcPr>
            <w:tcW w:w="3971" w:type="dxa"/>
            <w:gridSpan w:val="3"/>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b/>
                <w:bCs/>
                <w:kern w:val="0"/>
              </w:rPr>
              <w:t>左岸</w:t>
            </w: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b/>
                <w:bCs/>
                <w:kern w:val="0"/>
              </w:rPr>
              <w:t>功能区名称</w:t>
            </w:r>
          </w:p>
        </w:tc>
        <w:tc>
          <w:tcPr>
            <w:tcW w:w="3693" w:type="dxa"/>
            <w:gridSpan w:val="3"/>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b/>
                <w:bCs/>
                <w:kern w:val="0"/>
              </w:rPr>
              <w:t>右岸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blHeader/>
        </w:trPr>
        <w:tc>
          <w:tcPr>
            <w:tcW w:w="1264" w:type="dxa"/>
            <w:shd w:val="clear" w:color="auto" w:fill="auto"/>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b/>
                <w:bCs/>
                <w:kern w:val="0"/>
              </w:rPr>
              <w:t>东经</w:t>
            </w:r>
          </w:p>
        </w:tc>
        <w:tc>
          <w:tcPr>
            <w:tcW w:w="1138" w:type="dxa"/>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b/>
                <w:bCs/>
                <w:kern w:val="0"/>
              </w:rPr>
              <w:t>北纬</w:t>
            </w:r>
          </w:p>
        </w:tc>
        <w:tc>
          <w:tcPr>
            <w:tcW w:w="1569" w:type="dxa"/>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b/>
                <w:bCs/>
                <w:kern w:val="0"/>
              </w:rPr>
              <w:t>堤防桩号</w:t>
            </w: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b/>
                <w:bCs/>
                <w:kern w:val="0"/>
              </w:rPr>
              <w:t>堤防桩号</w:t>
            </w:r>
          </w:p>
        </w:tc>
        <w:tc>
          <w:tcPr>
            <w:tcW w:w="1270" w:type="dxa"/>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b/>
                <w:bCs/>
                <w:kern w:val="0"/>
              </w:rPr>
              <w:t>东经</w:t>
            </w:r>
          </w:p>
        </w:tc>
        <w:tc>
          <w:tcPr>
            <w:tcW w:w="1138" w:type="dxa"/>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b/>
                <w:bCs/>
                <w:kern w:val="0"/>
              </w:rPr>
              <w:t>北纬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2" w:hRule="atLeast"/>
        </w:trPr>
        <w:tc>
          <w:tcPr>
            <w:tcW w:w="1264" w:type="dxa"/>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113°51'20.17"</w:t>
            </w:r>
          </w:p>
        </w:tc>
        <w:tc>
          <w:tcPr>
            <w:tcW w:w="1138" w:type="dxa"/>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30°12'40.83"</w:t>
            </w:r>
          </w:p>
        </w:tc>
        <w:tc>
          <w:tcPr>
            <w:tcW w:w="1569" w:type="dxa"/>
            <w:shd w:val="clear" w:color="auto" w:fill="auto"/>
            <w:vAlign w:val="center"/>
          </w:tcPr>
          <w:p>
            <w:pPr>
              <w:widowControl/>
              <w:adjustRightInd w:val="0"/>
              <w:snapToGrid w:val="0"/>
              <w:jc w:val="center"/>
              <w:rPr>
                <w:rFonts w:ascii="Times New Roman" w:hAnsi="Times New Roman" w:eastAsiaTheme="minorEastAsia"/>
                <w:kern w:val="0"/>
              </w:rPr>
            </w:pP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团州实验区</w:t>
            </w:r>
          </w:p>
        </w:tc>
        <w:tc>
          <w:tcPr>
            <w:tcW w:w="1285" w:type="dxa"/>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簰堤17+000</w:t>
            </w:r>
          </w:p>
        </w:tc>
        <w:tc>
          <w:tcPr>
            <w:tcW w:w="1270" w:type="dxa"/>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113°53′26.20″</w:t>
            </w:r>
          </w:p>
        </w:tc>
        <w:tc>
          <w:tcPr>
            <w:tcW w:w="1138" w:type="dxa"/>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30°13′06.93″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41" w:hRule="atLeast"/>
        </w:trPr>
        <w:tc>
          <w:tcPr>
            <w:tcW w:w="1264"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113°50'28.09"</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30°12'17.08"</w:t>
            </w:r>
          </w:p>
        </w:tc>
        <w:tc>
          <w:tcPr>
            <w:tcW w:w="1569" w:type="dxa"/>
            <w:vMerge w:val="restart"/>
            <w:shd w:val="clear" w:color="auto" w:fill="auto"/>
            <w:vAlign w:val="center"/>
          </w:tcPr>
          <w:p>
            <w:pPr>
              <w:widowControl/>
              <w:adjustRightInd w:val="0"/>
              <w:snapToGrid w:val="0"/>
              <w:jc w:val="center"/>
              <w:rPr>
                <w:rFonts w:ascii="Times New Roman" w:hAnsi="Times New Roman" w:eastAsiaTheme="minorEastAsia"/>
                <w:kern w:val="0"/>
              </w:rPr>
            </w:pP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簰堤16+300</w:t>
            </w:r>
          </w:p>
        </w:tc>
        <w:tc>
          <w:tcPr>
            <w:tcW w:w="1270"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113°53′32.58″</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30°12′48.99″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64"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569"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团州缓冲区</w:t>
            </w:r>
          </w:p>
        </w:tc>
        <w:tc>
          <w:tcPr>
            <w:tcW w:w="1285"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70"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64"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113°50'30.52"</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30°12'06.97"</w:t>
            </w:r>
          </w:p>
        </w:tc>
        <w:tc>
          <w:tcPr>
            <w:tcW w:w="1569" w:type="dxa"/>
            <w:vMerge w:val="restart"/>
            <w:shd w:val="clear" w:color="auto" w:fill="auto"/>
            <w:vAlign w:val="center"/>
          </w:tcPr>
          <w:p>
            <w:pPr>
              <w:widowControl/>
              <w:adjustRightInd w:val="0"/>
              <w:snapToGrid w:val="0"/>
              <w:jc w:val="center"/>
              <w:rPr>
                <w:rFonts w:ascii="Times New Roman" w:hAnsi="Times New Roman" w:eastAsiaTheme="minorEastAsia"/>
                <w:kern w:val="0"/>
              </w:rPr>
            </w:pP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簰堤16+100</w:t>
            </w:r>
          </w:p>
        </w:tc>
        <w:tc>
          <w:tcPr>
            <w:tcW w:w="1270"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113°53'37.32"</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30°12'43.87"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64"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569"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团州核心区</w:t>
            </w:r>
          </w:p>
        </w:tc>
        <w:tc>
          <w:tcPr>
            <w:tcW w:w="1285"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70"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64"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113°50'44.24"</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30°11'04.87"</w:t>
            </w:r>
          </w:p>
        </w:tc>
        <w:tc>
          <w:tcPr>
            <w:tcW w:w="1569" w:type="dxa"/>
            <w:vMerge w:val="restart"/>
            <w:shd w:val="clear" w:color="auto" w:fill="auto"/>
            <w:vAlign w:val="center"/>
          </w:tcPr>
          <w:p>
            <w:pPr>
              <w:widowControl/>
              <w:adjustRightInd w:val="0"/>
              <w:snapToGrid w:val="0"/>
              <w:jc w:val="center"/>
              <w:rPr>
                <w:rFonts w:ascii="Times New Roman" w:hAnsi="Times New Roman" w:eastAsiaTheme="minorEastAsia"/>
                <w:kern w:val="0"/>
              </w:rPr>
            </w:pP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簰堤14+900</w:t>
            </w:r>
          </w:p>
        </w:tc>
        <w:tc>
          <w:tcPr>
            <w:tcW w:w="1270"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113°54′11.12″</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30°12′15.87″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64"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569"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团州缓冲区</w:t>
            </w:r>
          </w:p>
        </w:tc>
        <w:tc>
          <w:tcPr>
            <w:tcW w:w="1285"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70"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64"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113°50'46.06"</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30°10'56.19"</w:t>
            </w:r>
          </w:p>
        </w:tc>
        <w:tc>
          <w:tcPr>
            <w:tcW w:w="1569" w:type="dxa"/>
            <w:vMerge w:val="restart"/>
            <w:shd w:val="clear" w:color="auto" w:fill="auto"/>
            <w:vAlign w:val="center"/>
          </w:tcPr>
          <w:p>
            <w:pPr>
              <w:widowControl/>
              <w:adjustRightInd w:val="0"/>
              <w:snapToGrid w:val="0"/>
              <w:jc w:val="center"/>
              <w:rPr>
                <w:rFonts w:ascii="Times New Roman" w:hAnsi="Times New Roman" w:eastAsiaTheme="minorEastAsia"/>
                <w:kern w:val="0"/>
              </w:rPr>
            </w:pP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簰堤14+600</w:t>
            </w:r>
          </w:p>
        </w:tc>
        <w:tc>
          <w:tcPr>
            <w:tcW w:w="1270"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113°54′13.93″</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30°12′12.20″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64"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569"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土地州实验区</w:t>
            </w:r>
          </w:p>
        </w:tc>
        <w:tc>
          <w:tcPr>
            <w:tcW w:w="1285"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70"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64"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113°56′19.14″</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30°10′51.40″</w:t>
            </w:r>
          </w:p>
        </w:tc>
        <w:tc>
          <w:tcPr>
            <w:tcW w:w="1569"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鄂江左405+500</w:t>
            </w: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簰堤10+000</w:t>
            </w:r>
          </w:p>
        </w:tc>
        <w:tc>
          <w:tcPr>
            <w:tcW w:w="1270"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113°56′27.56″</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30°12′56.54″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64"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569"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土地州缓冲区</w:t>
            </w:r>
          </w:p>
        </w:tc>
        <w:tc>
          <w:tcPr>
            <w:tcW w:w="1285"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70"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64"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113°56′26.79″</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30°10′51.79″</w:t>
            </w:r>
          </w:p>
        </w:tc>
        <w:tc>
          <w:tcPr>
            <w:tcW w:w="1569"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鄂江左405+700</w:t>
            </w: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簰堤09+800</w:t>
            </w:r>
          </w:p>
        </w:tc>
        <w:tc>
          <w:tcPr>
            <w:tcW w:w="1270"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113°56′35.35″</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30°12′54.15″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64"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569"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土地州核心区</w:t>
            </w:r>
          </w:p>
        </w:tc>
        <w:tc>
          <w:tcPr>
            <w:tcW w:w="1285"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70"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64"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114°03′14.42″</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30°06′55.86″</w:t>
            </w:r>
          </w:p>
        </w:tc>
        <w:tc>
          <w:tcPr>
            <w:tcW w:w="1569"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鄂江左420+950</w:t>
            </w: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鄂江右270+800</w:t>
            </w:r>
          </w:p>
        </w:tc>
        <w:tc>
          <w:tcPr>
            <w:tcW w:w="1270"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114°05′50.27″</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30°06′45.24″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64"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569"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土地州缓冲区</w:t>
            </w:r>
          </w:p>
        </w:tc>
        <w:tc>
          <w:tcPr>
            <w:tcW w:w="1285"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70"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64"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114°03′18.38″</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30°06′49.31″</w:t>
            </w:r>
          </w:p>
        </w:tc>
        <w:tc>
          <w:tcPr>
            <w:tcW w:w="1569"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鄂江左421+150</w:t>
            </w: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鄂江右271+200</w:t>
            </w:r>
          </w:p>
        </w:tc>
        <w:tc>
          <w:tcPr>
            <w:tcW w:w="1270"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114°05′40.27″</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30°06′40.77″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64"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569"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复兴州实验区</w:t>
            </w:r>
          </w:p>
        </w:tc>
        <w:tc>
          <w:tcPr>
            <w:tcW w:w="1285"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70"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64"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113°57′39.78″</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30°03′24.60″</w:t>
            </w:r>
          </w:p>
        </w:tc>
        <w:tc>
          <w:tcPr>
            <w:tcW w:w="1569"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鄂江左437+000</w:t>
            </w: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鄂江右287+400</w:t>
            </w:r>
          </w:p>
        </w:tc>
        <w:tc>
          <w:tcPr>
            <w:tcW w:w="1270"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113°59′00.57″</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30°01′27.28″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64"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569"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复兴州缓冲区</w:t>
            </w:r>
          </w:p>
        </w:tc>
        <w:tc>
          <w:tcPr>
            <w:tcW w:w="1285"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70"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64"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113°57′32.96″</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30°03′19.44″</w:t>
            </w:r>
          </w:p>
        </w:tc>
        <w:tc>
          <w:tcPr>
            <w:tcW w:w="1569"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鄂江左437+250</w:t>
            </w: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鄂江右287+600</w:t>
            </w:r>
          </w:p>
        </w:tc>
        <w:tc>
          <w:tcPr>
            <w:tcW w:w="1270"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113°58′52.70″</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30°01′24.26″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64"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569"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复兴州核心区</w:t>
            </w:r>
          </w:p>
        </w:tc>
        <w:tc>
          <w:tcPr>
            <w:tcW w:w="1285"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70"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64"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113°53′09.67″</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30°01′37.78″</w:t>
            </w:r>
          </w:p>
        </w:tc>
        <w:tc>
          <w:tcPr>
            <w:tcW w:w="1569"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鄂江左444+700</w:t>
            </w: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神州堤与公堤交汇点下游200m</w:t>
            </w:r>
          </w:p>
        </w:tc>
        <w:tc>
          <w:tcPr>
            <w:tcW w:w="1270"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113°55'00.09"</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29°59'35.37"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64"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569"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复兴州缓冲区</w:t>
            </w:r>
          </w:p>
        </w:tc>
        <w:tc>
          <w:tcPr>
            <w:tcW w:w="1285"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70"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64"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113°53′04.32″</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30°01′32.06″</w:t>
            </w:r>
          </w:p>
        </w:tc>
        <w:tc>
          <w:tcPr>
            <w:tcW w:w="1569"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鄂江左444+900</w:t>
            </w: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神州堤与公堤交汇点</w:t>
            </w:r>
          </w:p>
        </w:tc>
        <w:tc>
          <w:tcPr>
            <w:tcW w:w="1270"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113°54'48.52"</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29°59'33.64"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64"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569"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护县洲实验区</w:t>
            </w:r>
          </w:p>
        </w:tc>
        <w:tc>
          <w:tcPr>
            <w:tcW w:w="1285"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70"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64"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113°52′27.09″</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30°00′51.69″</w:t>
            </w:r>
          </w:p>
        </w:tc>
        <w:tc>
          <w:tcPr>
            <w:tcW w:w="1569"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鄂江左446+600</w:t>
            </w: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神州堤</w:t>
            </w:r>
          </w:p>
        </w:tc>
        <w:tc>
          <w:tcPr>
            <w:tcW w:w="1270"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113°54'05.55"</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29°59'27.75"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64"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569"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护县洲缓冲区</w:t>
            </w:r>
          </w:p>
        </w:tc>
        <w:tc>
          <w:tcPr>
            <w:tcW w:w="1285"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70"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64"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113°52′21.92″</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30°00′47.12″</w:t>
            </w:r>
          </w:p>
        </w:tc>
        <w:tc>
          <w:tcPr>
            <w:tcW w:w="1569"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鄂江左446+800</w:t>
            </w: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神州堤</w:t>
            </w:r>
          </w:p>
        </w:tc>
        <w:tc>
          <w:tcPr>
            <w:tcW w:w="1270"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113°54'00.07"</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29°59'22.84"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64"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569"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护县洲核心区</w:t>
            </w:r>
          </w:p>
        </w:tc>
        <w:tc>
          <w:tcPr>
            <w:tcW w:w="1285"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70"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64"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113°49'52.94"</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29°57'19.66"</w:t>
            </w:r>
          </w:p>
        </w:tc>
        <w:tc>
          <w:tcPr>
            <w:tcW w:w="1569"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鄂江左454+900</w:t>
            </w: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鄂江右304+600</w:t>
            </w:r>
          </w:p>
        </w:tc>
        <w:tc>
          <w:tcPr>
            <w:tcW w:w="1270"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113°50'38.06"</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29°56'49.94"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64"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569"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护县洲缓冲区</w:t>
            </w:r>
          </w:p>
        </w:tc>
        <w:tc>
          <w:tcPr>
            <w:tcW w:w="1285"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70"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64"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113°49'48.28"</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29°57'13.99"</w:t>
            </w:r>
          </w:p>
        </w:tc>
        <w:tc>
          <w:tcPr>
            <w:tcW w:w="1569"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鄂江左455+100</w:t>
            </w: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鄂江右304+800</w:t>
            </w:r>
          </w:p>
        </w:tc>
        <w:tc>
          <w:tcPr>
            <w:tcW w:w="1270"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113°50'30.80"</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29°56'46.12"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64"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569"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中州实验区</w:t>
            </w:r>
          </w:p>
        </w:tc>
        <w:tc>
          <w:tcPr>
            <w:tcW w:w="1285"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70"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64"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113°47′20.09″</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29°56′00.41″</w:t>
            </w:r>
          </w:p>
        </w:tc>
        <w:tc>
          <w:tcPr>
            <w:tcW w:w="1569"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鄂江左460+900</w:t>
            </w: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鄂江右312+700</w:t>
            </w:r>
          </w:p>
        </w:tc>
        <w:tc>
          <w:tcPr>
            <w:tcW w:w="1270"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113°47′22.57″</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29°55′05.61″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64"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569"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中州缓冲区</w:t>
            </w:r>
          </w:p>
        </w:tc>
        <w:tc>
          <w:tcPr>
            <w:tcW w:w="1285"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70"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64"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113°47′12.38″</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29°56′00.03″</w:t>
            </w:r>
          </w:p>
        </w:tc>
        <w:tc>
          <w:tcPr>
            <w:tcW w:w="1569"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鄂江左461+100</w:t>
            </w: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鄂江右312+900</w:t>
            </w:r>
          </w:p>
        </w:tc>
        <w:tc>
          <w:tcPr>
            <w:tcW w:w="1270"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113°47′15.16″</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29°55′05.41″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64"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569"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中州核心区</w:t>
            </w:r>
          </w:p>
        </w:tc>
        <w:tc>
          <w:tcPr>
            <w:tcW w:w="1285"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70"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64"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113°37′25.58″</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29°55′16.68″</w:t>
            </w:r>
          </w:p>
        </w:tc>
        <w:tc>
          <w:tcPr>
            <w:tcW w:w="1569"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鄂江左484+300</w:t>
            </w: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鄂江右340+100</w:t>
            </w:r>
          </w:p>
        </w:tc>
        <w:tc>
          <w:tcPr>
            <w:tcW w:w="1270"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113°38′43.52″</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29°54′15.08″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64"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569"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中州缓冲区</w:t>
            </w:r>
          </w:p>
        </w:tc>
        <w:tc>
          <w:tcPr>
            <w:tcW w:w="1285"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70"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64"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113°37′23.36″</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29°55′10.79″</w:t>
            </w:r>
          </w:p>
        </w:tc>
        <w:tc>
          <w:tcPr>
            <w:tcW w:w="1569"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鄂江左484+600</w:t>
            </w: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鄂江右340+300</w:t>
            </w:r>
          </w:p>
        </w:tc>
        <w:tc>
          <w:tcPr>
            <w:tcW w:w="1270"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113°38′36.37″</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29°54′12.69″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64"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569"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腰口实验区</w:t>
            </w:r>
          </w:p>
        </w:tc>
        <w:tc>
          <w:tcPr>
            <w:tcW w:w="1285"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70"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64"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113°36′41.02″</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29°54′17.63″</w:t>
            </w:r>
          </w:p>
        </w:tc>
        <w:tc>
          <w:tcPr>
            <w:tcW w:w="1569"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鄂江左486+700</w:t>
            </w: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鄂江右342+100</w:t>
            </w:r>
          </w:p>
        </w:tc>
        <w:tc>
          <w:tcPr>
            <w:tcW w:w="1270"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113°37′42.04″</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29°53′41.46″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64"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569"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腰口缓冲区</w:t>
            </w:r>
          </w:p>
        </w:tc>
        <w:tc>
          <w:tcPr>
            <w:tcW w:w="1285"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70"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64"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113°36′38.67″</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29°54′10.23″</w:t>
            </w:r>
          </w:p>
        </w:tc>
        <w:tc>
          <w:tcPr>
            <w:tcW w:w="1569"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鄂江左487+000</w:t>
            </w: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鄂江右342+500</w:t>
            </w:r>
          </w:p>
        </w:tc>
        <w:tc>
          <w:tcPr>
            <w:tcW w:w="1270"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113°37′32.77″</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29°53′34.80″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64"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569"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腰口核心区</w:t>
            </w:r>
          </w:p>
        </w:tc>
        <w:tc>
          <w:tcPr>
            <w:tcW w:w="1285"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70"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64"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113°34′44.94″</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29°52′19.14″</w:t>
            </w:r>
          </w:p>
        </w:tc>
        <w:tc>
          <w:tcPr>
            <w:tcW w:w="1569"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鄂江左491+900</w:t>
            </w: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鄂江右348+300</w:t>
            </w:r>
          </w:p>
        </w:tc>
        <w:tc>
          <w:tcPr>
            <w:tcW w:w="1270"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113°36′10.50″</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29°50′52.98″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64"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569"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腰口缓冲区</w:t>
            </w:r>
          </w:p>
        </w:tc>
        <w:tc>
          <w:tcPr>
            <w:tcW w:w="1285"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70"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64"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113°34′38.81″</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29°52′15.57″</w:t>
            </w:r>
          </w:p>
        </w:tc>
        <w:tc>
          <w:tcPr>
            <w:tcW w:w="1569"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鄂江左492+200</w:t>
            </w: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鄂江右348+500</w:t>
            </w:r>
          </w:p>
        </w:tc>
        <w:tc>
          <w:tcPr>
            <w:tcW w:w="1270"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113°36′03.40″</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29°50′50.91″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64"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569"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南门洲实验区</w:t>
            </w:r>
          </w:p>
        </w:tc>
        <w:tc>
          <w:tcPr>
            <w:tcW w:w="1285"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70"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64"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113°31′21.61″</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29°50′07.55″</w:t>
            </w:r>
          </w:p>
        </w:tc>
        <w:tc>
          <w:tcPr>
            <w:tcW w:w="1569"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鄂江左499+100</w:t>
            </w: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湘江右136+200</w:t>
            </w:r>
          </w:p>
        </w:tc>
        <w:tc>
          <w:tcPr>
            <w:tcW w:w="1270"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113°31′53.47″</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29°49′13.24″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64"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569"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南门洲缓冲区</w:t>
            </w:r>
          </w:p>
        </w:tc>
        <w:tc>
          <w:tcPr>
            <w:tcW w:w="1285"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70"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64"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113°31′15.08″</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29°50′04.74″</w:t>
            </w:r>
          </w:p>
        </w:tc>
        <w:tc>
          <w:tcPr>
            <w:tcW w:w="1569"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鄂江左499+300</w:t>
            </w: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湘江右136+000</w:t>
            </w:r>
          </w:p>
        </w:tc>
        <w:tc>
          <w:tcPr>
            <w:tcW w:w="1270"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113°31′45.96″</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29°49′11.12″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64"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569"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南门洲核心区</w:t>
            </w:r>
          </w:p>
        </w:tc>
        <w:tc>
          <w:tcPr>
            <w:tcW w:w="1285"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70"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64"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113°27'29.77"</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29°48'01.55"</w:t>
            </w:r>
          </w:p>
        </w:tc>
        <w:tc>
          <w:tcPr>
            <w:tcW w:w="1569"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鄂江左507+000边滩界</w:t>
            </w: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湘江右130+000</w:t>
            </w:r>
          </w:p>
        </w:tc>
        <w:tc>
          <w:tcPr>
            <w:tcW w:w="1270"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113°29′13.80″</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29°46′58.80″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64"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569"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南门洲缓冲区</w:t>
            </w:r>
          </w:p>
        </w:tc>
        <w:tc>
          <w:tcPr>
            <w:tcW w:w="1285"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70"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64"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113°27'25.16"</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29°47'56.89"</w:t>
            </w:r>
          </w:p>
        </w:tc>
        <w:tc>
          <w:tcPr>
            <w:tcW w:w="1569"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鄂江左507+200</w:t>
            </w:r>
          </w:p>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边滩界</w:t>
            </w: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湘江右129+700</w:t>
            </w:r>
          </w:p>
        </w:tc>
        <w:tc>
          <w:tcPr>
            <w:tcW w:w="1270"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113°29′15.53″</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29°46′50.33″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64"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569"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螺山实验区</w:t>
            </w:r>
          </w:p>
        </w:tc>
        <w:tc>
          <w:tcPr>
            <w:tcW w:w="1285"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70"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64"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113°22′56.84″</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29°44′15.56″</w:t>
            </w:r>
          </w:p>
        </w:tc>
        <w:tc>
          <w:tcPr>
            <w:tcW w:w="1569"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鄂江左517+700</w:t>
            </w: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湘江右119+600</w:t>
            </w:r>
          </w:p>
        </w:tc>
        <w:tc>
          <w:tcPr>
            <w:tcW w:w="1270"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113°24′29.65″</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29°43′26.74″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64"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569"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螺山缓冲区</w:t>
            </w:r>
          </w:p>
        </w:tc>
        <w:tc>
          <w:tcPr>
            <w:tcW w:w="1285"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70"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64"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113°22′54.09″</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29°44′09.20″</w:t>
            </w:r>
          </w:p>
        </w:tc>
        <w:tc>
          <w:tcPr>
            <w:tcW w:w="1569"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鄂江左518+000</w:t>
            </w: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湘江右119+400</w:t>
            </w:r>
          </w:p>
        </w:tc>
        <w:tc>
          <w:tcPr>
            <w:tcW w:w="1270"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113°24′23.27″</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29°43′22.51″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64"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569"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螺山核心区</w:t>
            </w:r>
          </w:p>
        </w:tc>
        <w:tc>
          <w:tcPr>
            <w:tcW w:w="1285"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70"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64"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113°20′11.43″</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29°40′54.46″</w:t>
            </w:r>
          </w:p>
        </w:tc>
        <w:tc>
          <w:tcPr>
            <w:tcW w:w="1569"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鄂江左525+700</w:t>
            </w: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湘江右111+200</w:t>
            </w:r>
          </w:p>
        </w:tc>
        <w:tc>
          <w:tcPr>
            <w:tcW w:w="1270"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113°21′13.28″</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29°40′14.81″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64"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569"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螺山缓冲区</w:t>
            </w:r>
          </w:p>
        </w:tc>
        <w:tc>
          <w:tcPr>
            <w:tcW w:w="1285"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70"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64"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113°20′07.92″</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29°40′49.12″</w:t>
            </w:r>
          </w:p>
        </w:tc>
        <w:tc>
          <w:tcPr>
            <w:tcW w:w="1569"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鄂江左526+000</w:t>
            </w: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湘江右111+000</w:t>
            </w:r>
          </w:p>
        </w:tc>
        <w:tc>
          <w:tcPr>
            <w:tcW w:w="1270"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113°21′08.00″</w:t>
            </w:r>
          </w:p>
        </w:tc>
        <w:tc>
          <w:tcPr>
            <w:tcW w:w="1138"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29°40′10.09″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64"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569"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436" w:type="dxa"/>
            <w:vMerge w:val="restart"/>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螺山实验区</w:t>
            </w:r>
          </w:p>
        </w:tc>
        <w:tc>
          <w:tcPr>
            <w:tcW w:w="1285"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70"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138" w:type="dxa"/>
            <w:vMerge w:val="continue"/>
            <w:shd w:val="clear" w:color="auto" w:fill="auto"/>
            <w:vAlign w:val="center"/>
          </w:tcPr>
          <w:p>
            <w:pPr>
              <w:widowControl/>
              <w:adjustRightInd w:val="0"/>
              <w:snapToGrid w:val="0"/>
              <w:rPr>
                <w:rFonts w:ascii="Times New Roman" w:hAnsi="Times New Roman" w:eastAsiaTheme="minorEastAsia"/>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264" w:type="dxa"/>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113°17′19.14″</w:t>
            </w:r>
          </w:p>
        </w:tc>
        <w:tc>
          <w:tcPr>
            <w:tcW w:w="1138" w:type="dxa"/>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29°38′10.14″</w:t>
            </w:r>
          </w:p>
        </w:tc>
        <w:tc>
          <w:tcPr>
            <w:tcW w:w="1569" w:type="dxa"/>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鄂江左533+600</w:t>
            </w:r>
          </w:p>
        </w:tc>
        <w:tc>
          <w:tcPr>
            <w:tcW w:w="1436" w:type="dxa"/>
            <w:vMerge w:val="continue"/>
            <w:shd w:val="clear" w:color="auto" w:fill="auto"/>
            <w:vAlign w:val="center"/>
          </w:tcPr>
          <w:p>
            <w:pPr>
              <w:widowControl/>
              <w:adjustRightInd w:val="0"/>
              <w:snapToGrid w:val="0"/>
              <w:rPr>
                <w:rFonts w:ascii="Times New Roman" w:hAnsi="Times New Roman" w:eastAsiaTheme="minorEastAsia"/>
                <w:kern w:val="0"/>
              </w:rPr>
            </w:pPr>
          </w:p>
        </w:tc>
        <w:tc>
          <w:tcPr>
            <w:tcW w:w="1285" w:type="dxa"/>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湘江右103+770</w:t>
            </w:r>
          </w:p>
        </w:tc>
        <w:tc>
          <w:tcPr>
            <w:tcW w:w="1270" w:type="dxa"/>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113°18′46.45″</w:t>
            </w:r>
          </w:p>
        </w:tc>
        <w:tc>
          <w:tcPr>
            <w:tcW w:w="1138" w:type="dxa"/>
            <w:shd w:val="clear" w:color="auto" w:fill="auto"/>
            <w:vAlign w:val="center"/>
          </w:tcPr>
          <w:p>
            <w:pPr>
              <w:widowControl/>
              <w:adjustRightInd w:val="0"/>
              <w:snapToGrid w:val="0"/>
              <w:jc w:val="center"/>
              <w:rPr>
                <w:rFonts w:ascii="Times New Roman" w:hAnsi="Times New Roman" w:eastAsiaTheme="minorEastAsia"/>
                <w:kern w:val="0"/>
              </w:rPr>
            </w:pPr>
            <w:r>
              <w:rPr>
                <w:rFonts w:ascii="Times New Roman" w:hAnsi="Times New Roman" w:eastAsiaTheme="minorEastAsia"/>
                <w:kern w:val="0"/>
              </w:rPr>
              <w:t>29°37′14.59</w:t>
            </w:r>
          </w:p>
        </w:tc>
      </w:tr>
    </w:tbl>
    <w:p>
      <w:pPr>
        <w:widowControl/>
        <w:shd w:val="clear" w:color="auto"/>
        <w:adjustRightInd w:val="0"/>
        <w:snapToGrid w:val="0"/>
        <w:spacing w:line="360" w:lineRule="auto"/>
        <w:rPr>
          <w:rFonts w:ascii="Times New Roman" w:hAnsi="Times New Roman" w:eastAsiaTheme="minorEastAsia"/>
          <w:kern w:val="0"/>
          <w:sz w:val="24"/>
          <w:szCs w:val="24"/>
        </w:rPr>
      </w:pPr>
    </w:p>
    <w:p>
      <w:pPr>
        <w:pStyle w:val="5"/>
        <w:rPr>
          <w:rFonts w:eastAsiaTheme="minorEastAsia"/>
          <w:color w:val="auto"/>
        </w:rPr>
      </w:pPr>
      <w:r>
        <w:rPr>
          <w:rFonts w:eastAsiaTheme="minorEastAsia"/>
          <w:color w:val="auto"/>
        </w:rPr>
        <w:t>保护区主要保护对象</w:t>
      </w:r>
    </w:p>
    <w:p>
      <w:pPr>
        <w:widowControl/>
        <w:shd w:val="clear" w:color="auto"/>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保护区主要保护对象是国家一级保护野生水生动物白鱀豚。</w:t>
      </w:r>
    </w:p>
    <w:p>
      <w:pPr>
        <w:pStyle w:val="5"/>
        <w:rPr>
          <w:rFonts w:eastAsiaTheme="minorEastAsia"/>
          <w:color w:val="auto"/>
        </w:rPr>
      </w:pPr>
      <w:r>
        <w:rPr>
          <w:rFonts w:eastAsiaTheme="minorEastAsia"/>
          <w:color w:val="auto"/>
        </w:rPr>
        <w:t>项目与</w:t>
      </w:r>
      <w:r>
        <w:rPr>
          <w:rFonts w:eastAsiaTheme="minorEastAsia"/>
          <w:color w:val="auto"/>
          <w:kern w:val="0"/>
          <w:szCs w:val="32"/>
        </w:rPr>
        <w:t>国家级自然保护区</w:t>
      </w:r>
      <w:r>
        <w:rPr>
          <w:rFonts w:eastAsiaTheme="minorEastAsia"/>
          <w:color w:val="auto"/>
        </w:rPr>
        <w:t>位置关系</w:t>
      </w:r>
    </w:p>
    <w:p>
      <w:pPr>
        <w:widowControl/>
        <w:adjustRightInd w:val="0"/>
        <w:snapToGrid w:val="0"/>
        <w:spacing w:line="360" w:lineRule="auto"/>
        <w:ind w:firstLine="480" w:firstLineChars="200"/>
        <w:jc w:val="left"/>
        <w:rPr>
          <w:rFonts w:ascii="Times New Roman" w:hAnsi="Times New Roman" w:eastAsiaTheme="minorEastAsia"/>
          <w:sz w:val="24"/>
          <w:szCs w:val="24"/>
        </w:rPr>
      </w:pPr>
      <w:r>
        <w:rPr>
          <w:rFonts w:ascii="Times New Roman" w:hAnsi="Times New Roman" w:eastAsiaTheme="minorEastAsia"/>
          <w:sz w:val="24"/>
          <w:szCs w:val="24"/>
        </w:rPr>
        <w:t>本项目位于白鱀豚国家级自然保护区上游，自然保护区的范围外，项目与自然保护区最近的为实验区，与实验区上边界最近距离约26.7km，见附图13。</w:t>
      </w:r>
    </w:p>
    <w:p>
      <w:pPr>
        <w:pStyle w:val="4"/>
        <w:rPr>
          <w:rFonts w:eastAsiaTheme="minorEastAsia"/>
        </w:rPr>
      </w:pPr>
      <w:r>
        <w:rPr>
          <w:rFonts w:eastAsiaTheme="minorEastAsia"/>
        </w:rPr>
        <w:t>湖南云溪白泥湖国家湿地公园</w:t>
      </w:r>
    </w:p>
    <w:p>
      <w:pPr>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白泥湖是一个位于中国湖南省岳阳市云溪区的淡水湖，面积约为15.09平方千米，属于长江区。它的一级流域为长江流域，二级流域为长江干流水系。</w:t>
      </w:r>
    </w:p>
    <w:p>
      <w:pPr>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白泥湖国家湿地公园总面积1195.2hm</w:t>
      </w:r>
      <w:r>
        <w:rPr>
          <w:rFonts w:ascii="Times New Roman" w:hAnsi="Times New Roman" w:eastAsiaTheme="minorEastAsia"/>
          <w:bCs/>
          <w:sz w:val="24"/>
          <w:szCs w:val="24"/>
          <w:vertAlign w:val="superscript"/>
        </w:rPr>
        <w:t>2</w:t>
      </w:r>
      <w:r>
        <w:rPr>
          <w:rFonts w:ascii="Times New Roman" w:hAnsi="Times New Roman" w:eastAsiaTheme="minorEastAsia"/>
          <w:bCs/>
          <w:sz w:val="24"/>
          <w:szCs w:val="24"/>
        </w:rPr>
        <w:t>，湿地率达89.95%。园内湿地类型多样，有湖泊湿地、沼泽湿地和人工湿地3大湿地类，永久性淡水湖、草本沼泽等6种湿地型，有国家</w:t>
      </w:r>
      <w:r>
        <w:rPr>
          <w:rFonts w:hint="eastAsia" w:ascii="宋体" w:hAnsi="宋体" w:cs="宋体"/>
          <w:bCs/>
          <w:sz w:val="24"/>
          <w:szCs w:val="24"/>
        </w:rPr>
        <w:t>Ⅱ</w:t>
      </w:r>
      <w:r>
        <w:rPr>
          <w:rFonts w:ascii="Times New Roman" w:hAnsi="Times New Roman" w:eastAsiaTheme="minorEastAsia"/>
          <w:bCs/>
          <w:sz w:val="24"/>
          <w:szCs w:val="24"/>
        </w:rPr>
        <w:t>级重点保护野生植物4种，国家</w:t>
      </w:r>
      <w:r>
        <w:rPr>
          <w:rFonts w:hint="eastAsia" w:ascii="宋体" w:hAnsi="宋体" w:cs="宋体"/>
          <w:bCs/>
          <w:sz w:val="24"/>
          <w:szCs w:val="24"/>
        </w:rPr>
        <w:t>Ⅱ</w:t>
      </w:r>
      <w:r>
        <w:rPr>
          <w:rFonts w:ascii="Times New Roman" w:hAnsi="Times New Roman" w:eastAsiaTheme="minorEastAsia"/>
          <w:bCs/>
          <w:sz w:val="24"/>
          <w:szCs w:val="24"/>
        </w:rPr>
        <w:t>级重点保护野生动物7种。</w:t>
      </w:r>
    </w:p>
    <w:p>
      <w:pPr>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bCs/>
          <w:sz w:val="24"/>
          <w:szCs w:val="24"/>
        </w:rPr>
        <w:t>本项目位于白泥湖湿地公园范围外，项目与湿地公园边界最近直线距离约12.0km，见附图14。</w:t>
      </w:r>
    </w:p>
    <w:p>
      <w:pPr>
        <w:pStyle w:val="3"/>
        <w:rPr>
          <w:rFonts w:ascii="Times New Roman" w:hAnsi="Times New Roman" w:eastAsiaTheme="minorEastAsia"/>
          <w:b/>
        </w:rPr>
      </w:pPr>
      <w:bookmarkStart w:id="75" w:name="_Toc213"/>
      <w:r>
        <w:rPr>
          <w:rFonts w:ascii="Times New Roman" w:hAnsi="Times New Roman" w:eastAsiaTheme="minorEastAsia"/>
          <w:b/>
        </w:rPr>
        <w:t>区域污染源调查</w:t>
      </w:r>
      <w:bookmarkEnd w:id="75"/>
    </w:p>
    <w:p>
      <w:pPr>
        <w:pStyle w:val="4"/>
        <w:rPr>
          <w:rFonts w:eastAsiaTheme="minorEastAsia"/>
        </w:rPr>
      </w:pPr>
      <w:r>
        <w:rPr>
          <w:rFonts w:eastAsiaTheme="minorEastAsia"/>
        </w:rPr>
        <w:t>点源</w:t>
      </w:r>
    </w:p>
    <w:p>
      <w:pPr>
        <w:widowControl/>
        <w:adjustRightInd w:val="0"/>
        <w:snapToGrid w:val="0"/>
        <w:spacing w:line="360" w:lineRule="auto"/>
        <w:ind w:firstLine="482" w:firstLineChars="200"/>
        <w:jc w:val="left"/>
        <w:rPr>
          <w:rFonts w:ascii="Times New Roman" w:hAnsi="Times New Roman" w:eastAsiaTheme="minorEastAsia"/>
          <w:b/>
          <w:sz w:val="24"/>
          <w:szCs w:val="24"/>
        </w:rPr>
      </w:pPr>
      <w:r>
        <w:rPr>
          <w:rFonts w:ascii="Times New Roman" w:hAnsi="Times New Roman" w:eastAsiaTheme="minorEastAsia"/>
          <w:b/>
          <w:sz w:val="24"/>
          <w:szCs w:val="24"/>
        </w:rPr>
        <w:t>1、工业或生活排污口</w:t>
      </w:r>
    </w:p>
    <w:p>
      <w:pPr>
        <w:widowControl/>
        <w:adjustRightInd w:val="0"/>
        <w:snapToGrid w:val="0"/>
        <w:spacing w:line="360" w:lineRule="auto"/>
        <w:ind w:firstLine="480" w:firstLineChars="200"/>
        <w:jc w:val="left"/>
        <w:rPr>
          <w:rFonts w:ascii="Times New Roman" w:hAnsi="Times New Roman" w:eastAsiaTheme="minorEastAsia"/>
          <w:sz w:val="24"/>
          <w:szCs w:val="24"/>
        </w:rPr>
      </w:pPr>
      <w:r>
        <w:rPr>
          <w:rFonts w:ascii="Times New Roman" w:hAnsi="Times New Roman" w:eastAsiaTheme="minorEastAsia"/>
          <w:sz w:val="24"/>
          <w:szCs w:val="24"/>
        </w:rPr>
        <w:t>经现场调查，拟建码头下游20km范围内存在2个企业综合排污口，无其他工业企业等点源，详细情况见下表：</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表4.3-1  工业或生活排污口情况一览表</w:t>
      </w:r>
    </w:p>
    <w:tbl>
      <w:tblPr>
        <w:tblStyle w:val="71"/>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28" w:type="dxa"/>
          <w:bottom w:w="0" w:type="dxa"/>
          <w:right w:w="28" w:type="dxa"/>
        </w:tblCellMar>
      </w:tblPr>
      <w:tblGrid>
        <w:gridCol w:w="2181"/>
        <w:gridCol w:w="1667"/>
        <w:gridCol w:w="1221"/>
        <w:gridCol w:w="1260"/>
        <w:gridCol w:w="1243"/>
        <w:gridCol w:w="155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0" w:hRule="atLeast"/>
          <w:tblHeader/>
        </w:trPr>
        <w:tc>
          <w:tcPr>
            <w:tcW w:w="1195" w:type="pct"/>
            <w:vAlign w:val="center"/>
          </w:tcPr>
          <w:p>
            <w:pPr>
              <w:pStyle w:val="65"/>
              <w:adjustRightInd w:val="0"/>
              <w:snapToGrid w:val="0"/>
              <w:spacing w:before="0" w:beforeAutospacing="0" w:after="0" w:afterAutospacing="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排污口名称</w:t>
            </w:r>
          </w:p>
        </w:tc>
        <w:tc>
          <w:tcPr>
            <w:tcW w:w="913" w:type="pct"/>
            <w:vAlign w:val="center"/>
          </w:tcPr>
          <w:p>
            <w:pPr>
              <w:pStyle w:val="65"/>
              <w:adjustRightInd w:val="0"/>
              <w:snapToGrid w:val="0"/>
              <w:spacing w:before="0" w:beforeAutospacing="0" w:after="0" w:afterAutospacing="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入河排污口坐标</w:t>
            </w:r>
          </w:p>
        </w:tc>
        <w:tc>
          <w:tcPr>
            <w:tcW w:w="669" w:type="pct"/>
            <w:vAlign w:val="center"/>
          </w:tcPr>
          <w:p>
            <w:pPr>
              <w:pStyle w:val="65"/>
              <w:adjustRightInd w:val="0"/>
              <w:snapToGrid w:val="0"/>
              <w:spacing w:before="0" w:beforeAutospacing="0" w:after="0" w:afterAutospacing="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位置关系</w:t>
            </w:r>
          </w:p>
        </w:tc>
        <w:tc>
          <w:tcPr>
            <w:tcW w:w="690" w:type="pct"/>
            <w:vAlign w:val="center"/>
          </w:tcPr>
          <w:p>
            <w:pPr>
              <w:pStyle w:val="65"/>
              <w:adjustRightInd w:val="0"/>
              <w:snapToGrid w:val="0"/>
              <w:spacing w:before="0" w:beforeAutospacing="0" w:after="0" w:afterAutospacing="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污水排放量</w:t>
            </w:r>
          </w:p>
        </w:tc>
        <w:tc>
          <w:tcPr>
            <w:tcW w:w="681" w:type="pct"/>
            <w:vAlign w:val="center"/>
          </w:tcPr>
          <w:p>
            <w:pPr>
              <w:pStyle w:val="65"/>
              <w:adjustRightInd w:val="0"/>
              <w:snapToGrid w:val="0"/>
              <w:spacing w:before="0" w:beforeAutospacing="0" w:after="0" w:afterAutospacing="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主要污染物</w:t>
            </w:r>
          </w:p>
        </w:tc>
        <w:tc>
          <w:tcPr>
            <w:tcW w:w="851" w:type="pct"/>
            <w:vAlign w:val="center"/>
          </w:tcPr>
          <w:p>
            <w:pPr>
              <w:pStyle w:val="65"/>
              <w:adjustRightInd w:val="0"/>
              <w:snapToGrid w:val="0"/>
              <w:spacing w:before="0" w:beforeAutospacing="0" w:after="0" w:afterAutospacing="0"/>
              <w:jc w:val="center"/>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污染物排放量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87" w:hRule="atLeast"/>
        </w:trPr>
        <w:tc>
          <w:tcPr>
            <w:tcW w:w="1195" w:type="pct"/>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中国石化集团资产经营管理有限公司巴陵石化分公司（云溪片区）建设项目入河排污口</w:t>
            </w:r>
          </w:p>
        </w:tc>
        <w:tc>
          <w:tcPr>
            <w:tcW w:w="913" w:type="pct"/>
            <w:vMerge w:val="restart"/>
            <w:vAlign w:val="center"/>
          </w:tcPr>
          <w:p>
            <w:pPr>
              <w:pStyle w:val="65"/>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东经113°14′2.24″，北纬29°32′39.14″</w:t>
            </w:r>
          </w:p>
        </w:tc>
        <w:tc>
          <w:tcPr>
            <w:tcW w:w="669" w:type="pct"/>
            <w:vMerge w:val="restart"/>
            <w:vAlign w:val="center"/>
          </w:tcPr>
          <w:p>
            <w:pPr>
              <w:pStyle w:val="65"/>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道仁矶汽渡码头下游300m</w:t>
            </w:r>
          </w:p>
        </w:tc>
        <w:tc>
          <w:tcPr>
            <w:tcW w:w="690" w:type="pct"/>
            <w:vMerge w:val="restart"/>
            <w:vAlign w:val="center"/>
          </w:tcPr>
          <w:p>
            <w:pPr>
              <w:pStyle w:val="65"/>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860吨/年</w:t>
            </w:r>
          </w:p>
        </w:tc>
        <w:tc>
          <w:tcPr>
            <w:tcW w:w="681" w:type="pct"/>
            <w:vAlign w:val="center"/>
          </w:tcPr>
          <w:p>
            <w:pPr>
              <w:pStyle w:val="65"/>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COD</w:t>
            </w:r>
          </w:p>
        </w:tc>
        <w:tc>
          <w:tcPr>
            <w:tcW w:w="851" w:type="pct"/>
            <w:vAlign w:val="center"/>
          </w:tcPr>
          <w:p>
            <w:pPr>
              <w:pStyle w:val="65"/>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536吨/年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87" w:hRule="atLeast"/>
        </w:trPr>
        <w:tc>
          <w:tcPr>
            <w:tcW w:w="1195" w:type="pct"/>
            <w:vMerge w:val="continue"/>
            <w:vAlign w:val="center"/>
          </w:tcPr>
          <w:p>
            <w:pPr>
              <w:pStyle w:val="65"/>
              <w:adjustRightInd w:val="0"/>
              <w:snapToGrid w:val="0"/>
              <w:spacing w:before="0" w:beforeAutospacing="0" w:after="0" w:afterAutospacing="0"/>
              <w:jc w:val="center"/>
              <w:rPr>
                <w:rFonts w:ascii="Times New Roman" w:hAnsi="Times New Roman" w:cs="Times New Roman" w:eastAsiaTheme="minorEastAsia"/>
                <w:sz w:val="21"/>
                <w:szCs w:val="21"/>
              </w:rPr>
            </w:pPr>
          </w:p>
        </w:tc>
        <w:tc>
          <w:tcPr>
            <w:tcW w:w="913" w:type="pct"/>
            <w:vMerge w:val="continue"/>
            <w:vAlign w:val="center"/>
          </w:tcPr>
          <w:p>
            <w:pPr>
              <w:pStyle w:val="65"/>
              <w:adjustRightInd w:val="0"/>
              <w:snapToGrid w:val="0"/>
              <w:spacing w:before="0" w:beforeAutospacing="0" w:after="0" w:afterAutospacing="0"/>
              <w:jc w:val="center"/>
              <w:rPr>
                <w:rFonts w:ascii="Times New Roman" w:hAnsi="Times New Roman" w:cs="Times New Roman" w:eastAsiaTheme="minorEastAsia"/>
                <w:sz w:val="21"/>
                <w:szCs w:val="21"/>
              </w:rPr>
            </w:pPr>
          </w:p>
        </w:tc>
        <w:tc>
          <w:tcPr>
            <w:tcW w:w="669" w:type="pct"/>
            <w:vMerge w:val="continue"/>
            <w:vAlign w:val="center"/>
          </w:tcPr>
          <w:p>
            <w:pPr>
              <w:pStyle w:val="65"/>
              <w:adjustRightInd w:val="0"/>
              <w:snapToGrid w:val="0"/>
              <w:spacing w:before="0" w:beforeAutospacing="0" w:after="0" w:afterAutospacing="0"/>
              <w:jc w:val="center"/>
              <w:rPr>
                <w:rFonts w:ascii="Times New Roman" w:hAnsi="Times New Roman" w:cs="Times New Roman" w:eastAsiaTheme="minorEastAsia"/>
                <w:sz w:val="21"/>
                <w:szCs w:val="21"/>
              </w:rPr>
            </w:pPr>
          </w:p>
        </w:tc>
        <w:tc>
          <w:tcPr>
            <w:tcW w:w="690" w:type="pct"/>
            <w:vMerge w:val="continue"/>
            <w:vAlign w:val="center"/>
          </w:tcPr>
          <w:p>
            <w:pPr>
              <w:pStyle w:val="65"/>
              <w:adjustRightInd w:val="0"/>
              <w:snapToGrid w:val="0"/>
              <w:spacing w:before="0" w:beforeAutospacing="0" w:after="0" w:afterAutospacing="0"/>
              <w:jc w:val="center"/>
              <w:rPr>
                <w:rFonts w:ascii="Times New Roman" w:hAnsi="Times New Roman" w:cs="Times New Roman" w:eastAsiaTheme="minorEastAsia"/>
                <w:sz w:val="21"/>
                <w:szCs w:val="21"/>
              </w:rPr>
            </w:pPr>
          </w:p>
        </w:tc>
        <w:tc>
          <w:tcPr>
            <w:tcW w:w="681" w:type="pct"/>
            <w:vAlign w:val="center"/>
          </w:tcPr>
          <w:p>
            <w:pPr>
              <w:pStyle w:val="65"/>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氨氮</w:t>
            </w:r>
          </w:p>
        </w:tc>
        <w:tc>
          <w:tcPr>
            <w:tcW w:w="851" w:type="pct"/>
            <w:vAlign w:val="center"/>
          </w:tcPr>
          <w:p>
            <w:pPr>
              <w:pStyle w:val="65"/>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134吨/年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51" w:hRule="atLeast"/>
        </w:trPr>
        <w:tc>
          <w:tcPr>
            <w:tcW w:w="1195" w:type="pct"/>
            <w:vMerge w:val="restart"/>
            <w:vAlign w:val="center"/>
          </w:tcPr>
          <w:p>
            <w:pPr>
              <w:pStyle w:val="65"/>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中国石油化工股份有限公司长岭分公司工业入河排污口</w:t>
            </w:r>
          </w:p>
        </w:tc>
        <w:tc>
          <w:tcPr>
            <w:tcW w:w="913" w:type="pct"/>
            <w:vMerge w:val="restart"/>
            <w:vAlign w:val="center"/>
          </w:tcPr>
          <w:p>
            <w:pPr>
              <w:pStyle w:val="65"/>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东经113°17′34.29″，北纬29°35′59.26″</w:t>
            </w:r>
          </w:p>
        </w:tc>
        <w:tc>
          <w:tcPr>
            <w:tcW w:w="669" w:type="pct"/>
            <w:vMerge w:val="restart"/>
            <w:vAlign w:val="center"/>
          </w:tcPr>
          <w:p>
            <w:pPr>
              <w:pStyle w:val="65"/>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长炼4#码头下游650m</w:t>
            </w:r>
          </w:p>
        </w:tc>
        <w:tc>
          <w:tcPr>
            <w:tcW w:w="690" w:type="pct"/>
            <w:vMerge w:val="restart"/>
            <w:vAlign w:val="center"/>
          </w:tcPr>
          <w:p>
            <w:pPr>
              <w:pStyle w:val="65"/>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200万吨/年</w:t>
            </w:r>
          </w:p>
        </w:tc>
        <w:tc>
          <w:tcPr>
            <w:tcW w:w="681" w:type="pct"/>
            <w:vAlign w:val="center"/>
          </w:tcPr>
          <w:p>
            <w:pPr>
              <w:pStyle w:val="65"/>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COD</w:t>
            </w:r>
          </w:p>
        </w:tc>
        <w:tc>
          <w:tcPr>
            <w:tcW w:w="851" w:type="pct"/>
            <w:vAlign w:val="center"/>
          </w:tcPr>
          <w:p>
            <w:pPr>
              <w:pStyle w:val="65"/>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246吨/年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87" w:hRule="atLeast"/>
        </w:trPr>
        <w:tc>
          <w:tcPr>
            <w:tcW w:w="1195" w:type="pct"/>
            <w:vMerge w:val="continue"/>
            <w:vAlign w:val="center"/>
          </w:tcPr>
          <w:p>
            <w:pPr>
              <w:pStyle w:val="65"/>
              <w:adjustRightInd w:val="0"/>
              <w:snapToGrid w:val="0"/>
              <w:spacing w:before="0" w:beforeAutospacing="0" w:after="0" w:afterAutospacing="0"/>
              <w:jc w:val="center"/>
              <w:rPr>
                <w:rFonts w:ascii="Times New Roman" w:hAnsi="Times New Roman" w:cs="Times New Roman" w:eastAsiaTheme="minorEastAsia"/>
                <w:sz w:val="21"/>
                <w:szCs w:val="21"/>
              </w:rPr>
            </w:pPr>
          </w:p>
        </w:tc>
        <w:tc>
          <w:tcPr>
            <w:tcW w:w="913" w:type="pct"/>
            <w:vMerge w:val="continue"/>
            <w:vAlign w:val="center"/>
          </w:tcPr>
          <w:p>
            <w:pPr>
              <w:pStyle w:val="65"/>
              <w:adjustRightInd w:val="0"/>
              <w:snapToGrid w:val="0"/>
              <w:spacing w:before="0" w:beforeAutospacing="0" w:after="0" w:afterAutospacing="0"/>
              <w:jc w:val="center"/>
              <w:rPr>
                <w:rFonts w:ascii="Times New Roman" w:hAnsi="Times New Roman" w:cs="Times New Roman" w:eastAsiaTheme="minorEastAsia"/>
                <w:sz w:val="21"/>
                <w:szCs w:val="21"/>
              </w:rPr>
            </w:pPr>
          </w:p>
        </w:tc>
        <w:tc>
          <w:tcPr>
            <w:tcW w:w="669" w:type="pct"/>
            <w:vMerge w:val="continue"/>
            <w:vAlign w:val="center"/>
          </w:tcPr>
          <w:p>
            <w:pPr>
              <w:pStyle w:val="65"/>
              <w:adjustRightInd w:val="0"/>
              <w:snapToGrid w:val="0"/>
              <w:spacing w:before="0" w:beforeAutospacing="0" w:after="0" w:afterAutospacing="0"/>
              <w:jc w:val="center"/>
              <w:rPr>
                <w:rFonts w:ascii="Times New Roman" w:hAnsi="Times New Roman" w:cs="Times New Roman" w:eastAsiaTheme="minorEastAsia"/>
                <w:sz w:val="21"/>
                <w:szCs w:val="21"/>
              </w:rPr>
            </w:pPr>
          </w:p>
        </w:tc>
        <w:tc>
          <w:tcPr>
            <w:tcW w:w="690" w:type="pct"/>
            <w:vMerge w:val="continue"/>
            <w:vAlign w:val="center"/>
          </w:tcPr>
          <w:p>
            <w:pPr>
              <w:pStyle w:val="65"/>
              <w:adjustRightInd w:val="0"/>
              <w:snapToGrid w:val="0"/>
              <w:spacing w:before="0" w:beforeAutospacing="0" w:after="0" w:afterAutospacing="0"/>
              <w:jc w:val="center"/>
              <w:rPr>
                <w:rFonts w:ascii="Times New Roman" w:hAnsi="Times New Roman" w:cs="Times New Roman" w:eastAsiaTheme="minorEastAsia"/>
                <w:sz w:val="21"/>
                <w:szCs w:val="21"/>
              </w:rPr>
            </w:pPr>
          </w:p>
        </w:tc>
        <w:tc>
          <w:tcPr>
            <w:tcW w:w="681" w:type="pct"/>
            <w:vAlign w:val="center"/>
          </w:tcPr>
          <w:p>
            <w:pPr>
              <w:pStyle w:val="65"/>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氨氮</w:t>
            </w:r>
          </w:p>
        </w:tc>
        <w:tc>
          <w:tcPr>
            <w:tcW w:w="851" w:type="pct"/>
            <w:vAlign w:val="center"/>
          </w:tcPr>
          <w:p>
            <w:pPr>
              <w:pStyle w:val="65"/>
              <w:adjustRightInd w:val="0"/>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4.1吨/年</w:t>
            </w:r>
          </w:p>
        </w:tc>
      </w:tr>
    </w:tbl>
    <w:p>
      <w:pPr>
        <w:widowControl/>
        <w:adjustRightInd w:val="0"/>
        <w:snapToGrid w:val="0"/>
        <w:spacing w:line="360" w:lineRule="auto"/>
        <w:jc w:val="left"/>
        <w:rPr>
          <w:rFonts w:ascii="Times New Roman" w:hAnsi="Times New Roman" w:eastAsiaTheme="minorEastAsia"/>
          <w:sz w:val="24"/>
          <w:szCs w:val="24"/>
        </w:rPr>
      </w:pPr>
    </w:p>
    <w:p>
      <w:pPr>
        <w:widowControl/>
        <w:adjustRightInd w:val="0"/>
        <w:snapToGrid w:val="0"/>
        <w:spacing w:line="360" w:lineRule="auto"/>
        <w:ind w:firstLine="482" w:firstLineChars="200"/>
        <w:jc w:val="left"/>
        <w:rPr>
          <w:rFonts w:ascii="Times New Roman" w:hAnsi="Times New Roman" w:eastAsiaTheme="minorEastAsia"/>
          <w:b/>
          <w:sz w:val="24"/>
          <w:szCs w:val="24"/>
        </w:rPr>
      </w:pPr>
      <w:r>
        <w:rPr>
          <w:rFonts w:ascii="Times New Roman" w:hAnsi="Times New Roman" w:eastAsiaTheme="minorEastAsia"/>
          <w:b/>
          <w:sz w:val="24"/>
          <w:szCs w:val="24"/>
        </w:rPr>
        <w:t>2、规模化畜禽养殖</w:t>
      </w:r>
    </w:p>
    <w:p>
      <w:pPr>
        <w:widowControl/>
        <w:adjustRightInd w:val="0"/>
        <w:snapToGrid w:val="0"/>
        <w:spacing w:line="360" w:lineRule="auto"/>
        <w:ind w:firstLine="480" w:firstLineChars="200"/>
        <w:jc w:val="left"/>
        <w:rPr>
          <w:rFonts w:ascii="Times New Roman" w:hAnsi="Times New Roman" w:eastAsiaTheme="minorEastAsia"/>
          <w:sz w:val="24"/>
          <w:szCs w:val="24"/>
        </w:rPr>
      </w:pPr>
      <w:r>
        <w:rPr>
          <w:rFonts w:ascii="Times New Roman" w:hAnsi="Times New Roman" w:eastAsiaTheme="minorEastAsia"/>
          <w:sz w:val="24"/>
          <w:szCs w:val="24"/>
        </w:rPr>
        <w:t>经现场调查，评价区域内无规模化畜禽养殖。</w:t>
      </w:r>
    </w:p>
    <w:p>
      <w:pPr>
        <w:pStyle w:val="4"/>
        <w:rPr>
          <w:rFonts w:eastAsiaTheme="minorEastAsia"/>
        </w:rPr>
      </w:pPr>
      <w:r>
        <w:rPr>
          <w:rFonts w:eastAsiaTheme="minorEastAsia"/>
        </w:rPr>
        <w:t>非点源</w:t>
      </w:r>
    </w:p>
    <w:p>
      <w:pPr>
        <w:widowControl/>
        <w:adjustRightInd w:val="0"/>
        <w:snapToGrid w:val="0"/>
        <w:spacing w:line="360" w:lineRule="auto"/>
        <w:ind w:firstLine="482" w:firstLineChars="200"/>
        <w:jc w:val="left"/>
        <w:rPr>
          <w:rFonts w:ascii="Times New Roman" w:hAnsi="Times New Roman" w:eastAsiaTheme="minorEastAsia"/>
          <w:b/>
          <w:sz w:val="24"/>
          <w:szCs w:val="24"/>
        </w:rPr>
      </w:pPr>
      <w:r>
        <w:rPr>
          <w:rFonts w:ascii="Times New Roman" w:hAnsi="Times New Roman" w:eastAsiaTheme="minorEastAsia"/>
          <w:b/>
          <w:sz w:val="24"/>
          <w:szCs w:val="24"/>
        </w:rPr>
        <w:t>1、种植业污染源</w:t>
      </w:r>
    </w:p>
    <w:p>
      <w:pPr>
        <w:widowControl/>
        <w:adjustRightInd w:val="0"/>
        <w:snapToGrid w:val="0"/>
        <w:spacing w:line="360" w:lineRule="auto"/>
        <w:ind w:firstLine="480" w:firstLineChars="200"/>
        <w:jc w:val="left"/>
        <w:rPr>
          <w:rFonts w:ascii="Times New Roman" w:hAnsi="Times New Roman" w:eastAsiaTheme="minorEastAsia"/>
          <w:sz w:val="24"/>
          <w:szCs w:val="24"/>
        </w:rPr>
      </w:pPr>
      <w:r>
        <w:rPr>
          <w:rFonts w:ascii="Times New Roman" w:hAnsi="Times New Roman" w:eastAsiaTheme="minorEastAsia"/>
          <w:sz w:val="24"/>
          <w:szCs w:val="24"/>
        </w:rPr>
        <w:t>经现场调查，评价区域内无种植业污染源。</w:t>
      </w:r>
    </w:p>
    <w:p>
      <w:pPr>
        <w:widowControl/>
        <w:adjustRightInd w:val="0"/>
        <w:snapToGrid w:val="0"/>
        <w:spacing w:line="360" w:lineRule="auto"/>
        <w:ind w:firstLine="482" w:firstLineChars="200"/>
        <w:jc w:val="left"/>
        <w:rPr>
          <w:rFonts w:ascii="Times New Roman" w:hAnsi="Times New Roman" w:eastAsiaTheme="minorEastAsia"/>
          <w:b/>
          <w:sz w:val="24"/>
          <w:szCs w:val="24"/>
        </w:rPr>
      </w:pPr>
      <w:r>
        <w:rPr>
          <w:rFonts w:ascii="Times New Roman" w:hAnsi="Times New Roman" w:eastAsiaTheme="minorEastAsia"/>
          <w:b/>
          <w:sz w:val="24"/>
          <w:szCs w:val="24"/>
        </w:rPr>
        <w:t>2、农村生活污水及固体废物</w:t>
      </w:r>
    </w:p>
    <w:p>
      <w:pPr>
        <w:widowControl/>
        <w:adjustRightInd w:val="0"/>
        <w:snapToGrid w:val="0"/>
        <w:spacing w:line="360" w:lineRule="auto"/>
        <w:ind w:firstLine="480" w:firstLineChars="200"/>
        <w:jc w:val="left"/>
        <w:rPr>
          <w:rFonts w:ascii="Times New Roman" w:hAnsi="Times New Roman" w:eastAsiaTheme="minorEastAsia"/>
          <w:sz w:val="24"/>
          <w:szCs w:val="24"/>
        </w:rPr>
      </w:pPr>
      <w:r>
        <w:rPr>
          <w:rFonts w:ascii="Times New Roman" w:hAnsi="Times New Roman" w:eastAsiaTheme="minorEastAsia"/>
          <w:sz w:val="24"/>
          <w:szCs w:val="24"/>
        </w:rPr>
        <w:t>经现场调查，评价区域内无居民居住，无农村生活污水及固体废物产生。</w:t>
      </w:r>
    </w:p>
    <w:p>
      <w:pPr>
        <w:widowControl/>
        <w:adjustRightInd w:val="0"/>
        <w:snapToGrid w:val="0"/>
        <w:spacing w:line="360" w:lineRule="auto"/>
        <w:ind w:firstLine="482" w:firstLineChars="200"/>
        <w:jc w:val="left"/>
        <w:rPr>
          <w:rFonts w:ascii="Times New Roman" w:hAnsi="Times New Roman" w:eastAsiaTheme="minorEastAsia"/>
          <w:b/>
          <w:sz w:val="24"/>
          <w:szCs w:val="24"/>
        </w:rPr>
      </w:pPr>
      <w:r>
        <w:rPr>
          <w:rFonts w:ascii="Times New Roman" w:hAnsi="Times New Roman" w:eastAsiaTheme="minorEastAsia"/>
          <w:b/>
          <w:sz w:val="24"/>
          <w:szCs w:val="24"/>
        </w:rPr>
        <w:t>3、分散式畜禽养殖污染源</w:t>
      </w:r>
    </w:p>
    <w:p>
      <w:pPr>
        <w:widowControl/>
        <w:adjustRightInd w:val="0"/>
        <w:snapToGrid w:val="0"/>
        <w:spacing w:line="360" w:lineRule="auto"/>
        <w:ind w:firstLine="480" w:firstLineChars="200"/>
        <w:jc w:val="left"/>
        <w:rPr>
          <w:rFonts w:ascii="Times New Roman" w:hAnsi="Times New Roman" w:eastAsiaTheme="minorEastAsia"/>
          <w:sz w:val="24"/>
          <w:szCs w:val="24"/>
        </w:rPr>
      </w:pPr>
      <w:r>
        <w:rPr>
          <w:rFonts w:ascii="Times New Roman" w:hAnsi="Times New Roman" w:eastAsiaTheme="minorEastAsia"/>
          <w:sz w:val="24"/>
          <w:szCs w:val="24"/>
        </w:rPr>
        <w:t>经现场调查，评价区域内无居民居住，无分散式畜禽养殖污染源。</w:t>
      </w:r>
    </w:p>
    <w:p>
      <w:pPr>
        <w:widowControl/>
        <w:adjustRightInd w:val="0"/>
        <w:snapToGrid w:val="0"/>
        <w:spacing w:line="360" w:lineRule="auto"/>
        <w:ind w:firstLine="482" w:firstLineChars="200"/>
        <w:jc w:val="left"/>
        <w:rPr>
          <w:rFonts w:ascii="Times New Roman" w:hAnsi="Times New Roman" w:eastAsiaTheme="minorEastAsia"/>
          <w:b/>
          <w:sz w:val="24"/>
          <w:szCs w:val="24"/>
        </w:rPr>
      </w:pPr>
      <w:r>
        <w:rPr>
          <w:rFonts w:ascii="Times New Roman" w:hAnsi="Times New Roman" w:eastAsiaTheme="minorEastAsia"/>
          <w:b/>
          <w:sz w:val="24"/>
          <w:szCs w:val="24"/>
        </w:rPr>
        <w:t>4、涉及重金属的矿产资源、放射性矿产资源和油田等分布情况调查</w:t>
      </w:r>
    </w:p>
    <w:p>
      <w:pPr>
        <w:widowControl/>
        <w:adjustRightInd w:val="0"/>
        <w:snapToGrid w:val="0"/>
        <w:spacing w:line="360" w:lineRule="auto"/>
        <w:ind w:firstLine="480" w:firstLineChars="200"/>
        <w:jc w:val="left"/>
        <w:rPr>
          <w:rFonts w:ascii="Times New Roman" w:hAnsi="Times New Roman" w:eastAsiaTheme="minorEastAsia"/>
          <w:sz w:val="24"/>
          <w:szCs w:val="24"/>
        </w:rPr>
      </w:pPr>
      <w:r>
        <w:rPr>
          <w:rFonts w:ascii="Times New Roman" w:hAnsi="Times New Roman" w:eastAsiaTheme="minorEastAsia"/>
          <w:sz w:val="24"/>
          <w:szCs w:val="24"/>
        </w:rPr>
        <w:t>经现场调查，评价区域内无涉及重金属的矿产资源、放射性矿产资源和油田等分布情况调查。</w:t>
      </w:r>
    </w:p>
    <w:p>
      <w:pPr>
        <w:pStyle w:val="4"/>
        <w:rPr>
          <w:rFonts w:eastAsiaTheme="minorEastAsia"/>
        </w:rPr>
      </w:pPr>
      <w:r>
        <w:rPr>
          <w:rFonts w:eastAsiaTheme="minorEastAsia"/>
        </w:rPr>
        <w:t>固体废物堆放（填埋）场调查</w:t>
      </w:r>
    </w:p>
    <w:p>
      <w:pPr>
        <w:widowControl/>
        <w:adjustRightInd w:val="0"/>
        <w:snapToGrid w:val="0"/>
        <w:spacing w:line="360" w:lineRule="auto"/>
        <w:ind w:firstLine="480" w:firstLineChars="200"/>
        <w:jc w:val="left"/>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sz w:val="24"/>
          <w:szCs w:val="24"/>
        </w:rPr>
        <w:t>经现场调查，评价区域内无固体废物堆放（填埋）场。</w:t>
      </w:r>
    </w:p>
    <w:p>
      <w:pPr>
        <w:pStyle w:val="3"/>
        <w:rPr>
          <w:rFonts w:ascii="Times New Roman" w:hAnsi="Times New Roman" w:eastAsiaTheme="minorEastAsia"/>
          <w:b/>
        </w:rPr>
      </w:pPr>
      <w:bookmarkStart w:id="76" w:name="_Toc32672"/>
      <w:r>
        <w:rPr>
          <w:rFonts w:ascii="Times New Roman" w:hAnsi="Times New Roman" w:eastAsiaTheme="minorEastAsia"/>
          <w:b/>
        </w:rPr>
        <w:t>地表水环境现状调查与评价</w:t>
      </w:r>
      <w:bookmarkEnd w:id="76"/>
    </w:p>
    <w:p>
      <w:pPr>
        <w:pStyle w:val="4"/>
        <w:rPr>
          <w:rFonts w:eastAsiaTheme="minorEastAsia"/>
        </w:rPr>
      </w:pPr>
      <w:r>
        <w:rPr>
          <w:rFonts w:eastAsiaTheme="minorEastAsia"/>
        </w:rPr>
        <w:t>地表水环境现状调查</w:t>
      </w:r>
    </w:p>
    <w:p>
      <w:pPr>
        <w:pStyle w:val="5"/>
        <w:rPr>
          <w:rFonts w:eastAsiaTheme="minorEastAsia"/>
        </w:rPr>
      </w:pPr>
      <w:r>
        <w:rPr>
          <w:rFonts w:eastAsiaTheme="minorEastAsia"/>
        </w:rPr>
        <w:t>水域功能</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涉及的水系为长江，通过查阅《湖南省主要水系地表水环境功能区划》（DB43/023-2005）可知，评价范围内的地表水功能为渔业用水区，全长163km，流经岳阳市、华容县和临湘市，水域范围从塔市驿（湖北省流入湖南省断面）至黄盖湖（湖南省流入湖北省断面），拟建码头所处水域位于该段水域，执行《地表水环境质量标准》（GB3838-2002）</w:t>
      </w:r>
      <w:r>
        <w:rPr>
          <w:rFonts w:hint="eastAsia" w:ascii="宋体" w:hAnsi="宋体" w:cs="宋体"/>
          <w:color w:val="000000"/>
          <w:sz w:val="24"/>
          <w:szCs w:val="24"/>
        </w:rPr>
        <w:t>Ⅲ</w:t>
      </w:r>
      <w:r>
        <w:rPr>
          <w:rFonts w:ascii="Times New Roman" w:hAnsi="Times New Roman" w:eastAsiaTheme="minorEastAsia"/>
          <w:color w:val="000000"/>
          <w:sz w:val="24"/>
          <w:szCs w:val="24"/>
        </w:rPr>
        <w:t>类水质标准。</w:t>
      </w:r>
    </w:p>
    <w:p>
      <w:pPr>
        <w:pStyle w:val="5"/>
        <w:rPr>
          <w:rFonts w:eastAsiaTheme="minorEastAsia"/>
        </w:rPr>
      </w:pPr>
      <w:r>
        <w:rPr>
          <w:rFonts w:eastAsiaTheme="minorEastAsia"/>
        </w:rPr>
        <w:t>饮用水源调查</w:t>
      </w:r>
    </w:p>
    <w:p>
      <w:pPr>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现场调查，本项目上游10km至下游30km内主要分布有岳阳市云溪区陆城镇水厂文桥镇水厂长江取水口饮用水源保护区、岳阳市云溪区道仁矶水厂长江取水口饮用水水源保护区和临湘市工业园滨江产业示范区自来水厂长江取水口，详见表4.4-1。</w:t>
      </w:r>
    </w:p>
    <w:p>
      <w:pPr>
        <w:pStyle w:val="159"/>
        <w:spacing w:line="276" w:lineRule="auto"/>
        <w:jc w:val="center"/>
        <w:rPr>
          <w:rFonts w:cs="Times New Roman"/>
        </w:rPr>
      </w:pPr>
      <w:r>
        <w:rPr>
          <w:rFonts w:cs="Times New Roman"/>
          <w:bCs w:val="0"/>
          <w:sz w:val="24"/>
          <w:szCs w:val="24"/>
        </w:rPr>
        <w:t>表4.4-1  本项目上游5km至下游30km内取水口分布情况一览表</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08"/>
        <w:gridCol w:w="1709"/>
        <w:gridCol w:w="3276"/>
        <w:gridCol w:w="340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389"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序号</w:t>
            </w:r>
          </w:p>
        </w:tc>
        <w:tc>
          <w:tcPr>
            <w:tcW w:w="939"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名称</w:t>
            </w:r>
          </w:p>
        </w:tc>
        <w:tc>
          <w:tcPr>
            <w:tcW w:w="1800"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相对位置</w:t>
            </w:r>
          </w:p>
        </w:tc>
        <w:tc>
          <w:tcPr>
            <w:tcW w:w="1872" w:type="pct"/>
            <w:tcMar>
              <w:left w:w="0" w:type="dxa"/>
              <w:right w:w="0" w:type="dxa"/>
            </w:tcMar>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rPr>
              <w:t>规模与环境特征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3" w:hRule="atLeast"/>
          <w:jc w:val="center"/>
        </w:trPr>
        <w:tc>
          <w:tcPr>
            <w:tcW w:w="389"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1</w:t>
            </w:r>
          </w:p>
        </w:tc>
        <w:tc>
          <w:tcPr>
            <w:tcW w:w="939"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highlight w:val="yellow"/>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岳阳市云溪区道仁矶水厂长江取水口饮用水水源保护区</w:t>
            </w:r>
          </w:p>
        </w:tc>
        <w:tc>
          <w:tcPr>
            <w:tcW w:w="1800" w:type="pct"/>
            <w:tcMar>
              <w:left w:w="0" w:type="dxa"/>
              <w:right w:w="0" w:type="dxa"/>
            </w:tcMar>
            <w:vAlign w:val="center"/>
          </w:tcPr>
          <w:p>
            <w:pPr>
              <w:autoSpaceDE w:val="0"/>
              <w:autoSpaceDN w:val="0"/>
              <w:adjustRightInd w:val="0"/>
              <w:snapToGrid w:val="0"/>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取水口坐标为E：113°13'40.47"，N：29°32'23.90"。本项目的下边界与水源地二级保护区上边界最近直线距离约6.7km，见附图15</w:t>
            </w:r>
          </w:p>
        </w:tc>
        <w:tc>
          <w:tcPr>
            <w:tcW w:w="1872" w:type="pct"/>
            <w:tcMar>
              <w:left w:w="0" w:type="dxa"/>
              <w:right w:w="0" w:type="dxa"/>
            </w:tcMar>
            <w:vAlign w:val="center"/>
          </w:tcPr>
          <w:p>
            <w:pPr>
              <w:autoSpaceDE w:val="0"/>
              <w:autoSpaceDN w:val="0"/>
              <w:adjustRightInd w:val="0"/>
              <w:snapToGrid w:val="0"/>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该取水口取水量为40.15万m³/a（1100m³/d），服务人口为9429人，服务范围为居委会、滨江村、泗泷村、丁山村、柳田村、基隆村等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389"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2</w:t>
            </w:r>
          </w:p>
        </w:tc>
        <w:tc>
          <w:tcPr>
            <w:tcW w:w="939"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highlight w:val="yellow"/>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岳阳市云溪区陆城镇水厂文桥镇水厂长江取水口饮用水源保护区</w:t>
            </w:r>
          </w:p>
        </w:tc>
        <w:tc>
          <w:tcPr>
            <w:tcW w:w="1800" w:type="pct"/>
            <w:tcMar>
              <w:left w:w="0" w:type="dxa"/>
              <w:right w:w="0" w:type="dxa"/>
            </w:tcMar>
            <w:vAlign w:val="center"/>
          </w:tcPr>
          <w:p>
            <w:pPr>
              <w:autoSpaceDE w:val="0"/>
              <w:autoSpaceDN w:val="0"/>
              <w:adjustRightInd w:val="0"/>
              <w:snapToGrid w:val="0"/>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根据岳云政函〔2020〕32号文，该取水口实际坐标为E：113°16'19.47"，N：29°35'24.357"。根据实际坐标位置，按照《岳阳市云溪区陆城镇水厂文桥镇水厂长江取水口饮用水源保护区划分技术报告》的划分方案，本项目下边界与该水源地二级保护区上边界最近直线距离约10.5km，本项目不涉及水源地保护区范围，见附图15</w:t>
            </w:r>
          </w:p>
        </w:tc>
        <w:tc>
          <w:tcPr>
            <w:tcW w:w="1872" w:type="pct"/>
            <w:tcMar>
              <w:left w:w="0" w:type="dxa"/>
              <w:right w:w="0" w:type="dxa"/>
            </w:tcMar>
            <w:vAlign w:val="center"/>
          </w:tcPr>
          <w:p>
            <w:pPr>
              <w:autoSpaceDE w:val="0"/>
              <w:autoSpaceDN w:val="0"/>
              <w:adjustRightInd w:val="0"/>
              <w:snapToGrid w:val="0"/>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该取水口取水水量为1500万m</w:t>
            </w:r>
            <w:r>
              <w:rPr>
                <w:rFonts w:ascii="Times New Roman" w:hAnsi="Times New Roman" w:eastAsiaTheme="minorEastAsia"/>
                <w:color w:val="000000" w:themeColor="text1"/>
                <w:vertAlign w:val="super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/a，其中80.3万m</w:t>
            </w:r>
            <w:r>
              <w:rPr>
                <w:rFonts w:ascii="Times New Roman" w:hAnsi="Times New Roman" w:eastAsiaTheme="minorEastAsia"/>
                <w:color w:val="000000" w:themeColor="text1"/>
                <w:vertAlign w:val="super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/a用于文桥镇水厂和陆城镇水厂取水，其余为长岭炼油厂工业取水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389"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3</w:t>
            </w:r>
          </w:p>
        </w:tc>
        <w:tc>
          <w:tcPr>
            <w:tcW w:w="939" w:type="pct"/>
            <w:tcMar>
              <w:left w:w="0" w:type="dxa"/>
              <w:right w:w="0" w:type="dxa"/>
            </w:tcMar>
            <w:vAlign w:val="center"/>
          </w:tcPr>
          <w:p>
            <w:pPr>
              <w:autoSpaceDE w:val="0"/>
              <w:autoSpaceDN w:val="0"/>
              <w:adjustRightInd w:val="0"/>
              <w:snapToGrid w:val="0"/>
              <w:jc w:val="center"/>
              <w:rPr>
                <w:rFonts w:ascii="Times New Roman" w:hAnsi="Times New Roman" w:eastAsiaTheme="minorEastAsia"/>
                <w:color w:val="000000" w:themeColor="text1"/>
                <w:kern w:val="0"/>
                <w:highlight w:val="yellow"/>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临湘市工业园滨江产业示范区自来水厂（取水口）</w:t>
            </w:r>
          </w:p>
        </w:tc>
        <w:tc>
          <w:tcPr>
            <w:tcW w:w="1800" w:type="pct"/>
            <w:tcMar>
              <w:left w:w="0" w:type="dxa"/>
              <w:right w:w="0" w:type="dxa"/>
            </w:tcMar>
            <w:vAlign w:val="center"/>
          </w:tcPr>
          <w:p>
            <w:pPr>
              <w:autoSpaceDE w:val="0"/>
              <w:autoSpaceDN w:val="0"/>
              <w:adjustRightInd w:val="0"/>
              <w:snapToGrid w:val="0"/>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kern w:val="0"/>
                <w14:textFill>
                  <w14:solidFill>
                    <w14:schemeClr w14:val="tx1"/>
                  </w14:solidFill>
                </w14:textFill>
              </w:rPr>
              <w:t>取水口坐标为E：113°19'12.06"，N：29°37'42.95"，</w:t>
            </w:r>
            <w:r>
              <w:rPr>
                <w:rFonts w:ascii="Times New Roman" w:hAnsi="Times New Roman" w:eastAsiaTheme="minorEastAsia"/>
                <w:color w:val="000000" w:themeColor="text1"/>
                <w14:textFill>
                  <w14:solidFill>
                    <w14:schemeClr w14:val="tx1"/>
                  </w14:solidFill>
                </w14:textFill>
              </w:rPr>
              <w:t>该取水口位于</w:t>
            </w:r>
            <w:r>
              <w:rPr>
                <w:rFonts w:ascii="Times New Roman" w:hAnsi="Times New Roman" w:eastAsiaTheme="minorEastAsia"/>
                <w:color w:val="000000" w:themeColor="text1"/>
                <w:kern w:val="0"/>
                <w14:textFill>
                  <w14:solidFill>
                    <w14:schemeClr w14:val="tx1"/>
                  </w14:solidFill>
                </w14:textFill>
              </w:rPr>
              <w:t>本项目的下边界，最近直线距离约20.35km，见附图15</w:t>
            </w:r>
          </w:p>
        </w:tc>
        <w:tc>
          <w:tcPr>
            <w:tcW w:w="1872" w:type="pct"/>
            <w:tcMar>
              <w:left w:w="0" w:type="dxa"/>
              <w:right w:w="0" w:type="dxa"/>
            </w:tcMar>
            <w:vAlign w:val="center"/>
          </w:tcPr>
          <w:p>
            <w:pPr>
              <w:autoSpaceDE w:val="0"/>
              <w:autoSpaceDN w:val="0"/>
              <w:adjustRightInd w:val="0"/>
              <w:snapToGrid w:val="0"/>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该取水口取水主要作为临湘市儒溪工业区工业企业生产用水，兼顾规划区3万居民生活用水，并已建成北控水务集团公司自来水厂，该自来水公司设计供水量5万m</w:t>
            </w:r>
            <w:r>
              <w:rPr>
                <w:rFonts w:ascii="Times New Roman" w:hAnsi="Times New Roman" w:eastAsiaTheme="minorEastAsia"/>
                <w:color w:val="000000" w:themeColor="text1"/>
                <w:vertAlign w:val="superscript"/>
                <w14:textFill>
                  <w14:solidFill>
                    <w14:schemeClr w14:val="tx1"/>
                  </w14:solidFill>
                </w14:textFill>
              </w:rPr>
              <w:t>3</w:t>
            </w:r>
            <w:r>
              <w:rPr>
                <w:rFonts w:ascii="Times New Roman" w:hAnsi="Times New Roman" w:eastAsiaTheme="minorEastAsia"/>
                <w:color w:val="000000" w:themeColor="text1"/>
                <w14:textFill>
                  <w14:solidFill>
                    <w14:schemeClr w14:val="tx1"/>
                  </w14:solidFill>
                </w14:textFill>
              </w:rPr>
              <w:t>/d，供水范围为儒溪工业规划区约3万人</w:t>
            </w:r>
          </w:p>
        </w:tc>
      </w:tr>
    </w:tbl>
    <w:p>
      <w:pPr>
        <w:snapToGrid w:val="0"/>
        <w:spacing w:line="360" w:lineRule="auto"/>
        <w:ind w:firstLine="440" w:firstLineChars="200"/>
        <w:rPr>
          <w:rFonts w:ascii="Times New Roman" w:hAnsi="Times New Roman" w:eastAsiaTheme="minorEastAsia"/>
          <w:color w:val="000000"/>
          <w:kern w:val="0"/>
          <w:sz w:val="22"/>
          <w:szCs w:val="22"/>
          <w:lang w:bidi="ar"/>
        </w:rPr>
      </w:pPr>
    </w:p>
    <w:p>
      <w:pPr>
        <w:pStyle w:val="5"/>
        <w:rPr>
          <w:rFonts w:eastAsiaTheme="minorEastAsia"/>
        </w:rPr>
      </w:pPr>
      <w:r>
        <w:rPr>
          <w:rFonts w:eastAsiaTheme="minorEastAsia"/>
        </w:rPr>
        <w:t>区域水环境质量现状</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sz w:val="24"/>
          <w:szCs w:val="24"/>
        </w:rPr>
        <w:t>本项目涉及的水体为长江岳阳段</w:t>
      </w:r>
      <w:r>
        <w:rPr>
          <w:rFonts w:ascii="Times New Roman" w:hAnsi="Times New Roman" w:eastAsiaTheme="minorEastAsia"/>
          <w:color w:val="000000" w:themeColor="text1"/>
          <w:sz w:val="24"/>
          <w:szCs w:val="24"/>
          <w14:textFill>
            <w14:solidFill>
              <w14:schemeClr w14:val="tx1"/>
            </w14:solidFill>
          </w14:textFill>
        </w:rPr>
        <w:t>渔业用水区。为了解项目所在地地表水环境质量状况，本评价收集了2018年岳阳市水环境质量年报数据。根据2018年月岳阳市水环境质量年报显示，2018年“陆城监测断面”和“城陵矶监测断面”水质均达到地表水</w:t>
      </w:r>
      <w:r>
        <w:rPr>
          <w:rFonts w:hint="eastAsia" w:ascii="宋体" w:hAnsi="宋体" w:cs="宋体"/>
          <w:color w:val="000000" w:themeColor="text1"/>
          <w:sz w:val="24"/>
          <w:szCs w:val="24"/>
          <w14:textFill>
            <w14:solidFill>
              <w14:schemeClr w14:val="tx1"/>
            </w14:solidFill>
          </w14:textFill>
        </w:rPr>
        <w:t>Ⅲ</w:t>
      </w:r>
      <w:r>
        <w:rPr>
          <w:rFonts w:ascii="Times New Roman" w:hAnsi="Times New Roman" w:eastAsiaTheme="minorEastAsia"/>
          <w:color w:val="000000" w:themeColor="text1"/>
          <w:sz w:val="24"/>
          <w:szCs w:val="24"/>
          <w14:textFill>
            <w14:solidFill>
              <w14:schemeClr w14:val="tx1"/>
            </w14:solidFill>
          </w14:textFill>
        </w:rPr>
        <w:t>类水质要求。</w:t>
      </w:r>
    </w:p>
    <w:p>
      <w:pPr>
        <w:pStyle w:val="5"/>
        <w:rPr>
          <w:rFonts w:eastAsiaTheme="minorEastAsia"/>
        </w:rPr>
      </w:pPr>
      <w:r>
        <w:rPr>
          <w:rFonts w:eastAsiaTheme="minorEastAsia"/>
        </w:rPr>
        <w:t>常规监测数据收集</w:t>
      </w:r>
    </w:p>
    <w:p>
      <w:pPr>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本评价收集了长江常规监测断面-城陵矶断面和陆城断面2016-2018年的水质监测资料，监测因子包括pH值、溶解氧、化学需氧量、五日生化需氧量、氨氮、总磷、铜、锌、氟化物、硒、砷、汞、镉、六价铬、铅、氰化物、挥发酚、石油类、阴离子表面活性剂和硫化物。监测统计结果见表4.4-2和4.4-3。</w:t>
      </w:r>
    </w:p>
    <w:p>
      <w:pPr>
        <w:wordWrap w:val="0"/>
        <w:snapToGrid w:val="0"/>
        <w:spacing w:line="276" w:lineRule="auto"/>
        <w:jc w:val="right"/>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 xml:space="preserve">表4.4-2  </w:t>
      </w:r>
      <w:r>
        <w:rPr>
          <w:rFonts w:ascii="Times New Roman" w:hAnsi="Times New Roman" w:eastAsiaTheme="minorEastAsia"/>
          <w:b/>
          <w:bCs/>
          <w:color w:val="000000" w:themeColor="text1"/>
          <w:sz w:val="24"/>
          <w:szCs w:val="24"/>
          <w14:textFill>
            <w14:solidFill>
              <w14:schemeClr w14:val="tx1"/>
            </w14:solidFill>
          </w14:textFill>
        </w:rPr>
        <w:t>城陵矶断面常规监测数据（</w:t>
      </w:r>
      <w:r>
        <w:rPr>
          <w:rFonts w:ascii="Times New Roman" w:hAnsi="Times New Roman" w:eastAsiaTheme="minorEastAsia"/>
          <w:b/>
          <w:color w:val="000000" w:themeColor="text1"/>
          <w:sz w:val="24"/>
          <w:szCs w:val="24"/>
          <w14:textFill>
            <w14:solidFill>
              <w14:schemeClr w14:val="tx1"/>
            </w14:solidFill>
          </w14:textFill>
        </w:rPr>
        <w:t>2016-2018</w:t>
      </w:r>
      <w:r>
        <w:rPr>
          <w:rFonts w:ascii="Times New Roman" w:hAnsi="Times New Roman" w:eastAsiaTheme="minorEastAsia"/>
          <w:b/>
          <w:bCs/>
          <w:color w:val="000000" w:themeColor="text1"/>
          <w:sz w:val="24"/>
          <w:szCs w:val="24"/>
          <w14:textFill>
            <w14:solidFill>
              <w14:schemeClr w14:val="tx1"/>
            </w14:solidFill>
          </w14:textFill>
        </w:rPr>
        <w:t xml:space="preserve">）   </w:t>
      </w:r>
      <w:r>
        <w:rPr>
          <w:rFonts w:ascii="Times New Roman" w:hAnsi="Times New Roman" w:eastAsiaTheme="minorEastAsia"/>
          <w:b/>
          <w:bCs/>
          <w:color w:val="000000" w:themeColor="text1"/>
          <w14:textFill>
            <w14:solidFill>
              <w14:schemeClr w14:val="tx1"/>
            </w14:solidFill>
          </w14:textFill>
        </w:rPr>
        <w:t xml:space="preserve"> </w:t>
      </w:r>
      <w:r>
        <w:rPr>
          <w:rFonts w:ascii="Times New Roman" w:hAnsi="Times New Roman" w:eastAsiaTheme="minorEastAsia"/>
          <w:color w:val="000000" w:themeColor="text1"/>
          <w:sz w:val="24"/>
          <w:szCs w:val="24"/>
          <w14:textFill>
            <w14:solidFill>
              <w14:schemeClr w14:val="tx1"/>
            </w14:solidFill>
          </w14:textFill>
        </w:rPr>
        <w:t>单位：mg/L</w:t>
      </w:r>
    </w:p>
    <w:tbl>
      <w:tblPr>
        <w:tblStyle w:val="7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900"/>
        <w:gridCol w:w="954"/>
        <w:gridCol w:w="1026"/>
        <w:gridCol w:w="1260"/>
        <w:gridCol w:w="1376"/>
        <w:gridCol w:w="12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tblHeader/>
          <w:jc w:val="center"/>
        </w:trPr>
        <w:tc>
          <w:tcPr>
            <w:tcW w:w="2231" w:type="dxa"/>
            <w:tcBorders>
              <w:top w:val="single" w:color="auto" w:sz="12" w:space="0"/>
              <w:left w:val="single" w:color="auto" w:sz="12" w:space="0"/>
              <w:bottom w:val="single" w:color="auto" w:sz="4" w:space="0"/>
              <w:tl2br w:val="single" w:color="auto" w:sz="4" w:space="0"/>
            </w:tcBorders>
            <w:tcMar>
              <w:left w:w="0" w:type="dxa"/>
              <w:right w:w="0" w:type="dxa"/>
            </w:tcMar>
            <w:vAlign w:val="center"/>
          </w:tcPr>
          <w:p>
            <w:pPr>
              <w:adjustRightInd w:val="0"/>
              <w:snapToGrid w:val="0"/>
              <w:jc w:val="right"/>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 xml:space="preserve">          项 目</w:t>
            </w:r>
          </w:p>
          <w:p>
            <w:pPr>
              <w:adjustRightInd w:val="0"/>
              <w:snapToGrid w:val="0"/>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监测因子</w:t>
            </w:r>
          </w:p>
        </w:tc>
        <w:tc>
          <w:tcPr>
            <w:tcW w:w="900" w:type="dxa"/>
            <w:tcBorders>
              <w:top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最小值</w:t>
            </w:r>
          </w:p>
        </w:tc>
        <w:tc>
          <w:tcPr>
            <w:tcW w:w="954" w:type="dxa"/>
            <w:tcBorders>
              <w:top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最大值</w:t>
            </w:r>
          </w:p>
        </w:tc>
        <w:tc>
          <w:tcPr>
            <w:tcW w:w="1026" w:type="dxa"/>
            <w:tcBorders>
              <w:top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平均值</w:t>
            </w:r>
          </w:p>
        </w:tc>
        <w:tc>
          <w:tcPr>
            <w:tcW w:w="1260" w:type="dxa"/>
            <w:tcBorders>
              <w:top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超标率（%）</w:t>
            </w:r>
          </w:p>
        </w:tc>
        <w:tc>
          <w:tcPr>
            <w:tcW w:w="1376" w:type="dxa"/>
            <w:tcBorders>
              <w:top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最大超标倍数</w:t>
            </w:r>
          </w:p>
        </w:tc>
        <w:tc>
          <w:tcPr>
            <w:tcW w:w="1276" w:type="dxa"/>
            <w:tcBorders>
              <w:top w:val="single" w:color="auto" w:sz="12"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标准值</w:t>
            </w:r>
          </w:p>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w:t>
            </w:r>
            <w:r>
              <w:rPr>
                <w:rFonts w:hint="eastAsia" w:ascii="宋体" w:hAnsi="宋体" w:cs="宋体"/>
                <w:b/>
                <w:color w:val="000000" w:themeColor="text1"/>
                <w14:textFill>
                  <w14:solidFill>
                    <w14:schemeClr w14:val="tx1"/>
                  </w14:solidFill>
                </w14:textFill>
              </w:rPr>
              <w:t>Ⅲ</w:t>
            </w:r>
            <w:r>
              <w:rPr>
                <w:rFonts w:ascii="Times New Roman" w:hAnsi="Times New Roman" w:eastAsiaTheme="minorEastAsia"/>
                <w:b/>
                <w:color w:val="000000" w:themeColor="text1"/>
                <w14:textFill>
                  <w14:solidFill>
                    <w14:schemeClr w14:val="tx1"/>
                  </w14:solidFill>
                </w14:textFill>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9023" w:type="dxa"/>
            <w:gridSpan w:val="7"/>
            <w:tcBorders>
              <w:top w:val="single" w:color="auto" w:sz="4" w:space="0"/>
              <w:left w:val="single" w:color="auto" w:sz="12"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2016年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pH值</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7.51</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7.9</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7.67</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溶解氧</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7.23</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8.07</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7.66</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高锰酸盐指数</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1.77</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2.43</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2.16</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五日生化需氧量</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0.43</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2.47</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1.47</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氨氮</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0.065</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0.249</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0.127</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石油类</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0.01</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0.00833</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挥发酚</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0.0004</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0.0017</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0.0009</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汞</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0.00001</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0.00002</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0.000018</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铅</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0.0005</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0.0015</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0.001167</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化学需氧量</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4.31</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10.36</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8.23</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总磷</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0.059</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0.168</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0.108</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铜</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0.00067</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0.00374</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锌</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氟化物</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0.13</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0.583</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0.303</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硒</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0.00025</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0.0002</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0.000213</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砷</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0.0001</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0.002167</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0.001161</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镉</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0.00005</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0.001117</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0.00036</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六价铬</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0.002</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0.0087</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0.0056</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氰化物</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0.002</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0.002</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0.002</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阴离子表面活性剂</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0.01</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0.025</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0.015</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硫化物</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0.003</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0.003</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0.003</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9023" w:type="dxa"/>
            <w:gridSpan w:val="7"/>
            <w:tcBorders>
              <w:top w:val="single" w:color="auto" w:sz="4" w:space="0"/>
              <w:left w:val="single" w:color="auto" w:sz="12"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2017年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pH值</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7.37</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7.75</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7.52</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溶解氧</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4.83</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8.9</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7.38</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高锰酸盐指数</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1.83</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2.17</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化学需氧量</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8.33</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15.0</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10.29</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五日生化需氧量</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0.5L</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2.2</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1.29</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氨氮</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0.03L</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0.1970</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0.14</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总磷</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0.07</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0.148</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0.103</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镉</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0.0001L</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0.000733</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0.000158</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六价铬</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0.004L</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0.0057</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0.004155</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挥发酚</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0.003L</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0.006</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0.000382</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石油类</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0.01L</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0.01L</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0.01L</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阴离子表面活性剂</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0.05L</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0.05L</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0.05L</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硫化物</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0.005L</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0.005L</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0.005L</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9023" w:type="dxa"/>
            <w:gridSpan w:val="7"/>
            <w:tcBorders>
              <w:top w:val="single" w:color="auto" w:sz="4" w:space="0"/>
              <w:left w:val="single" w:color="auto" w:sz="12"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2018年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pH值</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7.44</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8.18</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7.98</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溶解氧</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7.11</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10.64</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8.79</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高锰酸盐指数</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1.6</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2.6</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1.8</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化学需氧量</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3.7</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13.0</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7.8</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五日生化需氧量</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0.25</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2.3</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0.78</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氨氮</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0.02</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0.46</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0.15</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总磷</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0.06</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0.187</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0.096</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铜</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0.003</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0.02</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0.005333</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锌</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0.002</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0.02</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0.00767</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氟化物</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0.16</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0.24</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0.192</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硒</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0.0002L</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0.0002L</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0.0002L</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砷</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0.0013</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0.00947</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0.003378</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汞</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0.00002L</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0.00006</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0.000023</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镉</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0.00002</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0.00016</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0.000072</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六价铬</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0.002L</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0.002L</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0.002L</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铅</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0.00004</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0.001</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0.000402</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氰化物</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0.0005L</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0.0023</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0.0014</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挥发酚</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0.00002</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0.0011</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0.00036</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石油类</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0.005L</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0.06</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0.01</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阴离子表面活性剂</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0.02L</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0.02L</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0.02L</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硫化物</w:t>
            </w:r>
          </w:p>
        </w:tc>
        <w:tc>
          <w:tcPr>
            <w:tcW w:w="900" w:type="dxa"/>
            <w:tcBorders>
              <w:top w:val="single" w:color="auto" w:sz="4" w:space="0"/>
              <w:bottom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0.002L</w:t>
            </w:r>
          </w:p>
        </w:tc>
        <w:tc>
          <w:tcPr>
            <w:tcW w:w="954" w:type="dxa"/>
            <w:tcBorders>
              <w:top w:val="single" w:color="auto" w:sz="4" w:space="0"/>
              <w:bottom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0.0083</w:t>
            </w:r>
          </w:p>
        </w:tc>
        <w:tc>
          <w:tcPr>
            <w:tcW w:w="1026" w:type="dxa"/>
            <w:tcBorders>
              <w:top w:val="single" w:color="auto" w:sz="4" w:space="0"/>
              <w:bottom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0.0026</w:t>
            </w:r>
          </w:p>
        </w:tc>
        <w:tc>
          <w:tcPr>
            <w:tcW w:w="1260" w:type="dxa"/>
            <w:tcBorders>
              <w:top w:val="single" w:color="auto" w:sz="4" w:space="0"/>
              <w:bottom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12"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bl>
    <w:p>
      <w:pPr>
        <w:adjustRightInd w:val="0"/>
        <w:snapToGrid w:val="0"/>
        <w:spacing w:line="360" w:lineRule="auto"/>
        <w:rPr>
          <w:rFonts w:ascii="Times New Roman" w:hAnsi="Times New Roman" w:eastAsiaTheme="minorEastAsia"/>
          <w:color w:val="FF0000"/>
          <w:sz w:val="24"/>
          <w:szCs w:val="24"/>
        </w:rPr>
      </w:pPr>
    </w:p>
    <w:p>
      <w:pPr>
        <w:adjustRightInd w:val="0"/>
        <w:snapToGrid w:val="0"/>
        <w:ind w:right="120"/>
        <w:jc w:val="right"/>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 xml:space="preserve">表4.4-3  </w:t>
      </w:r>
      <w:r>
        <w:rPr>
          <w:rFonts w:ascii="Times New Roman" w:hAnsi="Times New Roman" w:eastAsiaTheme="minorEastAsia"/>
          <w:b/>
          <w:bCs/>
          <w:color w:val="000000" w:themeColor="text1"/>
          <w:sz w:val="24"/>
          <w:szCs w:val="24"/>
          <w14:textFill>
            <w14:solidFill>
              <w14:schemeClr w14:val="tx1"/>
            </w14:solidFill>
          </w14:textFill>
        </w:rPr>
        <w:t>陆城断面常规监测数据（</w:t>
      </w:r>
      <w:r>
        <w:rPr>
          <w:rFonts w:ascii="Times New Roman" w:hAnsi="Times New Roman" w:eastAsiaTheme="minorEastAsia"/>
          <w:b/>
          <w:color w:val="000000" w:themeColor="text1"/>
          <w:sz w:val="24"/>
          <w:szCs w:val="24"/>
          <w14:textFill>
            <w14:solidFill>
              <w14:schemeClr w14:val="tx1"/>
            </w14:solidFill>
          </w14:textFill>
        </w:rPr>
        <w:t>2016-2018</w:t>
      </w:r>
      <w:r>
        <w:rPr>
          <w:rFonts w:ascii="Times New Roman" w:hAnsi="Times New Roman" w:eastAsiaTheme="minorEastAsia"/>
          <w:b/>
          <w:bCs/>
          <w:color w:val="000000" w:themeColor="text1"/>
          <w:sz w:val="24"/>
          <w:szCs w:val="24"/>
          <w14:textFill>
            <w14:solidFill>
              <w14:schemeClr w14:val="tx1"/>
            </w14:solidFill>
          </w14:textFill>
        </w:rPr>
        <w:t xml:space="preserve">）   </w:t>
      </w:r>
      <w:r>
        <w:rPr>
          <w:rFonts w:ascii="Times New Roman" w:hAnsi="Times New Roman" w:eastAsiaTheme="minorEastAsia"/>
          <w:color w:val="000000" w:themeColor="text1"/>
          <w:sz w:val="24"/>
          <w:szCs w:val="24"/>
          <w14:textFill>
            <w14:solidFill>
              <w14:schemeClr w14:val="tx1"/>
            </w14:solidFill>
          </w14:textFill>
        </w:rPr>
        <w:t>单位：mg/L</w:t>
      </w:r>
    </w:p>
    <w:tbl>
      <w:tblPr>
        <w:tblStyle w:val="7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900"/>
        <w:gridCol w:w="954"/>
        <w:gridCol w:w="1026"/>
        <w:gridCol w:w="1260"/>
        <w:gridCol w:w="1376"/>
        <w:gridCol w:w="12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tblHeader/>
          <w:jc w:val="center"/>
        </w:trPr>
        <w:tc>
          <w:tcPr>
            <w:tcW w:w="2231" w:type="dxa"/>
            <w:tcBorders>
              <w:top w:val="single" w:color="auto" w:sz="12" w:space="0"/>
              <w:left w:val="single" w:color="auto" w:sz="12" w:space="0"/>
              <w:bottom w:val="single" w:color="auto" w:sz="4" w:space="0"/>
              <w:tl2br w:val="single" w:color="auto" w:sz="4" w:space="0"/>
            </w:tcBorders>
            <w:tcMar>
              <w:left w:w="0" w:type="dxa"/>
              <w:right w:w="0" w:type="dxa"/>
            </w:tcMar>
            <w:vAlign w:val="center"/>
          </w:tcPr>
          <w:p>
            <w:pPr>
              <w:adjustRightInd w:val="0"/>
              <w:snapToGrid w:val="0"/>
              <w:jc w:val="right"/>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 xml:space="preserve">          项 目</w:t>
            </w:r>
          </w:p>
          <w:p>
            <w:pPr>
              <w:adjustRightInd w:val="0"/>
              <w:snapToGrid w:val="0"/>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监测因子</w:t>
            </w:r>
          </w:p>
        </w:tc>
        <w:tc>
          <w:tcPr>
            <w:tcW w:w="900" w:type="dxa"/>
            <w:tcBorders>
              <w:top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最小值</w:t>
            </w:r>
          </w:p>
        </w:tc>
        <w:tc>
          <w:tcPr>
            <w:tcW w:w="954" w:type="dxa"/>
            <w:tcBorders>
              <w:top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最大值</w:t>
            </w:r>
          </w:p>
        </w:tc>
        <w:tc>
          <w:tcPr>
            <w:tcW w:w="1026" w:type="dxa"/>
            <w:tcBorders>
              <w:top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平均值</w:t>
            </w:r>
          </w:p>
        </w:tc>
        <w:tc>
          <w:tcPr>
            <w:tcW w:w="1260" w:type="dxa"/>
            <w:tcBorders>
              <w:top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超标率（%）</w:t>
            </w:r>
          </w:p>
        </w:tc>
        <w:tc>
          <w:tcPr>
            <w:tcW w:w="1376" w:type="dxa"/>
            <w:tcBorders>
              <w:top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最大超标倍数</w:t>
            </w:r>
          </w:p>
        </w:tc>
        <w:tc>
          <w:tcPr>
            <w:tcW w:w="1276" w:type="dxa"/>
            <w:tcBorders>
              <w:top w:val="single" w:color="auto" w:sz="12"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标准值</w:t>
            </w:r>
          </w:p>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w:t>
            </w:r>
            <w:r>
              <w:rPr>
                <w:rFonts w:hint="eastAsia" w:ascii="宋体" w:hAnsi="宋体" w:cs="宋体"/>
                <w:b/>
                <w:color w:val="000000" w:themeColor="text1"/>
                <w14:textFill>
                  <w14:solidFill>
                    <w14:schemeClr w14:val="tx1"/>
                  </w14:solidFill>
                </w14:textFill>
              </w:rPr>
              <w:t>Ⅲ</w:t>
            </w:r>
            <w:r>
              <w:rPr>
                <w:rFonts w:ascii="Times New Roman" w:hAnsi="Times New Roman" w:eastAsiaTheme="minorEastAsia"/>
                <w:b/>
                <w:color w:val="000000" w:themeColor="text1"/>
                <w14:textFill>
                  <w14:solidFill>
                    <w14:schemeClr w14:val="tx1"/>
                  </w14:solidFill>
                </w14:textFill>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9023" w:type="dxa"/>
            <w:gridSpan w:val="7"/>
            <w:tcBorders>
              <w:top w:val="single" w:color="auto" w:sz="4" w:space="0"/>
              <w:left w:val="single" w:color="auto" w:sz="12"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2016年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pH值</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7.3</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7.95</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7.61</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溶解氧</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6.7</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8.13</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7.5</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高锰酸盐指数</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1.83</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2.94</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2.45</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五日生化需氧量</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0.14</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3.3</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1.68</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氨氮</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0.439</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0.233</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石油类</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0.0105</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0.001</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0.00833</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挥发酚</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0.0005</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0.0015</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0.0011</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汞</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0.00001</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0.00002</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0.000018</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铅</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0.0005</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0.0015</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0.001103</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化学需氧量</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4.08</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11.3</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9.14</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总磷</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0.061</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0.176</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0.103</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铜</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0.0005</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0.00393</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锌</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0.00667</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0.002514</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氟化物</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0.123</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0.567</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0.298</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硒</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0.0002</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0.00025</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0.000213</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砷</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0.0003</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0.002533</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0.001822</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镉</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0.00005</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0.000383</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0.000275</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六价铬</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0.002</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0.0077</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0.0056</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氰化物</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0.002</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0.002</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0.002</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阴离子表面活性剂</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0.01</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0.025</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0.015</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硫化物</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0.003</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0.003</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0.003</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9023" w:type="dxa"/>
            <w:gridSpan w:val="7"/>
            <w:tcBorders>
              <w:top w:val="single" w:color="auto" w:sz="4" w:space="0"/>
              <w:left w:val="single" w:color="auto" w:sz="12"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2017年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pH值</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7.14</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7.69</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7.41</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溶解氧</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5.7</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9.1</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7.36</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高锰酸盐指数</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2.03</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2.37</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2.205</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化学需氧量</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9.4</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14.0</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12.1</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五日生化需氧量</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0.77</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1.83</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1.25</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氨氮</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0.04</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0.343</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0.161</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总磷</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0.068</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0.0131</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0.0866</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镉</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0.0001L</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0.0001L</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0.0001L</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六价铬</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0.004</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0.0042</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挥发酚</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0.0003L</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0.00087</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0.000503</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石油类</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0.01L</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0.01L</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0.01L</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阴离子表面活性剂</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0.05L</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0.05L</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0.05L</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硫化物</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0.005L</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0.005L</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0.005L</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9023" w:type="dxa"/>
            <w:gridSpan w:val="7"/>
            <w:tcBorders>
              <w:top w:val="single" w:color="auto" w:sz="4" w:space="0"/>
              <w:left w:val="single" w:color="auto" w:sz="12"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2018年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pH值</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7.49</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8.15</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7.7</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溶解氧</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6.73</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10.3</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8.28</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高锰酸盐指数</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1.9</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2.6</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2.1</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化学需氧量</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8.7</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15.7</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12.5</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五日生化需氧量</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0.58</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5.5</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1.74</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氨氮</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0.02</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0.27</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0.08</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总磷</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0.07</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0.11</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0.091</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铜</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0.0005</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0.005667</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0.003014</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锌</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0.025</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0.025</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0.025</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氟化物</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0.153</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0.353</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0.247</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硒</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0.0002L</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0.0002L</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0.0002L</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砷</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0.00015</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0.006133</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0.002796</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汞</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0.00002L</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0.00002L</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0.00002L</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镉</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0.00005L</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0.00005L</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0.00005L</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六价铬</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0.002L</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0.002L</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0.002L</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铅</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0.001L</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0.001L</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0.001L</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氰化物</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0.0005L</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0.0005L</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0.0005L</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挥发酚</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0.00015L</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0.00015L</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0.00015L</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石油类</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0.005L</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0.005L</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0.005L</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阴离子表面活性剂</w:t>
            </w:r>
          </w:p>
        </w:tc>
        <w:tc>
          <w:tcPr>
            <w:tcW w:w="90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0.02L</w:t>
            </w:r>
          </w:p>
        </w:tc>
        <w:tc>
          <w:tcPr>
            <w:tcW w:w="954"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0.02L</w:t>
            </w:r>
          </w:p>
        </w:tc>
        <w:tc>
          <w:tcPr>
            <w:tcW w:w="102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0.02L</w:t>
            </w:r>
          </w:p>
        </w:tc>
        <w:tc>
          <w:tcPr>
            <w:tcW w:w="1260"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4"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4"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231" w:type="dxa"/>
            <w:tcBorders>
              <w:top w:val="single" w:color="auto" w:sz="4" w:space="0"/>
              <w:left w:val="single" w:color="auto" w:sz="12" w:space="0"/>
              <w:bottom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硫化物</w:t>
            </w:r>
          </w:p>
        </w:tc>
        <w:tc>
          <w:tcPr>
            <w:tcW w:w="900" w:type="dxa"/>
            <w:tcBorders>
              <w:top w:val="single" w:color="auto" w:sz="4" w:space="0"/>
              <w:bottom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0.0025L</w:t>
            </w:r>
          </w:p>
        </w:tc>
        <w:tc>
          <w:tcPr>
            <w:tcW w:w="954" w:type="dxa"/>
            <w:tcBorders>
              <w:top w:val="single" w:color="auto" w:sz="4" w:space="0"/>
              <w:bottom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0.0025L</w:t>
            </w:r>
          </w:p>
        </w:tc>
        <w:tc>
          <w:tcPr>
            <w:tcW w:w="1026" w:type="dxa"/>
            <w:tcBorders>
              <w:top w:val="single" w:color="auto" w:sz="4" w:space="0"/>
              <w:bottom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0.0025L</w:t>
            </w:r>
          </w:p>
        </w:tc>
        <w:tc>
          <w:tcPr>
            <w:tcW w:w="1260" w:type="dxa"/>
            <w:tcBorders>
              <w:top w:val="single" w:color="auto" w:sz="4" w:space="0"/>
              <w:bottom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376" w:type="dxa"/>
            <w:tcBorders>
              <w:top w:val="single" w:color="auto" w:sz="4" w:space="0"/>
              <w:bottom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w:t>
            </w:r>
          </w:p>
        </w:tc>
        <w:tc>
          <w:tcPr>
            <w:tcW w:w="1276" w:type="dxa"/>
            <w:tcBorders>
              <w:top w:val="single" w:color="auto" w:sz="4" w:space="0"/>
              <w:bottom w:val="single" w:color="auto" w:sz="12" w:space="0"/>
              <w:right w:val="single" w:color="auto" w:sz="12" w:space="0"/>
            </w:tcBorders>
            <w:tcMar>
              <w:left w:w="0" w:type="dxa"/>
              <w:right w:w="0" w:type="dxa"/>
            </w:tcMar>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r>
    </w:tbl>
    <w:p>
      <w:pPr>
        <w:adjustRightInd w:val="0"/>
        <w:snapToGrid w:val="0"/>
        <w:rPr>
          <w:rFonts w:ascii="Times New Roman" w:hAnsi="Times New Roman" w:eastAsiaTheme="minorEastAsia"/>
          <w:color w:val="FF0000"/>
          <w:sz w:val="24"/>
          <w:szCs w:val="24"/>
        </w:rPr>
      </w:pP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由上表可知，2016~2018年城陵矶断面陆城断面的常规监测数据均符合《地表水环境质量标准》（GB3838-2002）中的</w:t>
      </w:r>
      <w:r>
        <w:rPr>
          <w:rFonts w:hint="eastAsia" w:ascii="宋体" w:hAnsi="宋体" w:cs="宋体"/>
          <w:color w:val="000000" w:themeColor="text1"/>
          <w:sz w:val="24"/>
          <w:szCs w:val="24"/>
          <w14:textFill>
            <w14:solidFill>
              <w14:schemeClr w14:val="tx1"/>
            </w14:solidFill>
          </w14:textFill>
        </w:rPr>
        <w:t>Ⅲ</w:t>
      </w:r>
      <w:r>
        <w:rPr>
          <w:rFonts w:ascii="Times New Roman" w:hAnsi="Times New Roman" w:eastAsiaTheme="minorEastAsia"/>
          <w:color w:val="000000" w:themeColor="text1"/>
          <w:sz w:val="24"/>
          <w:szCs w:val="24"/>
          <w14:textFill>
            <w14:solidFill>
              <w14:schemeClr w14:val="tx1"/>
            </w14:solidFill>
          </w14:textFill>
        </w:rPr>
        <w:t>类水质标准。</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地表水环境质量现状监测</w:t>
      </w:r>
    </w:p>
    <w:p>
      <w:pPr>
        <w:pStyle w:val="129"/>
        <w:adjustRightInd w:val="0"/>
        <w:snapToGrid w:val="0"/>
        <w:spacing w:line="360" w:lineRule="auto"/>
        <w:ind w:firstLine="480"/>
        <w:rPr>
          <w:rFonts w:eastAsiaTheme="minorEastAsia"/>
          <w:kern w:val="0"/>
        </w:rPr>
      </w:pPr>
      <w:r>
        <w:rPr>
          <w:rFonts w:eastAsiaTheme="minorEastAsia"/>
        </w:rPr>
        <w:t>本次评价委托长沙环院检测技术有限公司于2019年8月8日~10日期间针对项目涉及河流进行了水质现状监测。</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1、监测布点</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本项目共设2个水质监测断面，布点位置见表4.4-4，具体位置见附图2。</w:t>
      </w:r>
    </w:p>
    <w:p>
      <w:pPr>
        <w:adjustRightInd w:val="0"/>
        <w:snapToGrid w:val="0"/>
        <w:spacing w:line="360" w:lineRule="auto"/>
        <w:ind w:firstLine="480" w:firstLineChars="200"/>
        <w:rPr>
          <w:rFonts w:ascii="Times New Roman" w:hAnsi="Times New Roman" w:eastAsiaTheme="minorEastAsia"/>
          <w:sz w:val="24"/>
          <w:szCs w:val="24"/>
        </w:rPr>
      </w:pPr>
    </w:p>
    <w:p>
      <w:pPr>
        <w:adjustRightInd w:val="0"/>
        <w:snapToGrid w:val="0"/>
        <w:spacing w:line="360" w:lineRule="auto"/>
        <w:ind w:firstLine="480" w:firstLineChars="200"/>
        <w:rPr>
          <w:rFonts w:ascii="Times New Roman" w:hAnsi="Times New Roman" w:eastAsiaTheme="minorEastAsia"/>
          <w:sz w:val="24"/>
          <w:szCs w:val="24"/>
        </w:rPr>
      </w:pPr>
    </w:p>
    <w:p>
      <w:pPr>
        <w:adjustRightInd w:val="0"/>
        <w:snapToGrid w:val="0"/>
        <w:spacing w:line="360" w:lineRule="auto"/>
        <w:ind w:firstLine="480" w:firstLineChars="200"/>
        <w:rPr>
          <w:rFonts w:ascii="Times New Roman" w:hAnsi="Times New Roman" w:eastAsiaTheme="minorEastAsia"/>
          <w:sz w:val="24"/>
          <w:szCs w:val="24"/>
        </w:rPr>
      </w:pPr>
    </w:p>
    <w:p>
      <w:pPr>
        <w:pStyle w:val="159"/>
        <w:spacing w:line="276" w:lineRule="auto"/>
        <w:jc w:val="center"/>
        <w:rPr>
          <w:rFonts w:cs="Times New Roman"/>
          <w:bCs w:val="0"/>
          <w:sz w:val="24"/>
          <w:szCs w:val="24"/>
        </w:rPr>
      </w:pPr>
      <w:r>
        <w:rPr>
          <w:rFonts w:cs="Times New Roman"/>
          <w:bCs w:val="0"/>
          <w:sz w:val="24"/>
          <w:szCs w:val="24"/>
        </w:rPr>
        <w:t>表4.4-4  地表水监测断面布置一览表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693"/>
        <w:gridCol w:w="715"/>
        <w:gridCol w:w="2999"/>
        <w:gridCol w:w="3425"/>
        <w:gridCol w:w="12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shd w:val="clear" w:color="auto" w:fill="auto"/>
            <w:vAlign w:val="center"/>
          </w:tcPr>
          <w:p>
            <w:pPr>
              <w:widowControl/>
              <w:adjustRightInd w:val="0"/>
              <w:snapToGrid w:val="0"/>
              <w:jc w:val="center"/>
              <w:rPr>
                <w:rFonts w:ascii="Times New Roman" w:hAnsi="Times New Roman" w:eastAsiaTheme="minorEastAsia"/>
                <w:b/>
                <w:bCs/>
                <w:color w:val="000000"/>
                <w:kern w:val="0"/>
                <w:lang w:bidi="ar"/>
              </w:rPr>
            </w:pPr>
            <w:r>
              <w:rPr>
                <w:rFonts w:ascii="Times New Roman" w:hAnsi="Times New Roman" w:eastAsiaTheme="minorEastAsia"/>
                <w:b/>
                <w:bCs/>
                <w:color w:val="000000"/>
                <w:kern w:val="0"/>
                <w:lang w:bidi="ar"/>
              </w:rPr>
              <w:t>编号</w:t>
            </w:r>
          </w:p>
        </w:tc>
        <w:tc>
          <w:tcPr>
            <w:tcW w:w="393" w:type="pct"/>
            <w:shd w:val="clear" w:color="auto" w:fill="auto"/>
            <w:vAlign w:val="center"/>
          </w:tcPr>
          <w:p>
            <w:pPr>
              <w:widowControl/>
              <w:adjustRightInd w:val="0"/>
              <w:snapToGrid w:val="0"/>
              <w:jc w:val="center"/>
              <w:rPr>
                <w:rFonts w:ascii="Times New Roman" w:hAnsi="Times New Roman" w:eastAsiaTheme="minorEastAsia"/>
                <w:b/>
                <w:bCs/>
                <w:color w:val="000000"/>
                <w:kern w:val="0"/>
                <w:lang w:bidi="ar"/>
              </w:rPr>
            </w:pPr>
            <w:r>
              <w:rPr>
                <w:rFonts w:ascii="Times New Roman" w:hAnsi="Times New Roman" w:eastAsiaTheme="minorEastAsia"/>
                <w:b/>
                <w:bCs/>
                <w:color w:val="000000"/>
                <w:kern w:val="0"/>
                <w:lang w:bidi="ar"/>
              </w:rPr>
              <w:t>水体</w:t>
            </w:r>
          </w:p>
        </w:tc>
        <w:tc>
          <w:tcPr>
            <w:tcW w:w="1648" w:type="pct"/>
            <w:vAlign w:val="center"/>
          </w:tcPr>
          <w:p>
            <w:pPr>
              <w:widowControl/>
              <w:adjustRightInd w:val="0"/>
              <w:snapToGrid w:val="0"/>
              <w:jc w:val="center"/>
              <w:rPr>
                <w:rFonts w:ascii="Times New Roman" w:hAnsi="Times New Roman" w:eastAsiaTheme="minorEastAsia"/>
                <w:b/>
                <w:bCs/>
                <w:color w:val="000000"/>
                <w:kern w:val="0"/>
                <w:lang w:bidi="ar"/>
              </w:rPr>
            </w:pPr>
            <w:r>
              <w:rPr>
                <w:rFonts w:ascii="Times New Roman" w:hAnsi="Times New Roman" w:eastAsiaTheme="minorEastAsia"/>
                <w:b/>
                <w:bCs/>
                <w:color w:val="000000"/>
                <w:kern w:val="0"/>
                <w:lang w:bidi="ar"/>
              </w:rPr>
              <w:t>监测断面位置</w:t>
            </w:r>
          </w:p>
        </w:tc>
        <w:tc>
          <w:tcPr>
            <w:tcW w:w="1882" w:type="pct"/>
            <w:shd w:val="clear" w:color="auto" w:fill="auto"/>
            <w:vAlign w:val="center"/>
          </w:tcPr>
          <w:p>
            <w:pPr>
              <w:widowControl/>
              <w:adjustRightInd w:val="0"/>
              <w:snapToGrid w:val="0"/>
              <w:jc w:val="center"/>
              <w:rPr>
                <w:rFonts w:ascii="Times New Roman" w:hAnsi="Times New Roman" w:eastAsiaTheme="minorEastAsia"/>
                <w:b/>
                <w:bCs/>
                <w:color w:val="000000"/>
                <w:kern w:val="0"/>
                <w:lang w:bidi="ar"/>
              </w:rPr>
            </w:pPr>
            <w:r>
              <w:rPr>
                <w:rFonts w:ascii="Times New Roman" w:hAnsi="Times New Roman" w:eastAsiaTheme="minorEastAsia"/>
                <w:b/>
                <w:bCs/>
                <w:color w:val="000000"/>
                <w:kern w:val="0"/>
                <w:lang w:bidi="ar"/>
              </w:rPr>
              <w:t>监测项目</w:t>
            </w:r>
          </w:p>
        </w:tc>
        <w:tc>
          <w:tcPr>
            <w:tcW w:w="696" w:type="pct"/>
            <w:shd w:val="clear" w:color="auto" w:fill="auto"/>
            <w:vAlign w:val="center"/>
          </w:tcPr>
          <w:p>
            <w:pPr>
              <w:widowControl/>
              <w:adjustRightInd w:val="0"/>
              <w:snapToGrid w:val="0"/>
              <w:jc w:val="center"/>
              <w:rPr>
                <w:rFonts w:ascii="Times New Roman" w:hAnsi="Times New Roman" w:eastAsiaTheme="minorEastAsia"/>
                <w:b/>
                <w:bCs/>
                <w:color w:val="000000"/>
                <w:kern w:val="0"/>
                <w:lang w:bidi="ar"/>
              </w:rPr>
            </w:pPr>
            <w:r>
              <w:rPr>
                <w:rFonts w:ascii="Times New Roman" w:hAnsi="Times New Roman" w:eastAsiaTheme="minorEastAsia"/>
                <w:b/>
                <w:bCs/>
                <w:color w:val="000000"/>
                <w:kern w:val="0"/>
                <w:lang w:bidi="ar"/>
              </w:rPr>
              <w:t>采样频率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4" w:hRule="atLeast"/>
          <w:jc w:val="center"/>
        </w:trPr>
        <w:tc>
          <w:tcPr>
            <w:tcW w:w="381" w:type="pct"/>
            <w:shd w:val="clear" w:color="auto" w:fill="auto"/>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S1</w:t>
            </w:r>
          </w:p>
        </w:tc>
        <w:tc>
          <w:tcPr>
            <w:tcW w:w="393" w:type="pct"/>
            <w:shd w:val="clear" w:color="auto" w:fill="auto"/>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长江</w:t>
            </w:r>
          </w:p>
        </w:tc>
        <w:tc>
          <w:tcPr>
            <w:tcW w:w="1648" w:type="pct"/>
            <w:vAlign w:val="center"/>
          </w:tcPr>
          <w:p>
            <w:pPr>
              <w:pStyle w:val="174"/>
              <w:adjustRightInd w:val="0"/>
              <w:snapToGrid w:val="0"/>
              <w:spacing w:line="240" w:lineRule="auto"/>
              <w:rPr>
                <w:rFonts w:eastAsiaTheme="minorEastAsia"/>
                <w:color w:val="000000"/>
                <w:kern w:val="2"/>
                <w:sz w:val="21"/>
                <w:szCs w:val="21"/>
              </w:rPr>
            </w:pPr>
            <w:r>
              <w:rPr>
                <w:rFonts w:eastAsiaTheme="minorEastAsia"/>
                <w:color w:val="000000"/>
                <w:kern w:val="2"/>
                <w:sz w:val="21"/>
                <w:szCs w:val="21"/>
              </w:rPr>
              <w:t>2#码头泊位上游500m处</w:t>
            </w:r>
          </w:p>
        </w:tc>
        <w:tc>
          <w:tcPr>
            <w:tcW w:w="1882" w:type="pct"/>
            <w:vMerge w:val="restart"/>
            <w:shd w:val="clear" w:color="auto" w:fill="auto"/>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bCs/>
              </w:rPr>
              <w:t>pH值、水温、悬浮物、溶解氧、化学需氧量、五日生化需氧量、氨氮、总磷、总氮、石油类、硫化物共11项指标</w:t>
            </w:r>
          </w:p>
        </w:tc>
        <w:tc>
          <w:tcPr>
            <w:tcW w:w="696" w:type="pct"/>
            <w:vMerge w:val="restart"/>
            <w:shd w:val="clear" w:color="auto" w:fill="auto"/>
            <w:vAlign w:val="center"/>
          </w:tcPr>
          <w:p>
            <w:pPr>
              <w:pStyle w:val="159"/>
              <w:spacing w:line="240" w:lineRule="auto"/>
              <w:jc w:val="center"/>
              <w:rPr>
                <w:rFonts w:cs="Times New Roman"/>
                <w:b w:val="0"/>
                <w:sz w:val="21"/>
                <w:szCs w:val="21"/>
              </w:rPr>
            </w:pPr>
            <w:r>
              <w:rPr>
                <w:rFonts w:cs="Times New Roman"/>
                <w:b w:val="0"/>
                <w:sz w:val="21"/>
                <w:szCs w:val="21"/>
              </w:rPr>
              <w:t>连续监测3天，每天采样1次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1" w:type="pct"/>
            <w:shd w:val="clear" w:color="auto" w:fill="auto"/>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S2</w:t>
            </w:r>
          </w:p>
        </w:tc>
        <w:tc>
          <w:tcPr>
            <w:tcW w:w="393" w:type="pct"/>
            <w:shd w:val="clear" w:color="auto" w:fill="auto"/>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长江</w:t>
            </w:r>
          </w:p>
        </w:tc>
        <w:tc>
          <w:tcPr>
            <w:tcW w:w="1648" w:type="pct"/>
            <w:vAlign w:val="center"/>
          </w:tcPr>
          <w:p>
            <w:pPr>
              <w:pStyle w:val="174"/>
              <w:adjustRightInd w:val="0"/>
              <w:snapToGrid w:val="0"/>
              <w:spacing w:line="240" w:lineRule="auto"/>
              <w:rPr>
                <w:rFonts w:eastAsiaTheme="minorEastAsia"/>
                <w:color w:val="000000"/>
                <w:kern w:val="2"/>
                <w:sz w:val="21"/>
                <w:szCs w:val="21"/>
              </w:rPr>
            </w:pPr>
            <w:r>
              <w:rPr>
                <w:rFonts w:eastAsiaTheme="minorEastAsia"/>
                <w:color w:val="000000"/>
                <w:kern w:val="2"/>
                <w:sz w:val="21"/>
                <w:szCs w:val="21"/>
              </w:rPr>
              <w:t>2#码头泊位处</w:t>
            </w:r>
          </w:p>
        </w:tc>
        <w:tc>
          <w:tcPr>
            <w:tcW w:w="1882" w:type="pct"/>
            <w:vMerge w:val="continue"/>
            <w:shd w:val="clear" w:color="auto" w:fill="auto"/>
            <w:vAlign w:val="center"/>
          </w:tcPr>
          <w:p>
            <w:pPr>
              <w:widowControl/>
              <w:adjustRightInd w:val="0"/>
              <w:snapToGrid w:val="0"/>
              <w:jc w:val="center"/>
              <w:rPr>
                <w:rFonts w:ascii="Times New Roman" w:hAnsi="Times New Roman" w:eastAsiaTheme="minorEastAsia"/>
                <w:color w:val="000000"/>
                <w:kern w:val="0"/>
                <w:lang w:bidi="ar"/>
              </w:rPr>
            </w:pPr>
          </w:p>
        </w:tc>
        <w:tc>
          <w:tcPr>
            <w:tcW w:w="696" w:type="pct"/>
            <w:vMerge w:val="continue"/>
            <w:shd w:val="clear" w:color="auto" w:fill="auto"/>
            <w:vAlign w:val="center"/>
          </w:tcPr>
          <w:p>
            <w:pPr>
              <w:pStyle w:val="159"/>
              <w:spacing w:line="240" w:lineRule="auto"/>
              <w:jc w:val="center"/>
              <w:rPr>
                <w:rFonts w:cs="Times New Roman"/>
                <w:sz w:val="21"/>
                <w:szCs w:val="21"/>
              </w:rPr>
            </w:pPr>
          </w:p>
        </w:tc>
      </w:tr>
    </w:tbl>
    <w:p>
      <w:pPr>
        <w:adjustRightInd w:val="0"/>
        <w:snapToGrid w:val="0"/>
        <w:spacing w:line="360" w:lineRule="auto"/>
        <w:ind w:firstLine="480" w:firstLineChars="200"/>
        <w:rPr>
          <w:rFonts w:ascii="Times New Roman" w:hAnsi="Times New Roman" w:eastAsiaTheme="minorEastAsia"/>
          <w:sz w:val="24"/>
          <w:szCs w:val="24"/>
        </w:rPr>
      </w:pP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2、监测因子</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pH值、水温、悬浮物、溶解氧、化学需氧量、五日生化需氧量、氨氮、总磷、总氮、石油类、硫化物共11项指标</w:t>
      </w:r>
      <w:r>
        <w:rPr>
          <w:rFonts w:ascii="Times New Roman" w:hAnsi="Times New Roman" w:eastAsiaTheme="minorEastAsia"/>
          <w:sz w:val="24"/>
          <w:szCs w:val="24"/>
        </w:rPr>
        <w:t>。</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3、监测单位</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长沙环院检测技术有限公司</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4、监测时间与频次</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2019年10月28日到10月30日，连续监测3天，每天采样1次。</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5、采样和分析方法</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采样方法按照《地表水和污水监测技术规范》（HJ/T91-2002）执行，分析方法按《地表水环境质量标准》（GB3838-2002）中的有关规定执行，见表4.4-6。</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表4.4-6  地表水分析方法一览表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651"/>
        <w:gridCol w:w="4472"/>
        <w:gridCol w:w="1714"/>
        <w:gridCol w:w="12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907"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b/>
                <w:bCs/>
                <w:color w:val="000000"/>
              </w:rPr>
              <w:t>分析项目</w:t>
            </w:r>
          </w:p>
        </w:tc>
        <w:tc>
          <w:tcPr>
            <w:tcW w:w="2457"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b/>
                <w:bCs/>
                <w:color w:val="000000"/>
              </w:rPr>
              <w:t>分析方法名称及来源</w:t>
            </w:r>
          </w:p>
        </w:tc>
        <w:tc>
          <w:tcPr>
            <w:tcW w:w="942"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b/>
                <w:bCs/>
                <w:color w:val="000000"/>
              </w:rPr>
              <w:t>仪器型号</w:t>
            </w:r>
          </w:p>
        </w:tc>
        <w:tc>
          <w:tcPr>
            <w:tcW w:w="694"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b/>
                <w:bCs/>
                <w:color w:val="000000"/>
              </w:rPr>
              <w:t>最低检出限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07" w:type="pct"/>
            <w:vAlign w:val="center"/>
          </w:tcPr>
          <w:p>
            <w:pPr>
              <w:adjustRightInd w:val="0"/>
              <w:snapToGrid w:val="0"/>
              <w:jc w:val="center"/>
              <w:rPr>
                <w:rFonts w:ascii="Times New Roman" w:hAnsi="Times New Roman"/>
                <w:b/>
              </w:rPr>
            </w:pPr>
            <w:r>
              <w:rPr>
                <w:rFonts w:ascii="Times New Roman" w:hAnsi="Times New Roman"/>
                <w:color w:val="000000"/>
              </w:rPr>
              <w:t>pH</w:t>
            </w:r>
          </w:p>
        </w:tc>
        <w:tc>
          <w:tcPr>
            <w:tcW w:w="2457" w:type="pct"/>
            <w:vAlign w:val="center"/>
          </w:tcPr>
          <w:p>
            <w:pPr>
              <w:widowControl/>
              <w:adjustRightInd w:val="0"/>
              <w:snapToGrid w:val="0"/>
              <w:jc w:val="center"/>
              <w:rPr>
                <w:rFonts w:ascii="Times New Roman" w:hAnsi="Times New Roman"/>
                <w:color w:val="000000"/>
              </w:rPr>
            </w:pPr>
            <w:r>
              <w:rPr>
                <w:rFonts w:ascii="Times New Roman" w:hAnsi="Times New Roman"/>
                <w:color w:val="000000"/>
              </w:rPr>
              <w:t>水质 pH值的测定</w:t>
            </w:r>
          </w:p>
          <w:p>
            <w:pPr>
              <w:widowControl/>
              <w:adjustRightInd w:val="0"/>
              <w:snapToGrid w:val="0"/>
              <w:jc w:val="center"/>
              <w:rPr>
                <w:rFonts w:ascii="Times New Roman" w:hAnsi="Times New Roman"/>
                <w:color w:val="000000"/>
                <w:kern w:val="0"/>
              </w:rPr>
            </w:pPr>
            <w:r>
              <w:rPr>
                <w:rFonts w:ascii="Times New Roman" w:hAnsi="Times New Roman"/>
                <w:color w:val="000000"/>
              </w:rPr>
              <w:t>玻璃电极法（GB/T 6920-1986）</w:t>
            </w:r>
          </w:p>
        </w:tc>
        <w:tc>
          <w:tcPr>
            <w:tcW w:w="942" w:type="pct"/>
            <w:vAlign w:val="center"/>
          </w:tcPr>
          <w:p>
            <w:pPr>
              <w:adjustRightInd w:val="0"/>
              <w:snapToGrid w:val="0"/>
              <w:jc w:val="center"/>
              <w:rPr>
                <w:rFonts w:ascii="Times New Roman" w:hAnsi="Times New Roman"/>
                <w:color w:val="000000"/>
              </w:rPr>
            </w:pPr>
            <w:r>
              <w:rPr>
                <w:rFonts w:ascii="Times New Roman" w:hAnsi="Times New Roman"/>
                <w:color w:val="000000"/>
              </w:rPr>
              <w:t>pHS-3C型酸度计</w:t>
            </w:r>
          </w:p>
        </w:tc>
        <w:tc>
          <w:tcPr>
            <w:tcW w:w="694" w:type="pct"/>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0.01</w:t>
            </w:r>
          </w:p>
          <w:p>
            <w:pPr>
              <w:widowControl/>
              <w:adjustRightInd w:val="0"/>
              <w:snapToGrid w:val="0"/>
              <w:jc w:val="center"/>
              <w:rPr>
                <w:rFonts w:ascii="Times New Roman" w:hAnsi="Times New Roman"/>
                <w:color w:val="000000"/>
                <w:kern w:val="0"/>
              </w:rPr>
            </w:pPr>
            <w:r>
              <w:rPr>
                <w:rFonts w:ascii="Times New Roman" w:hAnsi="Times New Roman"/>
                <w:color w:val="000000"/>
                <w:kern w:val="0"/>
              </w:rPr>
              <w:t>（无量纲）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07" w:type="pct"/>
            <w:vAlign w:val="center"/>
          </w:tcPr>
          <w:p>
            <w:pPr>
              <w:adjustRightInd w:val="0"/>
              <w:snapToGrid w:val="0"/>
              <w:jc w:val="center"/>
              <w:rPr>
                <w:rFonts w:ascii="Times New Roman" w:hAnsi="Times New Roman"/>
                <w:color w:val="000000"/>
              </w:rPr>
            </w:pPr>
            <w:r>
              <w:rPr>
                <w:rFonts w:ascii="Times New Roman" w:hAnsi="Times New Roman"/>
                <w:color w:val="000000"/>
              </w:rPr>
              <w:t>水温</w:t>
            </w:r>
          </w:p>
        </w:tc>
        <w:tc>
          <w:tcPr>
            <w:tcW w:w="2457" w:type="pct"/>
            <w:vAlign w:val="center"/>
          </w:tcPr>
          <w:p>
            <w:pPr>
              <w:widowControl/>
              <w:adjustRightInd w:val="0"/>
              <w:snapToGrid w:val="0"/>
              <w:jc w:val="center"/>
              <w:rPr>
                <w:rFonts w:ascii="Times New Roman" w:hAnsi="Times New Roman"/>
                <w:color w:val="000000"/>
              </w:rPr>
            </w:pPr>
            <w:r>
              <w:rPr>
                <w:rFonts w:ascii="Times New Roman" w:hAnsi="Times New Roman"/>
                <w:color w:val="000000"/>
              </w:rPr>
              <w:t>水质 水温的测定 温度计或颠倒温度计测量法（GB/T 13195-1991）</w:t>
            </w:r>
          </w:p>
        </w:tc>
        <w:tc>
          <w:tcPr>
            <w:tcW w:w="942" w:type="pct"/>
            <w:vAlign w:val="center"/>
          </w:tcPr>
          <w:p>
            <w:pPr>
              <w:adjustRightInd w:val="0"/>
              <w:snapToGrid w:val="0"/>
              <w:jc w:val="center"/>
              <w:rPr>
                <w:rFonts w:ascii="Times New Roman" w:hAnsi="Times New Roman"/>
              </w:rPr>
            </w:pPr>
            <w:r>
              <w:rPr>
                <w:rFonts w:ascii="Times New Roman" w:hAnsi="Times New Roman"/>
              </w:rPr>
              <w:t>625型温、湿度计</w:t>
            </w:r>
          </w:p>
        </w:tc>
        <w:tc>
          <w:tcPr>
            <w:tcW w:w="694" w:type="pct"/>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07" w:type="pct"/>
            <w:vAlign w:val="center"/>
          </w:tcPr>
          <w:p>
            <w:pPr>
              <w:adjustRightInd w:val="0"/>
              <w:snapToGrid w:val="0"/>
              <w:jc w:val="center"/>
              <w:rPr>
                <w:rFonts w:ascii="Times New Roman" w:hAnsi="Times New Roman"/>
              </w:rPr>
            </w:pPr>
            <w:r>
              <w:rPr>
                <w:rFonts w:ascii="Times New Roman" w:hAnsi="Times New Roman"/>
                <w:color w:val="000000"/>
              </w:rPr>
              <w:t>悬浮物</w:t>
            </w:r>
          </w:p>
        </w:tc>
        <w:tc>
          <w:tcPr>
            <w:tcW w:w="2457" w:type="pct"/>
            <w:vAlign w:val="center"/>
          </w:tcPr>
          <w:p>
            <w:pPr>
              <w:widowControl/>
              <w:adjustRightInd w:val="0"/>
              <w:snapToGrid w:val="0"/>
              <w:jc w:val="center"/>
              <w:rPr>
                <w:rFonts w:ascii="Times New Roman" w:hAnsi="Times New Roman"/>
                <w:color w:val="000000"/>
              </w:rPr>
            </w:pPr>
            <w:r>
              <w:rPr>
                <w:rFonts w:ascii="Times New Roman" w:hAnsi="Times New Roman"/>
                <w:color w:val="000000"/>
              </w:rPr>
              <w:t>水质 悬浮物的测定 重量法</w:t>
            </w:r>
          </w:p>
          <w:p>
            <w:pPr>
              <w:widowControl/>
              <w:adjustRightInd w:val="0"/>
              <w:snapToGrid w:val="0"/>
              <w:jc w:val="center"/>
              <w:rPr>
                <w:rFonts w:ascii="Times New Roman" w:hAnsi="Times New Roman"/>
                <w:color w:val="000000"/>
              </w:rPr>
            </w:pPr>
            <w:r>
              <w:rPr>
                <w:rFonts w:ascii="Times New Roman" w:hAnsi="Times New Roman"/>
                <w:color w:val="000000"/>
              </w:rPr>
              <w:t>（GB 11901-1989）</w:t>
            </w:r>
          </w:p>
        </w:tc>
        <w:tc>
          <w:tcPr>
            <w:tcW w:w="942" w:type="pct"/>
            <w:vAlign w:val="center"/>
          </w:tcPr>
          <w:p>
            <w:pPr>
              <w:adjustRightInd w:val="0"/>
              <w:snapToGrid w:val="0"/>
              <w:jc w:val="center"/>
              <w:rPr>
                <w:rFonts w:ascii="Times New Roman" w:hAnsi="Times New Roman"/>
                <w:color w:val="000000"/>
              </w:rPr>
            </w:pPr>
            <w:r>
              <w:rPr>
                <w:rFonts w:ascii="Times New Roman" w:hAnsi="Times New Roman"/>
                <w:color w:val="000000"/>
              </w:rPr>
              <w:t>AE2204型</w:t>
            </w:r>
          </w:p>
          <w:p>
            <w:pPr>
              <w:adjustRightInd w:val="0"/>
              <w:snapToGrid w:val="0"/>
              <w:jc w:val="center"/>
              <w:rPr>
                <w:rFonts w:ascii="Times New Roman" w:hAnsi="Times New Roman"/>
                <w:color w:val="000000"/>
              </w:rPr>
            </w:pPr>
            <w:r>
              <w:rPr>
                <w:rFonts w:ascii="Times New Roman" w:hAnsi="Times New Roman"/>
                <w:color w:val="000000"/>
              </w:rPr>
              <w:t>万分之一天平</w:t>
            </w:r>
          </w:p>
        </w:tc>
        <w:tc>
          <w:tcPr>
            <w:tcW w:w="694" w:type="pct"/>
            <w:vAlign w:val="center"/>
          </w:tcPr>
          <w:p>
            <w:pPr>
              <w:widowControl/>
              <w:adjustRightInd w:val="0"/>
              <w:snapToGrid w:val="0"/>
              <w:jc w:val="center"/>
              <w:rPr>
                <w:rFonts w:ascii="Times New Roman" w:hAnsi="Times New Roman"/>
                <w:color w:val="000000"/>
              </w:rPr>
            </w:pPr>
            <w:r>
              <w:rPr>
                <w:rFonts w:ascii="Times New Roman" w:hAnsi="Times New Roman"/>
                <w:color w:val="000000"/>
                <w:kern w:val="0"/>
              </w:rPr>
              <w:t>4mg/L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07" w:type="pct"/>
            <w:vAlign w:val="center"/>
          </w:tcPr>
          <w:p>
            <w:pPr>
              <w:adjustRightInd w:val="0"/>
              <w:snapToGrid w:val="0"/>
              <w:jc w:val="center"/>
              <w:rPr>
                <w:rFonts w:ascii="Times New Roman" w:hAnsi="Times New Roman"/>
                <w:color w:val="000000"/>
              </w:rPr>
            </w:pPr>
            <w:r>
              <w:rPr>
                <w:rFonts w:ascii="Times New Roman" w:hAnsi="Times New Roman"/>
                <w:color w:val="000000"/>
              </w:rPr>
              <w:t>溶解氧</w:t>
            </w:r>
          </w:p>
        </w:tc>
        <w:tc>
          <w:tcPr>
            <w:tcW w:w="2457" w:type="pct"/>
            <w:vAlign w:val="center"/>
          </w:tcPr>
          <w:p>
            <w:pPr>
              <w:widowControl/>
              <w:adjustRightInd w:val="0"/>
              <w:snapToGrid w:val="0"/>
              <w:jc w:val="center"/>
              <w:rPr>
                <w:rFonts w:ascii="Times New Roman" w:hAnsi="Times New Roman"/>
                <w:color w:val="000000"/>
              </w:rPr>
            </w:pPr>
            <w:r>
              <w:rPr>
                <w:rFonts w:ascii="Times New Roman" w:hAnsi="Times New Roman"/>
              </w:rPr>
              <w:t>水质 溶解氧的测定 碘量法（GB 7489-1987）</w:t>
            </w:r>
          </w:p>
        </w:tc>
        <w:tc>
          <w:tcPr>
            <w:tcW w:w="942" w:type="pct"/>
            <w:vAlign w:val="center"/>
          </w:tcPr>
          <w:p>
            <w:pPr>
              <w:adjustRightInd w:val="0"/>
              <w:snapToGrid w:val="0"/>
              <w:jc w:val="center"/>
              <w:rPr>
                <w:rFonts w:ascii="Times New Roman" w:hAnsi="Times New Roman"/>
              </w:rPr>
            </w:pPr>
            <w:r>
              <w:rPr>
                <w:rFonts w:ascii="Times New Roman" w:hAnsi="Times New Roman"/>
              </w:rPr>
              <w:t>50mL滴定管</w:t>
            </w:r>
          </w:p>
        </w:tc>
        <w:tc>
          <w:tcPr>
            <w:tcW w:w="694" w:type="pct"/>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0.2</w:t>
            </w:r>
            <w:r>
              <w:rPr>
                <w:rFonts w:ascii="Times New Roman" w:hAnsi="Times New Roma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07" w:type="pct"/>
            <w:vAlign w:val="center"/>
          </w:tcPr>
          <w:p>
            <w:pPr>
              <w:adjustRightInd w:val="0"/>
              <w:snapToGrid w:val="0"/>
              <w:jc w:val="center"/>
              <w:rPr>
                <w:rFonts w:ascii="Times New Roman" w:hAnsi="Times New Roman"/>
                <w:color w:val="000000"/>
              </w:rPr>
            </w:pPr>
            <w:r>
              <w:rPr>
                <w:rFonts w:ascii="Times New Roman" w:hAnsi="Times New Roman"/>
                <w:color w:val="000000"/>
              </w:rPr>
              <w:t>化学需氧量</w:t>
            </w:r>
          </w:p>
        </w:tc>
        <w:tc>
          <w:tcPr>
            <w:tcW w:w="2457" w:type="pct"/>
            <w:vAlign w:val="center"/>
          </w:tcPr>
          <w:p>
            <w:pPr>
              <w:adjustRightInd w:val="0"/>
              <w:snapToGrid w:val="0"/>
              <w:jc w:val="center"/>
              <w:rPr>
                <w:rFonts w:ascii="Times New Roman" w:hAnsi="Times New Roman"/>
                <w:color w:val="000000"/>
              </w:rPr>
            </w:pPr>
            <w:r>
              <w:rPr>
                <w:rFonts w:ascii="Times New Roman" w:hAnsi="Times New Roman"/>
                <w:color w:val="000000"/>
              </w:rPr>
              <w:t>水质 化学需氧量的测定 重铬酸盐法（HJ 828-2017）</w:t>
            </w:r>
          </w:p>
        </w:tc>
        <w:tc>
          <w:tcPr>
            <w:tcW w:w="942" w:type="pct"/>
            <w:vAlign w:val="center"/>
          </w:tcPr>
          <w:p>
            <w:pPr>
              <w:adjustRightInd w:val="0"/>
              <w:snapToGrid w:val="0"/>
              <w:jc w:val="center"/>
              <w:rPr>
                <w:rFonts w:ascii="Times New Roman" w:hAnsi="Times New Roman"/>
                <w:color w:val="000000"/>
              </w:rPr>
            </w:pPr>
            <w:r>
              <w:rPr>
                <w:rFonts w:ascii="Times New Roman" w:hAnsi="Times New Roman"/>
                <w:color w:val="000000"/>
              </w:rPr>
              <w:t>50mL滴定管</w:t>
            </w:r>
          </w:p>
        </w:tc>
        <w:tc>
          <w:tcPr>
            <w:tcW w:w="694" w:type="pct"/>
            <w:vAlign w:val="center"/>
          </w:tcPr>
          <w:p>
            <w:pPr>
              <w:adjustRightInd w:val="0"/>
              <w:snapToGrid w:val="0"/>
              <w:jc w:val="center"/>
              <w:rPr>
                <w:rFonts w:ascii="Times New Roman" w:hAnsi="Times New Roman"/>
                <w:color w:val="000000"/>
              </w:rPr>
            </w:pPr>
            <w:r>
              <w:rPr>
                <w:rFonts w:ascii="Times New Roman" w:hAnsi="Times New Roman"/>
                <w:color w:val="000000"/>
              </w:rPr>
              <w:t>4mg/L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07" w:type="pct"/>
            <w:vAlign w:val="center"/>
          </w:tcPr>
          <w:p>
            <w:pPr>
              <w:adjustRightInd w:val="0"/>
              <w:snapToGrid w:val="0"/>
              <w:jc w:val="center"/>
              <w:rPr>
                <w:rFonts w:ascii="Times New Roman" w:hAnsi="Times New Roman"/>
                <w:color w:val="000000"/>
              </w:rPr>
            </w:pPr>
            <w:r>
              <w:rPr>
                <w:rFonts w:ascii="Times New Roman" w:hAnsi="Times New Roman"/>
                <w:color w:val="000000"/>
              </w:rPr>
              <w:t>五日生化需氧量</w:t>
            </w:r>
          </w:p>
        </w:tc>
        <w:tc>
          <w:tcPr>
            <w:tcW w:w="2457" w:type="pct"/>
            <w:vAlign w:val="center"/>
          </w:tcPr>
          <w:p>
            <w:pPr>
              <w:adjustRightInd w:val="0"/>
              <w:snapToGrid w:val="0"/>
              <w:jc w:val="center"/>
              <w:rPr>
                <w:rFonts w:ascii="Times New Roman" w:hAnsi="Times New Roman"/>
                <w:color w:val="000000"/>
              </w:rPr>
            </w:pPr>
            <w:r>
              <w:rPr>
                <w:rFonts w:ascii="Times New Roman" w:hAnsi="Times New Roman"/>
                <w:color w:val="000000"/>
              </w:rPr>
              <w:t>水质 五日生化需氧量（BOD</w:t>
            </w:r>
            <w:r>
              <w:rPr>
                <w:rFonts w:ascii="Times New Roman" w:hAnsi="Times New Roman"/>
                <w:color w:val="000000"/>
                <w:vertAlign w:val="subscript"/>
              </w:rPr>
              <w:t>5</w:t>
            </w:r>
            <w:r>
              <w:rPr>
                <w:rFonts w:ascii="Times New Roman" w:hAnsi="Times New Roman"/>
                <w:color w:val="000000"/>
              </w:rPr>
              <w:t>）的测定稀释与接种法（HJ 505-2009）</w:t>
            </w:r>
          </w:p>
        </w:tc>
        <w:tc>
          <w:tcPr>
            <w:tcW w:w="942" w:type="pct"/>
            <w:vAlign w:val="center"/>
          </w:tcPr>
          <w:p>
            <w:pPr>
              <w:adjustRightInd w:val="0"/>
              <w:snapToGrid w:val="0"/>
              <w:jc w:val="center"/>
              <w:rPr>
                <w:rFonts w:ascii="Times New Roman" w:hAnsi="Times New Roman"/>
                <w:color w:val="000000"/>
              </w:rPr>
            </w:pPr>
            <w:r>
              <w:rPr>
                <w:rFonts w:ascii="Times New Roman" w:hAnsi="Times New Roman"/>
                <w:color w:val="000000"/>
              </w:rPr>
              <w:t>50mL滴定管</w:t>
            </w:r>
          </w:p>
        </w:tc>
        <w:tc>
          <w:tcPr>
            <w:tcW w:w="694" w:type="pct"/>
            <w:vAlign w:val="center"/>
          </w:tcPr>
          <w:p>
            <w:pPr>
              <w:adjustRightInd w:val="0"/>
              <w:snapToGrid w:val="0"/>
              <w:jc w:val="center"/>
              <w:rPr>
                <w:rFonts w:ascii="Times New Roman" w:hAnsi="Times New Roman"/>
                <w:color w:val="000000"/>
              </w:rPr>
            </w:pPr>
            <w:r>
              <w:rPr>
                <w:rFonts w:ascii="Times New Roman" w:hAnsi="Times New Roman"/>
                <w:color w:val="000000"/>
              </w:rPr>
              <w:t>0.5mg/L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07" w:type="pct"/>
            <w:vAlign w:val="center"/>
          </w:tcPr>
          <w:p>
            <w:pPr>
              <w:adjustRightInd w:val="0"/>
              <w:snapToGrid w:val="0"/>
              <w:jc w:val="center"/>
              <w:rPr>
                <w:rFonts w:ascii="Times New Roman" w:hAnsi="Times New Roman"/>
                <w:color w:val="000000"/>
              </w:rPr>
            </w:pPr>
            <w:r>
              <w:rPr>
                <w:rFonts w:ascii="Times New Roman" w:hAnsi="Times New Roman"/>
                <w:color w:val="000000"/>
              </w:rPr>
              <w:t>氨氮</w:t>
            </w:r>
          </w:p>
        </w:tc>
        <w:tc>
          <w:tcPr>
            <w:tcW w:w="2457" w:type="pct"/>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水质 氨氮的测定 纳氏试剂分光光度法（HJ 535-2009）</w:t>
            </w:r>
          </w:p>
        </w:tc>
        <w:tc>
          <w:tcPr>
            <w:tcW w:w="942" w:type="pct"/>
            <w:vAlign w:val="center"/>
          </w:tcPr>
          <w:p>
            <w:pPr>
              <w:adjustRightInd w:val="0"/>
              <w:snapToGrid w:val="0"/>
              <w:jc w:val="center"/>
              <w:rPr>
                <w:rFonts w:ascii="Times New Roman" w:hAnsi="Times New Roman"/>
                <w:color w:val="000000"/>
              </w:rPr>
            </w:pPr>
            <w:r>
              <w:rPr>
                <w:rFonts w:ascii="Times New Roman" w:hAnsi="Times New Roman"/>
                <w:color w:val="000000"/>
              </w:rPr>
              <w:t>722E型</w:t>
            </w:r>
          </w:p>
          <w:p>
            <w:pPr>
              <w:adjustRightInd w:val="0"/>
              <w:snapToGrid w:val="0"/>
              <w:jc w:val="center"/>
              <w:rPr>
                <w:rFonts w:ascii="Times New Roman" w:hAnsi="Times New Roman"/>
                <w:color w:val="000000"/>
              </w:rPr>
            </w:pPr>
            <w:r>
              <w:rPr>
                <w:rFonts w:ascii="Times New Roman" w:hAnsi="Times New Roman"/>
                <w:color w:val="000000"/>
              </w:rPr>
              <w:t>可见分光光度计</w:t>
            </w:r>
          </w:p>
        </w:tc>
        <w:tc>
          <w:tcPr>
            <w:tcW w:w="694" w:type="pct"/>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0.025mg/L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07" w:type="pct"/>
            <w:vAlign w:val="center"/>
          </w:tcPr>
          <w:p>
            <w:pPr>
              <w:adjustRightInd w:val="0"/>
              <w:snapToGrid w:val="0"/>
              <w:jc w:val="center"/>
              <w:rPr>
                <w:rFonts w:ascii="Times New Roman" w:hAnsi="Times New Roman"/>
                <w:color w:val="000000"/>
              </w:rPr>
            </w:pPr>
            <w:r>
              <w:rPr>
                <w:rFonts w:ascii="Times New Roman" w:hAnsi="Times New Roman"/>
                <w:color w:val="000000"/>
              </w:rPr>
              <w:t>总磷</w:t>
            </w:r>
          </w:p>
        </w:tc>
        <w:tc>
          <w:tcPr>
            <w:tcW w:w="2457" w:type="pct"/>
            <w:vAlign w:val="center"/>
          </w:tcPr>
          <w:p>
            <w:pPr>
              <w:widowControl/>
              <w:adjustRightInd w:val="0"/>
              <w:snapToGrid w:val="0"/>
              <w:jc w:val="center"/>
              <w:rPr>
                <w:rFonts w:ascii="Times New Roman" w:hAnsi="Times New Roman"/>
                <w:color w:val="000000"/>
                <w:kern w:val="0"/>
              </w:rPr>
            </w:pPr>
            <w:r>
              <w:rPr>
                <w:rFonts w:ascii="Times New Roman" w:hAnsi="Times New Roman"/>
              </w:rPr>
              <w:t>水质 总磷的测定 钼酸铵分光光度法（GB 11893-1989）</w:t>
            </w:r>
          </w:p>
        </w:tc>
        <w:tc>
          <w:tcPr>
            <w:tcW w:w="942" w:type="pct"/>
            <w:vAlign w:val="center"/>
          </w:tcPr>
          <w:p>
            <w:pPr>
              <w:adjustRightInd w:val="0"/>
              <w:snapToGrid w:val="0"/>
              <w:jc w:val="center"/>
              <w:rPr>
                <w:rFonts w:ascii="Times New Roman" w:hAnsi="Times New Roman"/>
              </w:rPr>
            </w:pPr>
            <w:r>
              <w:rPr>
                <w:rFonts w:ascii="Times New Roman" w:hAnsi="Times New Roman"/>
              </w:rPr>
              <w:t>722E型</w:t>
            </w:r>
          </w:p>
          <w:p>
            <w:pPr>
              <w:adjustRightInd w:val="0"/>
              <w:snapToGrid w:val="0"/>
              <w:jc w:val="center"/>
              <w:rPr>
                <w:rFonts w:ascii="Times New Roman" w:hAnsi="Times New Roman"/>
              </w:rPr>
            </w:pPr>
            <w:r>
              <w:rPr>
                <w:rFonts w:ascii="Times New Roman" w:hAnsi="Times New Roman"/>
              </w:rPr>
              <w:t>可见分光光度计</w:t>
            </w:r>
          </w:p>
        </w:tc>
        <w:tc>
          <w:tcPr>
            <w:tcW w:w="694" w:type="pct"/>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0.01</w:t>
            </w:r>
            <w:r>
              <w:rPr>
                <w:rFonts w:ascii="Times New Roman" w:hAnsi="Times New Roma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07" w:type="pct"/>
            <w:vAlign w:val="center"/>
          </w:tcPr>
          <w:p>
            <w:pPr>
              <w:adjustRightInd w:val="0"/>
              <w:snapToGrid w:val="0"/>
              <w:jc w:val="center"/>
              <w:rPr>
                <w:rFonts w:ascii="Times New Roman" w:hAnsi="Times New Roman"/>
                <w:color w:val="000000"/>
              </w:rPr>
            </w:pPr>
            <w:r>
              <w:rPr>
                <w:rFonts w:ascii="Times New Roman" w:hAnsi="Times New Roman"/>
                <w:color w:val="000000"/>
              </w:rPr>
              <w:t>总氮</w:t>
            </w:r>
          </w:p>
        </w:tc>
        <w:tc>
          <w:tcPr>
            <w:tcW w:w="2457" w:type="pct"/>
            <w:vAlign w:val="center"/>
          </w:tcPr>
          <w:p>
            <w:pPr>
              <w:widowControl/>
              <w:adjustRightInd w:val="0"/>
              <w:snapToGrid w:val="0"/>
              <w:jc w:val="center"/>
              <w:rPr>
                <w:rFonts w:ascii="Times New Roman" w:hAnsi="Times New Roman"/>
                <w:color w:val="000000"/>
                <w:kern w:val="0"/>
              </w:rPr>
            </w:pPr>
            <w:r>
              <w:rPr>
                <w:rFonts w:ascii="Times New Roman" w:hAnsi="Times New Roman"/>
              </w:rPr>
              <w:t>水质 总氮的测定 碱性过硫酸钾消解紫外分光光度法（HJ 636-2012）</w:t>
            </w:r>
          </w:p>
        </w:tc>
        <w:tc>
          <w:tcPr>
            <w:tcW w:w="942" w:type="pct"/>
            <w:vAlign w:val="center"/>
          </w:tcPr>
          <w:p>
            <w:pPr>
              <w:adjustRightInd w:val="0"/>
              <w:snapToGrid w:val="0"/>
              <w:jc w:val="center"/>
              <w:rPr>
                <w:rFonts w:ascii="Times New Roman" w:hAnsi="Times New Roman"/>
              </w:rPr>
            </w:pPr>
            <w:r>
              <w:rPr>
                <w:rFonts w:ascii="Times New Roman" w:hAnsi="Times New Roman"/>
              </w:rPr>
              <w:t>UV-1800PC型紫外分光光度计</w:t>
            </w:r>
          </w:p>
        </w:tc>
        <w:tc>
          <w:tcPr>
            <w:tcW w:w="694" w:type="pct"/>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0.05</w:t>
            </w:r>
            <w:r>
              <w:rPr>
                <w:rFonts w:ascii="Times New Roman" w:hAnsi="Times New Roman"/>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07" w:type="pct"/>
            <w:vAlign w:val="center"/>
          </w:tcPr>
          <w:p>
            <w:pPr>
              <w:adjustRightInd w:val="0"/>
              <w:snapToGrid w:val="0"/>
              <w:jc w:val="center"/>
              <w:rPr>
                <w:rFonts w:ascii="Times New Roman" w:hAnsi="Times New Roman"/>
                <w:color w:val="000000"/>
              </w:rPr>
            </w:pPr>
            <w:r>
              <w:rPr>
                <w:rFonts w:ascii="Times New Roman" w:hAnsi="Times New Roman"/>
              </w:rPr>
              <w:t>硫化物</w:t>
            </w:r>
          </w:p>
        </w:tc>
        <w:tc>
          <w:tcPr>
            <w:tcW w:w="2457" w:type="pct"/>
            <w:vAlign w:val="center"/>
          </w:tcPr>
          <w:p>
            <w:pPr>
              <w:adjustRightInd w:val="0"/>
              <w:snapToGrid w:val="0"/>
              <w:jc w:val="center"/>
              <w:rPr>
                <w:rFonts w:ascii="Times New Roman" w:hAnsi="Times New Roman"/>
              </w:rPr>
            </w:pPr>
            <w:r>
              <w:rPr>
                <w:rFonts w:ascii="Times New Roman" w:hAnsi="Times New Roman"/>
              </w:rPr>
              <w:t>水质 硫化物的测定 亚甲基蓝分光光度法（GB/T 16489-1996）</w:t>
            </w:r>
          </w:p>
        </w:tc>
        <w:tc>
          <w:tcPr>
            <w:tcW w:w="942" w:type="pct"/>
            <w:vAlign w:val="center"/>
          </w:tcPr>
          <w:p>
            <w:pPr>
              <w:adjustRightInd w:val="0"/>
              <w:snapToGrid w:val="0"/>
              <w:jc w:val="center"/>
              <w:rPr>
                <w:rFonts w:ascii="Times New Roman" w:hAnsi="Times New Roman"/>
              </w:rPr>
            </w:pPr>
            <w:r>
              <w:rPr>
                <w:rFonts w:ascii="Times New Roman" w:hAnsi="Times New Roman"/>
              </w:rPr>
              <w:t>722E型</w:t>
            </w:r>
          </w:p>
          <w:p>
            <w:pPr>
              <w:adjustRightInd w:val="0"/>
              <w:snapToGrid w:val="0"/>
              <w:jc w:val="center"/>
              <w:rPr>
                <w:rFonts w:ascii="Times New Roman" w:hAnsi="Times New Roman"/>
              </w:rPr>
            </w:pPr>
            <w:r>
              <w:rPr>
                <w:rFonts w:ascii="Times New Roman" w:hAnsi="Times New Roman"/>
              </w:rPr>
              <w:t>可见分光光度计</w:t>
            </w:r>
          </w:p>
        </w:tc>
        <w:tc>
          <w:tcPr>
            <w:tcW w:w="694" w:type="pct"/>
            <w:vAlign w:val="center"/>
          </w:tcPr>
          <w:p>
            <w:pPr>
              <w:adjustRightInd w:val="0"/>
              <w:snapToGrid w:val="0"/>
              <w:jc w:val="center"/>
              <w:rPr>
                <w:rFonts w:ascii="Times New Roman" w:hAnsi="Times New Roman"/>
              </w:rPr>
            </w:pPr>
            <w:r>
              <w:rPr>
                <w:rFonts w:ascii="Times New Roman" w:hAnsi="Times New Roman"/>
              </w:rPr>
              <w:t>0.005mg/L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07" w:type="pct"/>
            <w:vAlign w:val="center"/>
          </w:tcPr>
          <w:p>
            <w:pPr>
              <w:adjustRightInd w:val="0"/>
              <w:snapToGrid w:val="0"/>
              <w:jc w:val="center"/>
              <w:rPr>
                <w:rFonts w:ascii="Times New Roman" w:hAnsi="Times New Roman"/>
              </w:rPr>
            </w:pPr>
            <w:r>
              <w:rPr>
                <w:rFonts w:ascii="Times New Roman" w:hAnsi="Times New Roman"/>
              </w:rPr>
              <w:t>石油类</w:t>
            </w:r>
          </w:p>
        </w:tc>
        <w:tc>
          <w:tcPr>
            <w:tcW w:w="2457" w:type="pct"/>
            <w:vAlign w:val="center"/>
          </w:tcPr>
          <w:p>
            <w:pPr>
              <w:widowControl/>
              <w:adjustRightInd w:val="0"/>
              <w:snapToGrid w:val="0"/>
              <w:jc w:val="center"/>
              <w:rPr>
                <w:rFonts w:ascii="Times New Roman" w:hAnsi="Times New Roman"/>
                <w:spacing w:val="-12"/>
              </w:rPr>
            </w:pPr>
            <w:r>
              <w:rPr>
                <w:rFonts w:ascii="Times New Roman" w:hAnsi="Times New Roman"/>
              </w:rPr>
              <w:t>水质 石油类和动植物油类的测定 红外分光光度法（HJ 637-2012）</w:t>
            </w:r>
          </w:p>
        </w:tc>
        <w:tc>
          <w:tcPr>
            <w:tcW w:w="942" w:type="pct"/>
            <w:vAlign w:val="center"/>
          </w:tcPr>
          <w:p>
            <w:pPr>
              <w:adjustRightInd w:val="0"/>
              <w:snapToGrid w:val="0"/>
              <w:jc w:val="center"/>
              <w:rPr>
                <w:rFonts w:ascii="Times New Roman" w:hAnsi="Times New Roman"/>
              </w:rPr>
            </w:pPr>
            <w:r>
              <w:rPr>
                <w:rFonts w:ascii="Times New Roman" w:hAnsi="Times New Roman"/>
              </w:rPr>
              <w:t>JLBG-126型</w:t>
            </w:r>
          </w:p>
          <w:p>
            <w:pPr>
              <w:adjustRightInd w:val="0"/>
              <w:snapToGrid w:val="0"/>
              <w:jc w:val="center"/>
              <w:rPr>
                <w:rFonts w:ascii="Times New Roman" w:hAnsi="Times New Roman"/>
              </w:rPr>
            </w:pPr>
            <w:r>
              <w:rPr>
                <w:rFonts w:ascii="Times New Roman" w:hAnsi="Times New Roman"/>
              </w:rPr>
              <w:t>红外分光测油仪</w:t>
            </w:r>
          </w:p>
        </w:tc>
        <w:tc>
          <w:tcPr>
            <w:tcW w:w="694" w:type="pct"/>
            <w:vAlign w:val="center"/>
          </w:tcPr>
          <w:p>
            <w:pPr>
              <w:widowControl/>
              <w:adjustRightInd w:val="0"/>
              <w:snapToGrid w:val="0"/>
              <w:jc w:val="center"/>
              <w:rPr>
                <w:rFonts w:ascii="Times New Roman" w:hAnsi="Times New Roman"/>
              </w:rPr>
            </w:pPr>
            <w:r>
              <w:rPr>
                <w:rFonts w:ascii="Times New Roman" w:hAnsi="Times New Roman"/>
                <w:kern w:val="0"/>
              </w:rPr>
              <w:t>0.04mg/L</w:t>
            </w:r>
          </w:p>
        </w:tc>
      </w:tr>
    </w:tbl>
    <w:p>
      <w:pPr>
        <w:snapToGrid w:val="0"/>
        <w:spacing w:line="360" w:lineRule="auto"/>
        <w:ind w:firstLine="480" w:firstLineChars="200"/>
        <w:rPr>
          <w:rFonts w:ascii="Times New Roman" w:hAnsi="Times New Roman" w:eastAsiaTheme="minorEastAsia"/>
          <w:sz w:val="24"/>
          <w:szCs w:val="24"/>
        </w:rPr>
      </w:pPr>
    </w:p>
    <w:p>
      <w:pPr>
        <w:pStyle w:val="4"/>
        <w:rPr>
          <w:rFonts w:eastAsiaTheme="minorEastAsia"/>
        </w:rPr>
      </w:pPr>
      <w:r>
        <w:rPr>
          <w:rFonts w:eastAsiaTheme="minorEastAsia"/>
        </w:rPr>
        <w:t>地表水环境质量现状评价</w:t>
      </w:r>
    </w:p>
    <w:p>
      <w:pPr>
        <w:adjustRightInd w:val="0"/>
        <w:snapToGrid w:val="0"/>
        <w:spacing w:line="360" w:lineRule="auto"/>
        <w:ind w:firstLine="502" w:firstLineChars="200"/>
        <w:rPr>
          <w:rFonts w:ascii="Times New Roman" w:hAnsi="Times New Roman" w:eastAsiaTheme="minorEastAsia"/>
          <w:b/>
          <w:spacing w:val="5"/>
          <w:sz w:val="24"/>
          <w:szCs w:val="24"/>
        </w:rPr>
      </w:pPr>
      <w:r>
        <w:rPr>
          <w:rFonts w:ascii="Times New Roman" w:hAnsi="Times New Roman" w:eastAsiaTheme="minorEastAsia"/>
          <w:b/>
          <w:spacing w:val="5"/>
          <w:sz w:val="24"/>
          <w:szCs w:val="24"/>
        </w:rPr>
        <w:t>1、评价方法</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河流水质现状评价执行《地表水环境质量标准》（GB3838-2002）的</w:t>
      </w:r>
      <w:r>
        <w:rPr>
          <w:rFonts w:hint="eastAsia" w:ascii="宋体" w:hAnsi="宋体" w:cs="宋体"/>
          <w:sz w:val="24"/>
          <w:szCs w:val="24"/>
        </w:rPr>
        <w:t>Ⅲ</w:t>
      </w:r>
      <w:r>
        <w:rPr>
          <w:rFonts w:ascii="Times New Roman" w:hAnsi="Times New Roman" w:eastAsiaTheme="minorEastAsia"/>
          <w:sz w:val="24"/>
          <w:szCs w:val="24"/>
        </w:rPr>
        <w:t>类标准，鉴于《地表水环境质量标准》（GB3838-2002）中对悬浮物无规定限值，本次评价采用《地表水资源质量标准》（SL63-94）的三级标准。</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现状评价采用标准指数法进行评价：</w:t>
      </w:r>
    </w:p>
    <w:p>
      <w:pPr>
        <w:jc w:val="center"/>
        <w:rPr>
          <w:rFonts w:ascii="Times New Roman" w:hAnsi="Times New Roman" w:eastAsiaTheme="minorEastAsia"/>
          <w:szCs w:val="24"/>
        </w:rPr>
      </w:pPr>
      <w:r>
        <w:rPr>
          <w:rFonts w:ascii="Times New Roman" w:hAnsi="Times New Roman" w:eastAsiaTheme="minorEastAsia"/>
          <w:color w:val="548DD4"/>
          <w:position w:val="-32"/>
          <w:sz w:val="24"/>
        </w:rPr>
        <w:object>
          <v:shape id="_x0000_i1028" o:spt="75" type="#_x0000_t75" style="height:36pt;width:51pt;" o:ole="t" filled="f" o:preferrelative="t" stroked="f" coordsize="21600,21600">
            <v:path/>
            <v:fill on="f" focussize="0,0"/>
            <v:stroke on="f" joinstyle="miter"/>
            <v:imagedata r:id="rId45" o:title=""/>
            <o:lock v:ext="edit" aspectratio="t"/>
            <w10:wrap type="none"/>
            <w10:anchorlock/>
          </v:shape>
          <o:OLEObject Type="Embed" ProgID="Equation.3" ShapeID="_x0000_i1028" DrawAspect="Content" ObjectID="_1468075728" r:id="rId44">
            <o:LockedField>false</o:LockedField>
          </o:OLEObject>
        </w:object>
      </w:r>
    </w:p>
    <w:p>
      <w:pPr>
        <w:adjustRightInd w:val="0"/>
        <w:snapToGrid w:val="0"/>
        <w:spacing w:line="360" w:lineRule="auto"/>
        <w:ind w:firstLine="480"/>
        <w:rPr>
          <w:rFonts w:ascii="Times New Roman" w:hAnsi="Times New Roman" w:eastAsiaTheme="minorEastAsia"/>
          <w:sz w:val="24"/>
          <w:szCs w:val="24"/>
        </w:rPr>
      </w:pPr>
      <w:r>
        <w:rPr>
          <w:rFonts w:ascii="Times New Roman" w:hAnsi="Times New Roman" w:eastAsiaTheme="minorEastAsia"/>
          <w:sz w:val="24"/>
          <w:szCs w:val="24"/>
        </w:rPr>
        <w:t>式中：</w:t>
      </w:r>
      <w:r>
        <w:rPr>
          <w:rFonts w:ascii="Times New Roman" w:hAnsi="Times New Roman" w:eastAsiaTheme="minorEastAsia"/>
          <w:iCs/>
          <w:sz w:val="24"/>
          <w:szCs w:val="24"/>
        </w:rPr>
        <w:t>S</w:t>
      </w:r>
      <w:r>
        <w:rPr>
          <w:rFonts w:ascii="Times New Roman" w:hAnsi="Times New Roman" w:eastAsiaTheme="minorEastAsia"/>
          <w:iCs/>
          <w:sz w:val="24"/>
          <w:szCs w:val="24"/>
          <w:vertAlign w:val="subscript"/>
        </w:rPr>
        <w:t>i，j</w:t>
      </w:r>
      <w:r>
        <w:rPr>
          <w:rFonts w:ascii="Times New Roman" w:hAnsi="Times New Roman" w:eastAsiaTheme="minorEastAsia"/>
          <w:sz w:val="24"/>
          <w:szCs w:val="24"/>
        </w:rPr>
        <w:t>——标准指数</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iCs/>
          <w:sz w:val="24"/>
          <w:szCs w:val="24"/>
        </w:rPr>
        <w:t>C</w:t>
      </w:r>
      <w:r>
        <w:rPr>
          <w:rFonts w:ascii="Times New Roman" w:hAnsi="Times New Roman" w:eastAsiaTheme="minorEastAsia"/>
          <w:iCs/>
          <w:sz w:val="24"/>
          <w:szCs w:val="24"/>
          <w:vertAlign w:val="subscript"/>
        </w:rPr>
        <w:t>i，j</w:t>
      </w:r>
      <w:r>
        <w:rPr>
          <w:rFonts w:ascii="Times New Roman" w:hAnsi="Times New Roman" w:eastAsiaTheme="minorEastAsia"/>
          <w:sz w:val="24"/>
          <w:szCs w:val="24"/>
        </w:rPr>
        <w:t>——</w:t>
      </w:r>
      <w:r>
        <w:rPr>
          <w:rFonts w:ascii="Times New Roman" w:hAnsi="Times New Roman" w:eastAsiaTheme="minorEastAsia"/>
          <w:iCs/>
          <w:sz w:val="24"/>
          <w:szCs w:val="24"/>
        </w:rPr>
        <w:t>i</w:t>
      </w:r>
      <w:r>
        <w:rPr>
          <w:rFonts w:ascii="Times New Roman" w:hAnsi="Times New Roman" w:eastAsiaTheme="minorEastAsia"/>
          <w:sz w:val="24"/>
          <w:szCs w:val="24"/>
        </w:rPr>
        <w:t>污染物在j断面的实测值，mg/L；</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iCs/>
          <w:sz w:val="24"/>
          <w:szCs w:val="24"/>
        </w:rPr>
        <w:t>C</w:t>
      </w:r>
      <w:r>
        <w:rPr>
          <w:rFonts w:ascii="Times New Roman" w:hAnsi="Times New Roman" w:eastAsiaTheme="minorEastAsia"/>
          <w:iCs/>
          <w:sz w:val="24"/>
          <w:szCs w:val="24"/>
          <w:vertAlign w:val="subscript"/>
        </w:rPr>
        <w:t>s，i</w:t>
      </w:r>
      <w:r>
        <w:rPr>
          <w:rFonts w:ascii="Times New Roman" w:hAnsi="Times New Roman" w:eastAsiaTheme="minorEastAsia"/>
          <w:sz w:val="24"/>
          <w:szCs w:val="24"/>
        </w:rPr>
        <w:t>——</w:t>
      </w:r>
      <w:r>
        <w:rPr>
          <w:rFonts w:ascii="Times New Roman" w:hAnsi="Times New Roman" w:eastAsiaTheme="minorEastAsia"/>
          <w:iCs/>
          <w:sz w:val="24"/>
          <w:szCs w:val="24"/>
        </w:rPr>
        <w:t>i</w:t>
      </w:r>
      <w:r>
        <w:rPr>
          <w:rFonts w:ascii="Times New Roman" w:hAnsi="Times New Roman" w:eastAsiaTheme="minorEastAsia"/>
          <w:sz w:val="24"/>
          <w:szCs w:val="24"/>
        </w:rPr>
        <w:t>污染物的评价标准限值，mg/L；</w:t>
      </w:r>
    </w:p>
    <w:p>
      <w:pPr>
        <w:adjustRightInd w:val="0"/>
        <w:snapToGrid w:val="0"/>
        <w:spacing w:line="360" w:lineRule="auto"/>
        <w:ind w:firstLine="480"/>
        <w:rPr>
          <w:rFonts w:ascii="Times New Roman" w:hAnsi="Times New Roman" w:eastAsiaTheme="minorEastAsia"/>
          <w:sz w:val="24"/>
          <w:szCs w:val="24"/>
        </w:rPr>
      </w:pPr>
      <w:r>
        <w:rPr>
          <w:rFonts w:ascii="Times New Roman" w:hAnsi="Times New Roman" w:eastAsiaTheme="minorEastAsia"/>
          <w:sz w:val="24"/>
          <w:szCs w:val="24"/>
        </w:rPr>
        <w:t>pH值单项水质参数计算方法：</w:t>
      </w:r>
    </w:p>
    <w:p>
      <w:pPr>
        <w:adjustRightInd w:val="0"/>
        <w:snapToGrid w:val="0"/>
        <w:spacing w:line="360" w:lineRule="auto"/>
        <w:jc w:val="center"/>
        <w:rPr>
          <w:rFonts w:ascii="Times New Roman" w:hAnsi="Times New Roman" w:eastAsiaTheme="minorEastAsia"/>
          <w:szCs w:val="24"/>
        </w:rPr>
      </w:pPr>
      <w:r>
        <w:rPr>
          <w:rFonts w:ascii="Times New Roman" w:hAnsi="Times New Roman" w:eastAsiaTheme="minorEastAsia"/>
          <w:color w:val="548DD4"/>
          <w:position w:val="-68"/>
        </w:rPr>
        <w:object>
          <v:shape id="_x0000_i1029" o:spt="75" type="#_x0000_t75" style="height:72pt;width:157.5pt;" o:ole="t" filled="f" o:preferrelative="t" stroked="f" coordsize="21600,21600">
            <v:path/>
            <v:fill on="f" focussize="0,0"/>
            <v:stroke on="f" joinstyle="miter"/>
            <v:imagedata r:id="rId47" o:title=""/>
            <o:lock v:ext="edit" aspectratio="t"/>
            <w10:wrap type="none"/>
            <w10:anchorlock/>
          </v:shape>
          <o:OLEObject Type="Embed" ProgID="Equation.3" ShapeID="_x0000_i1029" DrawAspect="Content" ObjectID="_1468075729" r:id="rId46">
            <o:LockedField>false</o:LockedField>
          </o:OLEObject>
        </w:object>
      </w:r>
    </w:p>
    <w:p>
      <w:pPr>
        <w:adjustRightInd w:val="0"/>
        <w:snapToGrid w:val="0"/>
        <w:spacing w:line="360" w:lineRule="auto"/>
        <w:ind w:firstLine="480"/>
        <w:rPr>
          <w:rFonts w:ascii="Times New Roman" w:hAnsi="Times New Roman" w:eastAsiaTheme="minorEastAsia"/>
          <w:sz w:val="24"/>
          <w:szCs w:val="24"/>
        </w:rPr>
      </w:pPr>
      <w:r>
        <w:rPr>
          <w:rFonts w:ascii="Times New Roman" w:hAnsi="Times New Roman" w:eastAsiaTheme="minorEastAsia"/>
          <w:sz w:val="24"/>
          <w:szCs w:val="24"/>
        </w:rPr>
        <w:t>式中：</w:t>
      </w:r>
      <w:r>
        <w:rPr>
          <w:rFonts w:ascii="Times New Roman" w:hAnsi="Times New Roman" w:eastAsiaTheme="minorEastAsia"/>
          <w:iCs/>
          <w:sz w:val="24"/>
          <w:szCs w:val="24"/>
        </w:rPr>
        <w:t>S</w:t>
      </w:r>
      <w:r>
        <w:rPr>
          <w:rFonts w:ascii="Times New Roman" w:hAnsi="Times New Roman" w:eastAsiaTheme="minorEastAsia"/>
          <w:iCs/>
          <w:sz w:val="24"/>
          <w:szCs w:val="24"/>
          <w:vertAlign w:val="subscript"/>
        </w:rPr>
        <w:t xml:space="preserve">pH，j </w:t>
      </w:r>
      <w:r>
        <w:rPr>
          <w:rFonts w:ascii="Times New Roman" w:hAnsi="Times New Roman" w:eastAsiaTheme="minorEastAsia"/>
          <w:sz w:val="24"/>
          <w:szCs w:val="24"/>
        </w:rPr>
        <w:t>—— pH值的标准指数；</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iCs/>
          <w:sz w:val="24"/>
          <w:szCs w:val="24"/>
        </w:rPr>
        <w:t>pH</w:t>
      </w:r>
      <w:r>
        <w:rPr>
          <w:rFonts w:ascii="Times New Roman" w:hAnsi="Times New Roman" w:eastAsiaTheme="minorEastAsia"/>
          <w:iCs/>
          <w:sz w:val="24"/>
          <w:szCs w:val="24"/>
          <w:vertAlign w:val="subscript"/>
        </w:rPr>
        <w:t>j</w:t>
      </w:r>
      <w:r>
        <w:rPr>
          <w:rFonts w:ascii="Times New Roman" w:hAnsi="Times New Roman" w:eastAsiaTheme="minorEastAsia"/>
          <w:sz w:val="24"/>
          <w:szCs w:val="24"/>
        </w:rPr>
        <w:t>—— pH实测值；</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iCs/>
          <w:sz w:val="24"/>
          <w:szCs w:val="24"/>
        </w:rPr>
        <w:t>pH</w:t>
      </w:r>
      <w:r>
        <w:rPr>
          <w:rFonts w:ascii="Times New Roman" w:hAnsi="Times New Roman" w:eastAsiaTheme="minorEastAsia"/>
          <w:iCs/>
          <w:sz w:val="24"/>
          <w:szCs w:val="24"/>
          <w:vertAlign w:val="subscript"/>
        </w:rPr>
        <w:t>sd</w:t>
      </w:r>
      <w:r>
        <w:rPr>
          <w:rFonts w:ascii="Times New Roman" w:hAnsi="Times New Roman" w:eastAsiaTheme="minorEastAsia"/>
          <w:sz w:val="24"/>
          <w:szCs w:val="24"/>
        </w:rPr>
        <w:t xml:space="preserve"> ——评价标准中pH值的下限值；</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iCs/>
          <w:sz w:val="24"/>
          <w:szCs w:val="24"/>
        </w:rPr>
        <w:t>pH</w:t>
      </w:r>
      <w:r>
        <w:rPr>
          <w:rFonts w:ascii="Times New Roman" w:hAnsi="Times New Roman" w:eastAsiaTheme="minorEastAsia"/>
          <w:iCs/>
          <w:sz w:val="24"/>
          <w:szCs w:val="24"/>
          <w:vertAlign w:val="subscript"/>
        </w:rPr>
        <w:t>su</w:t>
      </w:r>
      <w:r>
        <w:rPr>
          <w:rFonts w:ascii="Times New Roman" w:hAnsi="Times New Roman" w:eastAsiaTheme="minorEastAsia"/>
          <w:sz w:val="24"/>
          <w:szCs w:val="24"/>
        </w:rPr>
        <w:t xml:space="preserve"> ——评价标准中pH值的上限值；</w:t>
      </w:r>
    </w:p>
    <w:p>
      <w:pPr>
        <w:pStyle w:val="135"/>
        <w:adjustRightInd w:val="0"/>
        <w:snapToGrid w:val="0"/>
        <w:spacing w:line="360" w:lineRule="auto"/>
        <w:ind w:firstLine="480"/>
        <w:rPr>
          <w:rFonts w:eastAsiaTheme="minorEastAsia"/>
        </w:rPr>
      </w:pPr>
      <w:r>
        <w:rPr>
          <w:rFonts w:eastAsiaTheme="minorEastAsia"/>
        </w:rPr>
        <w:t>DO单项水质参数计算方法：</w:t>
      </w:r>
    </w:p>
    <w:p>
      <w:pPr>
        <w:adjustRightInd w:val="0"/>
        <w:snapToGrid w:val="0"/>
        <w:spacing w:line="360" w:lineRule="auto"/>
        <w:jc w:val="center"/>
        <w:rPr>
          <w:rFonts w:ascii="Times New Roman" w:hAnsi="Times New Roman" w:eastAsiaTheme="minorEastAsia"/>
          <w:color w:val="548DD4"/>
          <w:spacing w:val="4"/>
          <w:sz w:val="24"/>
        </w:rPr>
      </w:pPr>
      <w:r>
        <w:rPr>
          <w:rFonts w:ascii="Times New Roman" w:hAnsi="Times New Roman"/>
        </w:rPr>
        <w:drawing>
          <wp:inline distT="0" distB="0" distL="0" distR="0">
            <wp:extent cx="1200150" cy="2114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8"/>
                    <a:stretch>
                      <a:fillRect/>
                    </a:stretch>
                  </pic:blipFill>
                  <pic:spPr>
                    <a:xfrm>
                      <a:off x="0" y="0"/>
                      <a:ext cx="1283106" cy="226715"/>
                    </a:xfrm>
                    <a:prstGeom prst="rect">
                      <a:avLst/>
                    </a:prstGeom>
                  </pic:spPr>
                </pic:pic>
              </a:graphicData>
            </a:graphic>
          </wp:inline>
        </w:drawing>
      </w:r>
      <w:r>
        <w:rPr>
          <w:rFonts w:ascii="Times New Roman" w:hAnsi="Times New Roman" w:eastAsiaTheme="minorEastAsia"/>
          <w:color w:val="548DD4"/>
          <w:spacing w:val="4"/>
          <w:sz w:val="24"/>
        </w:rPr>
        <w:t xml:space="preserve">  </w:t>
      </w:r>
      <w:r>
        <w:rPr>
          <w:rFonts w:ascii="Times New Roman" w:hAnsi="Times New Roman" w:eastAsiaTheme="minorEastAsia"/>
          <w:spacing w:val="4"/>
          <w:sz w:val="24"/>
          <w:szCs w:val="24"/>
        </w:rPr>
        <w:t>DO</w:t>
      </w:r>
      <w:r>
        <w:rPr>
          <w:rFonts w:ascii="Times New Roman" w:hAnsi="Times New Roman" w:eastAsiaTheme="minorEastAsia"/>
          <w:spacing w:val="4"/>
          <w:sz w:val="24"/>
          <w:szCs w:val="24"/>
          <w:vertAlign w:val="subscript"/>
        </w:rPr>
        <w:t>j</w:t>
      </w:r>
      <w:r>
        <w:rPr>
          <w:rFonts w:ascii="Times New Roman" w:hAnsi="Times New Roman" w:eastAsiaTheme="minorEastAsia"/>
          <w:spacing w:val="4"/>
          <w:sz w:val="24"/>
          <w:szCs w:val="24"/>
        </w:rPr>
        <w:t>≤DO</w:t>
      </w:r>
      <w:r>
        <w:rPr>
          <w:rFonts w:ascii="Times New Roman" w:hAnsi="Times New Roman" w:eastAsiaTheme="minorEastAsia"/>
          <w:spacing w:val="4"/>
          <w:sz w:val="24"/>
          <w:szCs w:val="24"/>
          <w:vertAlign w:val="subscript"/>
        </w:rPr>
        <w:t>s</w:t>
      </w:r>
      <w:r>
        <w:rPr>
          <w:rFonts w:ascii="Times New Roman" w:hAnsi="Times New Roman" w:eastAsiaTheme="minorEastAsia"/>
          <w:spacing w:val="4"/>
          <w:sz w:val="24"/>
          <w:szCs w:val="24"/>
        </w:rPr>
        <w:t>时；</w:t>
      </w:r>
    </w:p>
    <w:p>
      <w:pPr>
        <w:adjustRightInd w:val="0"/>
        <w:snapToGrid w:val="0"/>
        <w:spacing w:line="360" w:lineRule="auto"/>
        <w:jc w:val="center"/>
        <w:rPr>
          <w:rFonts w:ascii="Times New Roman" w:hAnsi="Times New Roman" w:eastAsiaTheme="minorEastAsia"/>
          <w:spacing w:val="4"/>
          <w:sz w:val="24"/>
          <w:szCs w:val="24"/>
        </w:rPr>
      </w:pPr>
      <w:r>
        <w:rPr>
          <w:rFonts w:ascii="Times New Roman" w:hAnsi="Times New Roman"/>
        </w:rPr>
        <w:drawing>
          <wp:inline distT="0" distB="0" distL="0" distR="0">
            <wp:extent cx="1295400" cy="44259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9"/>
                    <a:stretch>
                      <a:fillRect/>
                    </a:stretch>
                  </pic:blipFill>
                  <pic:spPr>
                    <a:xfrm>
                      <a:off x="0" y="0"/>
                      <a:ext cx="1334886" cy="456445"/>
                    </a:xfrm>
                    <a:prstGeom prst="rect">
                      <a:avLst/>
                    </a:prstGeom>
                  </pic:spPr>
                </pic:pic>
              </a:graphicData>
            </a:graphic>
          </wp:inline>
        </w:drawing>
      </w:r>
      <w:r>
        <w:rPr>
          <w:rFonts w:ascii="Times New Roman" w:hAnsi="Times New Roman" w:eastAsiaTheme="minorEastAsia"/>
          <w:spacing w:val="4"/>
          <w:sz w:val="24"/>
          <w:szCs w:val="24"/>
        </w:rPr>
        <w:t xml:space="preserve">  DO</w:t>
      </w:r>
      <w:r>
        <w:rPr>
          <w:rFonts w:ascii="Times New Roman" w:hAnsi="Times New Roman" w:eastAsiaTheme="minorEastAsia"/>
          <w:spacing w:val="4"/>
          <w:sz w:val="24"/>
          <w:szCs w:val="24"/>
          <w:vertAlign w:val="subscript"/>
        </w:rPr>
        <w:t>j</w:t>
      </w:r>
      <w:r>
        <w:rPr>
          <w:rFonts w:ascii="Times New Roman" w:hAnsi="Times New Roman" w:eastAsiaTheme="minorEastAsia"/>
          <w:spacing w:val="4"/>
          <w:sz w:val="24"/>
          <w:szCs w:val="24"/>
        </w:rPr>
        <w:t>＞DO</w:t>
      </w:r>
      <w:r>
        <w:rPr>
          <w:rFonts w:ascii="Times New Roman" w:hAnsi="Times New Roman" w:eastAsiaTheme="minorEastAsia"/>
          <w:spacing w:val="4"/>
          <w:sz w:val="24"/>
          <w:szCs w:val="24"/>
          <w:vertAlign w:val="subscript"/>
        </w:rPr>
        <w:t>s</w:t>
      </w:r>
      <w:r>
        <w:rPr>
          <w:rFonts w:ascii="Times New Roman" w:hAnsi="Times New Roman" w:eastAsiaTheme="minorEastAsia"/>
          <w:spacing w:val="4"/>
          <w:sz w:val="24"/>
          <w:szCs w:val="24"/>
        </w:rPr>
        <w:t>时；</w:t>
      </w:r>
    </w:p>
    <w:p>
      <w:pPr>
        <w:pStyle w:val="135"/>
        <w:adjustRightInd w:val="0"/>
        <w:snapToGrid w:val="0"/>
        <w:spacing w:line="360" w:lineRule="auto"/>
        <w:ind w:firstLine="480"/>
        <w:rPr>
          <w:rFonts w:eastAsiaTheme="minorEastAsia"/>
        </w:rPr>
      </w:pPr>
      <w:r>
        <w:rPr>
          <w:rFonts w:eastAsiaTheme="minorEastAsia"/>
        </w:rPr>
        <w:t>式中：S</w:t>
      </w:r>
      <w:r>
        <w:rPr>
          <w:rFonts w:eastAsiaTheme="minorEastAsia"/>
          <w:vertAlign w:val="subscript"/>
        </w:rPr>
        <w:t xml:space="preserve">DO，j </w:t>
      </w:r>
      <w:r>
        <w:rPr>
          <w:rFonts w:eastAsiaTheme="minorEastAsia"/>
        </w:rPr>
        <w:t>——溶解氧的标准指数，大于1表明该水质因子超标；</w:t>
      </w:r>
    </w:p>
    <w:p>
      <w:pPr>
        <w:pStyle w:val="135"/>
        <w:adjustRightInd w:val="0"/>
        <w:snapToGrid w:val="0"/>
        <w:spacing w:line="360" w:lineRule="auto"/>
        <w:ind w:firstLine="1159" w:firstLineChars="483"/>
        <w:rPr>
          <w:rFonts w:eastAsiaTheme="minorEastAsia"/>
        </w:rPr>
      </w:pPr>
      <w:r>
        <w:rPr>
          <w:rFonts w:eastAsiaTheme="minorEastAsia"/>
        </w:rPr>
        <w:t>DO</w:t>
      </w:r>
      <w:r>
        <w:rPr>
          <w:rFonts w:eastAsiaTheme="minorEastAsia"/>
          <w:vertAlign w:val="subscript"/>
        </w:rPr>
        <w:t xml:space="preserve">j </w:t>
      </w:r>
      <w:r>
        <w:rPr>
          <w:rFonts w:eastAsiaTheme="minorEastAsia"/>
        </w:rPr>
        <w:t>——溶解氧在j点的实测统计代表值，mg/L；</w:t>
      </w:r>
    </w:p>
    <w:p>
      <w:pPr>
        <w:pStyle w:val="135"/>
        <w:adjustRightInd w:val="0"/>
        <w:snapToGrid w:val="0"/>
        <w:spacing w:line="360" w:lineRule="auto"/>
        <w:ind w:firstLine="1159" w:firstLineChars="483"/>
        <w:rPr>
          <w:rFonts w:eastAsiaTheme="minorEastAsia"/>
        </w:rPr>
      </w:pPr>
      <w:r>
        <w:rPr>
          <w:rFonts w:eastAsiaTheme="minorEastAsia"/>
        </w:rPr>
        <w:t>DO</w:t>
      </w:r>
      <w:r>
        <w:rPr>
          <w:rFonts w:eastAsiaTheme="minorEastAsia"/>
          <w:vertAlign w:val="subscript"/>
        </w:rPr>
        <w:t xml:space="preserve">s </w:t>
      </w:r>
      <w:r>
        <w:rPr>
          <w:rFonts w:eastAsiaTheme="minorEastAsia"/>
        </w:rPr>
        <w:t>——溶解氧的水质评价标准限值，mg/L；</w:t>
      </w:r>
    </w:p>
    <w:p>
      <w:pPr>
        <w:pStyle w:val="135"/>
        <w:adjustRightInd w:val="0"/>
        <w:snapToGrid w:val="0"/>
        <w:spacing w:line="360" w:lineRule="auto"/>
        <w:ind w:firstLine="1159" w:firstLineChars="483"/>
        <w:rPr>
          <w:rFonts w:eastAsiaTheme="minorEastAsia"/>
        </w:rPr>
      </w:pPr>
      <w:r>
        <w:rPr>
          <w:rFonts w:eastAsiaTheme="minorEastAsia"/>
        </w:rPr>
        <w:t>DO</w:t>
      </w:r>
      <w:r>
        <w:rPr>
          <w:rFonts w:eastAsiaTheme="minorEastAsia"/>
          <w:vertAlign w:val="subscript"/>
        </w:rPr>
        <w:t xml:space="preserve">f </w:t>
      </w:r>
      <w:r>
        <w:rPr>
          <w:rFonts w:eastAsiaTheme="minorEastAsia"/>
        </w:rPr>
        <w:t>——饱和溶解氧浓度，mg/L，对于河流，DO</w:t>
      </w:r>
      <w:r>
        <w:rPr>
          <w:rFonts w:eastAsiaTheme="minorEastAsia"/>
          <w:vertAlign w:val="subscript"/>
        </w:rPr>
        <w:t>f</w:t>
      </w:r>
      <w:r>
        <w:rPr>
          <w:rFonts w:eastAsiaTheme="minorEastAsia"/>
        </w:rPr>
        <w:t>=468/（31.6+T）；</w:t>
      </w:r>
    </w:p>
    <w:p>
      <w:pPr>
        <w:pStyle w:val="135"/>
        <w:adjustRightInd w:val="0"/>
        <w:snapToGrid w:val="0"/>
        <w:spacing w:line="360" w:lineRule="auto"/>
        <w:ind w:firstLine="1159" w:firstLineChars="483"/>
        <w:rPr>
          <w:rFonts w:eastAsiaTheme="minorEastAsia"/>
        </w:rPr>
      </w:pPr>
      <w:r>
        <w:rPr>
          <w:rFonts w:eastAsiaTheme="minorEastAsia"/>
        </w:rPr>
        <w:t>T ——水温（</w:t>
      </w:r>
      <w:r>
        <w:rPr>
          <w:rFonts w:hint="eastAsia" w:ascii="宋体" w:hAnsi="宋体" w:cs="宋体"/>
        </w:rPr>
        <w:t>℃</w:t>
      </w:r>
      <w:r>
        <w:rPr>
          <w:rFonts w:eastAsiaTheme="minorEastAsia"/>
        </w:rPr>
        <w:t>）。</w:t>
      </w:r>
    </w:p>
    <w:p>
      <w:pPr>
        <w:adjustRightInd w:val="0"/>
        <w:snapToGrid w:val="0"/>
        <w:spacing w:line="360" w:lineRule="auto"/>
        <w:ind w:firstLine="482"/>
        <w:rPr>
          <w:rFonts w:ascii="Times New Roman" w:hAnsi="Times New Roman" w:eastAsiaTheme="minorEastAsia"/>
          <w:kern w:val="0"/>
          <w:sz w:val="20"/>
          <w:szCs w:val="20"/>
        </w:rPr>
      </w:pPr>
      <w:r>
        <w:rPr>
          <w:rFonts w:ascii="Times New Roman" w:hAnsi="Times New Roman" w:eastAsiaTheme="minorEastAsia"/>
          <w:sz w:val="24"/>
          <w:szCs w:val="24"/>
        </w:rPr>
        <w:t>水质参数的单因子指数&gt;1.0，表明该水质参数超过了规定的水质标准</w:t>
      </w:r>
      <w:r>
        <w:rPr>
          <w:rFonts w:ascii="Times New Roman" w:hAnsi="Times New Roman" w:eastAsiaTheme="minorEastAsia"/>
          <w:kern w:val="0"/>
          <w:sz w:val="24"/>
          <w:szCs w:val="24"/>
        </w:rPr>
        <w:t>，已经不能满足使用要求。标准指数越大，污染程度越重；标准指数越小，说明水体受污染的程度越轻。</w:t>
      </w:r>
    </w:p>
    <w:p>
      <w:pPr>
        <w:pStyle w:val="135"/>
        <w:adjustRightInd w:val="0"/>
        <w:snapToGrid w:val="0"/>
        <w:spacing w:line="360" w:lineRule="auto"/>
        <w:ind w:firstLine="482" w:firstLineChars="0"/>
        <w:rPr>
          <w:rFonts w:eastAsiaTheme="minorEastAsia"/>
          <w:b/>
        </w:rPr>
      </w:pPr>
      <w:r>
        <w:rPr>
          <w:rFonts w:eastAsiaTheme="minorEastAsia"/>
          <w:b/>
        </w:rPr>
        <w:t>2、现状监测结果评价分析</w:t>
      </w:r>
    </w:p>
    <w:p>
      <w:pPr>
        <w:pStyle w:val="135"/>
        <w:adjustRightInd w:val="0"/>
        <w:snapToGrid w:val="0"/>
        <w:spacing w:line="360" w:lineRule="auto"/>
        <w:ind w:firstLine="482" w:firstLineChars="0"/>
        <w:rPr>
          <w:rFonts w:eastAsiaTheme="minorEastAsia"/>
        </w:rPr>
      </w:pPr>
      <w:r>
        <w:rPr>
          <w:rFonts w:eastAsiaTheme="minorEastAsia"/>
        </w:rPr>
        <w:t>本项目所涉及河流水质监测结果及单因子指数及水质达标分析情况，见表4.4-7和表4.4-8。</w:t>
      </w:r>
    </w:p>
    <w:p>
      <w:pPr>
        <w:wordWrap w:val="0"/>
        <w:adjustRightInd w:val="0"/>
        <w:snapToGrid w:val="0"/>
        <w:spacing w:line="276" w:lineRule="auto"/>
        <w:jc w:val="right"/>
        <w:rPr>
          <w:rFonts w:ascii="Times New Roman" w:hAnsi="Times New Roman" w:eastAsiaTheme="minorEastAsia"/>
          <w:sz w:val="24"/>
          <w:szCs w:val="24"/>
        </w:rPr>
      </w:pPr>
      <w:r>
        <w:rPr>
          <w:rFonts w:ascii="Times New Roman" w:hAnsi="Times New Roman" w:eastAsiaTheme="minorEastAsia"/>
          <w:b/>
          <w:sz w:val="24"/>
          <w:szCs w:val="24"/>
        </w:rPr>
        <w:t xml:space="preserve">表4.4-7  地表水水质监测结果表      </w:t>
      </w:r>
      <w:r>
        <w:rPr>
          <w:rFonts w:ascii="Times New Roman" w:hAnsi="Times New Roman" w:eastAsiaTheme="minorEastAsia"/>
          <w:sz w:val="24"/>
          <w:szCs w:val="24"/>
        </w:rPr>
        <w:t>单位：mg/L，除pH</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287"/>
        <w:gridCol w:w="2878"/>
        <w:gridCol w:w="927"/>
        <w:gridCol w:w="1334"/>
        <w:gridCol w:w="1334"/>
        <w:gridCol w:w="13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7" w:type="pct"/>
            <w:vMerge w:val="restart"/>
            <w:vAlign w:val="center"/>
          </w:tcPr>
          <w:p>
            <w:pPr>
              <w:adjustRightInd w:val="0"/>
              <w:snapToGrid w:val="0"/>
              <w:jc w:val="center"/>
              <w:rPr>
                <w:rFonts w:ascii="Times New Roman" w:hAnsi="Times New Roman"/>
                <w:b/>
                <w:bCs/>
                <w:color w:val="000000"/>
              </w:rPr>
            </w:pPr>
            <w:r>
              <w:rPr>
                <w:rFonts w:ascii="Times New Roman" w:hAnsi="Times New Roman"/>
                <w:b/>
                <w:bCs/>
                <w:color w:val="000000"/>
              </w:rPr>
              <w:t>断面</w:t>
            </w:r>
          </w:p>
        </w:tc>
        <w:tc>
          <w:tcPr>
            <w:tcW w:w="1581" w:type="pct"/>
            <w:vMerge w:val="restart"/>
            <w:vAlign w:val="center"/>
          </w:tcPr>
          <w:p>
            <w:pPr>
              <w:adjustRightInd w:val="0"/>
              <w:snapToGrid w:val="0"/>
              <w:jc w:val="center"/>
              <w:rPr>
                <w:rFonts w:ascii="Times New Roman" w:hAnsi="Times New Roman"/>
                <w:b/>
                <w:bCs/>
                <w:color w:val="000000"/>
              </w:rPr>
            </w:pPr>
            <w:r>
              <w:rPr>
                <w:rFonts w:ascii="Times New Roman" w:hAnsi="Times New Roman"/>
                <w:b/>
                <w:bCs/>
                <w:color w:val="000000"/>
              </w:rPr>
              <w:t>监测项目</w:t>
            </w:r>
          </w:p>
        </w:tc>
        <w:tc>
          <w:tcPr>
            <w:tcW w:w="509" w:type="pct"/>
            <w:vMerge w:val="restart"/>
            <w:vAlign w:val="center"/>
          </w:tcPr>
          <w:p>
            <w:pPr>
              <w:adjustRightInd w:val="0"/>
              <w:snapToGrid w:val="0"/>
              <w:jc w:val="center"/>
              <w:rPr>
                <w:rFonts w:ascii="Times New Roman" w:hAnsi="Times New Roman"/>
                <w:b/>
                <w:bCs/>
                <w:color w:val="000000"/>
              </w:rPr>
            </w:pPr>
            <w:r>
              <w:rPr>
                <w:rFonts w:ascii="Times New Roman" w:hAnsi="Times New Roman"/>
                <w:b/>
                <w:bCs/>
                <w:color w:val="000000"/>
              </w:rPr>
              <w:t>单位</w:t>
            </w:r>
          </w:p>
        </w:tc>
        <w:tc>
          <w:tcPr>
            <w:tcW w:w="2202" w:type="pct"/>
            <w:gridSpan w:val="3"/>
            <w:vAlign w:val="center"/>
          </w:tcPr>
          <w:p>
            <w:pPr>
              <w:adjustRightInd w:val="0"/>
              <w:snapToGrid w:val="0"/>
              <w:jc w:val="center"/>
              <w:rPr>
                <w:rFonts w:ascii="Times New Roman" w:hAnsi="Times New Roman"/>
                <w:b/>
                <w:bCs/>
                <w:color w:val="000000"/>
              </w:rPr>
            </w:pPr>
            <w:r>
              <w:rPr>
                <w:rFonts w:ascii="Times New Roman" w:hAnsi="Times New Roman"/>
                <w:b/>
                <w:bCs/>
                <w:color w:val="000000"/>
              </w:rPr>
              <w:t>监测结果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widowControl/>
              <w:adjustRightInd w:val="0"/>
              <w:snapToGrid w:val="0"/>
              <w:jc w:val="left"/>
              <w:rPr>
                <w:rFonts w:ascii="Times New Roman" w:hAnsi="Times New Roman"/>
                <w:b/>
                <w:bCs/>
                <w:color w:val="000000"/>
              </w:rPr>
            </w:pPr>
          </w:p>
        </w:tc>
        <w:tc>
          <w:tcPr>
            <w:tcW w:w="0" w:type="auto"/>
            <w:vMerge w:val="continue"/>
            <w:vAlign w:val="center"/>
          </w:tcPr>
          <w:p>
            <w:pPr>
              <w:widowControl/>
              <w:adjustRightInd w:val="0"/>
              <w:snapToGrid w:val="0"/>
              <w:jc w:val="left"/>
              <w:rPr>
                <w:rFonts w:ascii="Times New Roman" w:hAnsi="Times New Roman"/>
                <w:b/>
                <w:bCs/>
                <w:color w:val="000000"/>
              </w:rPr>
            </w:pPr>
          </w:p>
        </w:tc>
        <w:tc>
          <w:tcPr>
            <w:tcW w:w="0" w:type="auto"/>
            <w:vMerge w:val="continue"/>
            <w:vAlign w:val="center"/>
          </w:tcPr>
          <w:p>
            <w:pPr>
              <w:widowControl/>
              <w:adjustRightInd w:val="0"/>
              <w:snapToGrid w:val="0"/>
              <w:jc w:val="left"/>
              <w:rPr>
                <w:rFonts w:ascii="Times New Roman" w:hAnsi="Times New Roman"/>
                <w:b/>
                <w:bCs/>
                <w:color w:val="000000"/>
              </w:rPr>
            </w:pPr>
          </w:p>
        </w:tc>
        <w:tc>
          <w:tcPr>
            <w:tcW w:w="733" w:type="pct"/>
            <w:vAlign w:val="center"/>
          </w:tcPr>
          <w:p>
            <w:pPr>
              <w:adjustRightInd w:val="0"/>
              <w:snapToGrid w:val="0"/>
              <w:jc w:val="center"/>
              <w:rPr>
                <w:rFonts w:ascii="Times New Roman" w:hAnsi="Times New Roman"/>
                <w:b/>
                <w:bCs/>
                <w:color w:val="000000"/>
              </w:rPr>
            </w:pPr>
            <w:r>
              <w:rPr>
                <w:rFonts w:ascii="Times New Roman" w:hAnsi="Times New Roman"/>
                <w:b/>
                <w:bCs/>
              </w:rPr>
              <w:t>10月28日</w:t>
            </w:r>
          </w:p>
        </w:tc>
        <w:tc>
          <w:tcPr>
            <w:tcW w:w="733" w:type="pct"/>
            <w:vAlign w:val="center"/>
          </w:tcPr>
          <w:p>
            <w:pPr>
              <w:adjustRightInd w:val="0"/>
              <w:snapToGrid w:val="0"/>
              <w:jc w:val="center"/>
              <w:rPr>
                <w:rFonts w:ascii="Times New Roman" w:hAnsi="Times New Roman"/>
                <w:b/>
                <w:bCs/>
                <w:color w:val="000000"/>
              </w:rPr>
            </w:pPr>
            <w:r>
              <w:rPr>
                <w:rFonts w:ascii="Times New Roman" w:hAnsi="Times New Roman"/>
                <w:b/>
                <w:bCs/>
              </w:rPr>
              <w:t>10月29日</w:t>
            </w:r>
          </w:p>
        </w:tc>
        <w:tc>
          <w:tcPr>
            <w:tcW w:w="736" w:type="pct"/>
            <w:vAlign w:val="center"/>
          </w:tcPr>
          <w:p>
            <w:pPr>
              <w:adjustRightInd w:val="0"/>
              <w:snapToGrid w:val="0"/>
              <w:jc w:val="center"/>
              <w:rPr>
                <w:rFonts w:ascii="Times New Roman" w:hAnsi="Times New Roman"/>
                <w:b/>
                <w:bCs/>
                <w:color w:val="000000"/>
              </w:rPr>
            </w:pPr>
            <w:r>
              <w:rPr>
                <w:rFonts w:ascii="Times New Roman" w:hAnsi="Times New Roman"/>
                <w:b/>
                <w:bCs/>
              </w:rPr>
              <w:t>10月30日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7" w:type="pct"/>
            <w:vMerge w:val="restart"/>
            <w:vAlign w:val="center"/>
          </w:tcPr>
          <w:p>
            <w:pPr>
              <w:adjustRightInd w:val="0"/>
              <w:snapToGrid w:val="0"/>
              <w:jc w:val="center"/>
              <w:rPr>
                <w:rFonts w:ascii="Times New Roman" w:hAnsi="Times New Roman"/>
                <w:color w:val="000000"/>
              </w:rPr>
            </w:pPr>
            <w:r>
              <w:rPr>
                <w:rFonts w:ascii="Times New Roman" w:hAnsi="Times New Roman"/>
                <w:color w:val="000000"/>
              </w:rPr>
              <w:t>S1长江（2#码头泊位上游500m处）</w:t>
            </w:r>
          </w:p>
        </w:tc>
        <w:tc>
          <w:tcPr>
            <w:tcW w:w="1581" w:type="pct"/>
            <w:vAlign w:val="center"/>
          </w:tcPr>
          <w:p>
            <w:pPr>
              <w:adjustRightInd w:val="0"/>
              <w:snapToGrid w:val="0"/>
              <w:jc w:val="center"/>
              <w:rPr>
                <w:rFonts w:ascii="Times New Roman" w:hAnsi="Times New Roman"/>
                <w:color w:val="000000"/>
              </w:rPr>
            </w:pPr>
            <w:r>
              <w:rPr>
                <w:rFonts w:ascii="Times New Roman" w:hAnsi="Times New Roman"/>
                <w:color w:val="000000"/>
              </w:rPr>
              <w:t>pH值</w:t>
            </w:r>
          </w:p>
        </w:tc>
        <w:tc>
          <w:tcPr>
            <w:tcW w:w="509" w:type="pct"/>
            <w:vAlign w:val="center"/>
          </w:tcPr>
          <w:p>
            <w:pPr>
              <w:adjustRightInd w:val="0"/>
              <w:snapToGrid w:val="0"/>
              <w:jc w:val="center"/>
              <w:rPr>
                <w:rFonts w:ascii="Times New Roman" w:hAnsi="Times New Roman"/>
                <w:color w:val="000000"/>
              </w:rPr>
            </w:pPr>
            <w:r>
              <w:rPr>
                <w:rFonts w:ascii="Times New Roman" w:hAnsi="Times New Roman"/>
                <w:color w:val="000000"/>
              </w:rPr>
              <w:t>无量纲</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6.71</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6.73</w:t>
            </w:r>
          </w:p>
        </w:tc>
        <w:tc>
          <w:tcPr>
            <w:tcW w:w="736"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6.73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7" w:type="pct"/>
            <w:vMerge w:val="continue"/>
            <w:vAlign w:val="center"/>
          </w:tcPr>
          <w:p>
            <w:pPr>
              <w:adjustRightInd w:val="0"/>
              <w:snapToGrid w:val="0"/>
              <w:jc w:val="center"/>
              <w:rPr>
                <w:rFonts w:ascii="Times New Roman" w:hAnsi="Times New Roman"/>
                <w:color w:val="000000"/>
              </w:rPr>
            </w:pPr>
          </w:p>
        </w:tc>
        <w:tc>
          <w:tcPr>
            <w:tcW w:w="1581" w:type="pct"/>
            <w:vAlign w:val="center"/>
          </w:tcPr>
          <w:p>
            <w:pPr>
              <w:adjustRightInd w:val="0"/>
              <w:snapToGrid w:val="0"/>
              <w:jc w:val="center"/>
              <w:rPr>
                <w:rFonts w:ascii="Times New Roman" w:hAnsi="Times New Roman"/>
                <w:color w:val="000000"/>
              </w:rPr>
            </w:pPr>
            <w:r>
              <w:rPr>
                <w:rFonts w:ascii="Times New Roman" w:hAnsi="Times New Roman"/>
                <w:color w:val="000000"/>
              </w:rPr>
              <w:t>水温</w:t>
            </w:r>
          </w:p>
        </w:tc>
        <w:tc>
          <w:tcPr>
            <w:tcW w:w="509" w:type="pct"/>
            <w:vAlign w:val="center"/>
          </w:tcPr>
          <w:p>
            <w:pPr>
              <w:adjustRightInd w:val="0"/>
              <w:snapToGrid w:val="0"/>
              <w:jc w:val="center"/>
              <w:rPr>
                <w:rFonts w:ascii="Times New Roman" w:hAnsi="Times New Roman"/>
                <w:color w:val="000000"/>
              </w:rPr>
            </w:pPr>
            <w:r>
              <w:rPr>
                <w:rFonts w:hint="eastAsia" w:ascii="宋体" w:hAnsi="宋体" w:cs="宋体"/>
                <w:color w:val="000000"/>
              </w:rPr>
              <w:t>℃</w:t>
            </w:r>
          </w:p>
        </w:tc>
        <w:tc>
          <w:tcPr>
            <w:tcW w:w="733" w:type="pct"/>
            <w:vAlign w:val="center"/>
          </w:tcPr>
          <w:p>
            <w:pPr>
              <w:adjustRightInd w:val="0"/>
              <w:snapToGrid w:val="0"/>
              <w:jc w:val="center"/>
              <w:rPr>
                <w:rFonts w:ascii="Times New Roman" w:hAnsi="Times New Roman"/>
                <w:color w:val="000000"/>
              </w:rPr>
            </w:pPr>
            <w:r>
              <w:rPr>
                <w:rFonts w:ascii="Times New Roman" w:hAnsi="Times New Roman"/>
                <w:color w:val="000000"/>
              </w:rPr>
              <w:t>14.8</w:t>
            </w:r>
          </w:p>
        </w:tc>
        <w:tc>
          <w:tcPr>
            <w:tcW w:w="733" w:type="pct"/>
            <w:vAlign w:val="center"/>
          </w:tcPr>
          <w:p>
            <w:pPr>
              <w:adjustRightInd w:val="0"/>
              <w:snapToGrid w:val="0"/>
              <w:jc w:val="center"/>
              <w:rPr>
                <w:rFonts w:ascii="Times New Roman" w:hAnsi="Times New Roman"/>
                <w:color w:val="000000"/>
              </w:rPr>
            </w:pPr>
            <w:r>
              <w:rPr>
                <w:rFonts w:ascii="Times New Roman" w:hAnsi="Times New Roman"/>
                <w:color w:val="000000"/>
              </w:rPr>
              <w:t>17.5</w:t>
            </w:r>
          </w:p>
        </w:tc>
        <w:tc>
          <w:tcPr>
            <w:tcW w:w="736" w:type="pct"/>
            <w:vAlign w:val="center"/>
          </w:tcPr>
          <w:p>
            <w:pPr>
              <w:adjustRightInd w:val="0"/>
              <w:snapToGrid w:val="0"/>
              <w:jc w:val="center"/>
              <w:rPr>
                <w:rFonts w:ascii="Times New Roman" w:hAnsi="Times New Roman"/>
                <w:color w:val="000000"/>
              </w:rPr>
            </w:pPr>
            <w:r>
              <w:rPr>
                <w:rFonts w:ascii="Times New Roman" w:hAnsi="Times New Roman"/>
                <w:color w:val="000000"/>
              </w:rPr>
              <w:t>18.9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widowControl/>
              <w:adjustRightInd w:val="0"/>
              <w:snapToGrid w:val="0"/>
              <w:jc w:val="left"/>
              <w:rPr>
                <w:rFonts w:ascii="Times New Roman" w:hAnsi="Times New Roman"/>
                <w:color w:val="000000"/>
              </w:rPr>
            </w:pPr>
          </w:p>
        </w:tc>
        <w:tc>
          <w:tcPr>
            <w:tcW w:w="1581" w:type="pct"/>
            <w:vAlign w:val="center"/>
          </w:tcPr>
          <w:p>
            <w:pPr>
              <w:adjustRightInd w:val="0"/>
              <w:snapToGrid w:val="0"/>
              <w:jc w:val="center"/>
              <w:rPr>
                <w:rFonts w:ascii="Times New Roman" w:hAnsi="Times New Roman"/>
                <w:color w:val="000000"/>
              </w:rPr>
            </w:pPr>
            <w:r>
              <w:rPr>
                <w:rFonts w:ascii="Times New Roman" w:hAnsi="Times New Roman"/>
                <w:color w:val="000000"/>
              </w:rPr>
              <w:t>悬浮物</w:t>
            </w:r>
          </w:p>
        </w:tc>
        <w:tc>
          <w:tcPr>
            <w:tcW w:w="509" w:type="pct"/>
            <w:vAlign w:val="center"/>
          </w:tcPr>
          <w:p>
            <w:pPr>
              <w:adjustRightInd w:val="0"/>
              <w:snapToGrid w:val="0"/>
              <w:jc w:val="center"/>
              <w:rPr>
                <w:rFonts w:ascii="Times New Roman" w:hAnsi="Times New Roman"/>
                <w:color w:val="000000"/>
              </w:rPr>
            </w:pPr>
            <w:r>
              <w:rPr>
                <w:rFonts w:ascii="Times New Roman" w:hAnsi="Times New Roman"/>
                <w:color w:val="000000"/>
              </w:rPr>
              <w:t>mg/L</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4L</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29</w:t>
            </w:r>
          </w:p>
        </w:tc>
        <w:tc>
          <w:tcPr>
            <w:tcW w:w="736"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widowControl/>
              <w:adjustRightInd w:val="0"/>
              <w:snapToGrid w:val="0"/>
              <w:jc w:val="left"/>
              <w:rPr>
                <w:rFonts w:ascii="Times New Roman" w:hAnsi="Times New Roman"/>
                <w:color w:val="000000"/>
              </w:rPr>
            </w:pPr>
          </w:p>
        </w:tc>
        <w:tc>
          <w:tcPr>
            <w:tcW w:w="1581" w:type="pct"/>
            <w:vAlign w:val="center"/>
          </w:tcPr>
          <w:p>
            <w:pPr>
              <w:adjustRightInd w:val="0"/>
              <w:snapToGrid w:val="0"/>
              <w:jc w:val="center"/>
              <w:rPr>
                <w:rFonts w:ascii="Times New Roman" w:hAnsi="Times New Roman"/>
                <w:color w:val="000000"/>
              </w:rPr>
            </w:pPr>
            <w:r>
              <w:rPr>
                <w:rFonts w:ascii="Times New Roman" w:hAnsi="Times New Roman"/>
                <w:color w:val="000000"/>
              </w:rPr>
              <w:t>溶解氧</w:t>
            </w:r>
          </w:p>
        </w:tc>
        <w:tc>
          <w:tcPr>
            <w:tcW w:w="509" w:type="pct"/>
            <w:vAlign w:val="center"/>
          </w:tcPr>
          <w:p>
            <w:pPr>
              <w:adjustRightInd w:val="0"/>
              <w:snapToGrid w:val="0"/>
              <w:jc w:val="center"/>
              <w:rPr>
                <w:rFonts w:ascii="Times New Roman" w:hAnsi="Times New Roman"/>
                <w:color w:val="000000"/>
              </w:rPr>
            </w:pPr>
            <w:r>
              <w:rPr>
                <w:rFonts w:ascii="Times New Roman" w:hAnsi="Times New Roman"/>
                <w:color w:val="000000"/>
              </w:rPr>
              <w:t>mg/L</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9.8</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10.2</w:t>
            </w:r>
          </w:p>
        </w:tc>
        <w:tc>
          <w:tcPr>
            <w:tcW w:w="736"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10.6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widowControl/>
              <w:adjustRightInd w:val="0"/>
              <w:snapToGrid w:val="0"/>
              <w:jc w:val="left"/>
              <w:rPr>
                <w:rFonts w:ascii="Times New Roman" w:hAnsi="Times New Roman"/>
                <w:color w:val="000000"/>
              </w:rPr>
            </w:pPr>
          </w:p>
        </w:tc>
        <w:tc>
          <w:tcPr>
            <w:tcW w:w="1581" w:type="pct"/>
            <w:vAlign w:val="center"/>
          </w:tcPr>
          <w:p>
            <w:pPr>
              <w:adjustRightInd w:val="0"/>
              <w:snapToGrid w:val="0"/>
              <w:jc w:val="center"/>
              <w:rPr>
                <w:rFonts w:ascii="Times New Roman" w:hAnsi="Times New Roman"/>
                <w:color w:val="000000"/>
              </w:rPr>
            </w:pPr>
            <w:r>
              <w:rPr>
                <w:rFonts w:ascii="Times New Roman" w:hAnsi="Times New Roman"/>
                <w:color w:val="000000"/>
              </w:rPr>
              <w:t>化学需氧量</w:t>
            </w:r>
          </w:p>
        </w:tc>
        <w:tc>
          <w:tcPr>
            <w:tcW w:w="509" w:type="pct"/>
            <w:vAlign w:val="center"/>
          </w:tcPr>
          <w:p>
            <w:pPr>
              <w:adjustRightInd w:val="0"/>
              <w:snapToGrid w:val="0"/>
              <w:jc w:val="center"/>
              <w:rPr>
                <w:rFonts w:ascii="Times New Roman" w:hAnsi="Times New Roman"/>
                <w:color w:val="000000"/>
              </w:rPr>
            </w:pPr>
            <w:r>
              <w:rPr>
                <w:rFonts w:ascii="Times New Roman" w:hAnsi="Times New Roman"/>
                <w:color w:val="000000"/>
              </w:rPr>
              <w:t>mg/L</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19</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16</w:t>
            </w:r>
          </w:p>
        </w:tc>
        <w:tc>
          <w:tcPr>
            <w:tcW w:w="736"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widowControl/>
              <w:adjustRightInd w:val="0"/>
              <w:snapToGrid w:val="0"/>
              <w:jc w:val="left"/>
              <w:rPr>
                <w:rFonts w:ascii="Times New Roman" w:hAnsi="Times New Roman"/>
                <w:color w:val="000000"/>
              </w:rPr>
            </w:pPr>
          </w:p>
        </w:tc>
        <w:tc>
          <w:tcPr>
            <w:tcW w:w="1581" w:type="pct"/>
            <w:vAlign w:val="center"/>
          </w:tcPr>
          <w:p>
            <w:pPr>
              <w:adjustRightInd w:val="0"/>
              <w:snapToGrid w:val="0"/>
              <w:jc w:val="center"/>
              <w:rPr>
                <w:rFonts w:ascii="Times New Roman" w:hAnsi="Times New Roman"/>
                <w:color w:val="000000"/>
              </w:rPr>
            </w:pPr>
            <w:r>
              <w:rPr>
                <w:rFonts w:ascii="Times New Roman" w:hAnsi="Times New Roman"/>
                <w:color w:val="000000"/>
              </w:rPr>
              <w:t>生化需氧量</w:t>
            </w:r>
          </w:p>
        </w:tc>
        <w:tc>
          <w:tcPr>
            <w:tcW w:w="509" w:type="pct"/>
            <w:vAlign w:val="center"/>
          </w:tcPr>
          <w:p>
            <w:pPr>
              <w:adjustRightInd w:val="0"/>
              <w:snapToGrid w:val="0"/>
              <w:jc w:val="center"/>
              <w:rPr>
                <w:rFonts w:ascii="Times New Roman" w:hAnsi="Times New Roman"/>
                <w:color w:val="000000"/>
              </w:rPr>
            </w:pPr>
            <w:r>
              <w:rPr>
                <w:rFonts w:ascii="Times New Roman" w:hAnsi="Times New Roman"/>
                <w:color w:val="000000"/>
              </w:rPr>
              <w:t>mg/L</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3.9</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3.7</w:t>
            </w:r>
          </w:p>
        </w:tc>
        <w:tc>
          <w:tcPr>
            <w:tcW w:w="736"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widowControl/>
              <w:adjustRightInd w:val="0"/>
              <w:snapToGrid w:val="0"/>
              <w:jc w:val="left"/>
              <w:rPr>
                <w:rFonts w:ascii="Times New Roman" w:hAnsi="Times New Roman"/>
                <w:color w:val="000000"/>
              </w:rPr>
            </w:pPr>
          </w:p>
        </w:tc>
        <w:tc>
          <w:tcPr>
            <w:tcW w:w="1581" w:type="pct"/>
            <w:vAlign w:val="center"/>
          </w:tcPr>
          <w:p>
            <w:pPr>
              <w:adjustRightInd w:val="0"/>
              <w:snapToGrid w:val="0"/>
              <w:jc w:val="center"/>
              <w:rPr>
                <w:rFonts w:ascii="Times New Roman" w:hAnsi="Times New Roman"/>
                <w:color w:val="000000"/>
              </w:rPr>
            </w:pPr>
            <w:r>
              <w:rPr>
                <w:rFonts w:ascii="Times New Roman" w:hAnsi="Times New Roman"/>
                <w:color w:val="000000"/>
              </w:rPr>
              <w:t>氨氮</w:t>
            </w:r>
          </w:p>
        </w:tc>
        <w:tc>
          <w:tcPr>
            <w:tcW w:w="509" w:type="pct"/>
            <w:vAlign w:val="center"/>
          </w:tcPr>
          <w:p>
            <w:pPr>
              <w:adjustRightInd w:val="0"/>
              <w:snapToGrid w:val="0"/>
              <w:jc w:val="center"/>
              <w:rPr>
                <w:rFonts w:ascii="Times New Roman" w:hAnsi="Times New Roman"/>
                <w:color w:val="000000"/>
              </w:rPr>
            </w:pPr>
            <w:r>
              <w:rPr>
                <w:rFonts w:ascii="Times New Roman" w:hAnsi="Times New Roman"/>
                <w:color w:val="000000"/>
              </w:rPr>
              <w:t>mg/L</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0.12</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0.12</w:t>
            </w:r>
          </w:p>
        </w:tc>
        <w:tc>
          <w:tcPr>
            <w:tcW w:w="736"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widowControl/>
              <w:adjustRightInd w:val="0"/>
              <w:snapToGrid w:val="0"/>
              <w:jc w:val="left"/>
              <w:rPr>
                <w:rFonts w:ascii="Times New Roman" w:hAnsi="Times New Roman"/>
                <w:color w:val="000000"/>
              </w:rPr>
            </w:pPr>
          </w:p>
        </w:tc>
        <w:tc>
          <w:tcPr>
            <w:tcW w:w="1581" w:type="pct"/>
            <w:vAlign w:val="center"/>
          </w:tcPr>
          <w:p>
            <w:pPr>
              <w:adjustRightInd w:val="0"/>
              <w:snapToGrid w:val="0"/>
              <w:jc w:val="center"/>
              <w:rPr>
                <w:rFonts w:ascii="Times New Roman" w:hAnsi="Times New Roman"/>
                <w:color w:val="000000"/>
              </w:rPr>
            </w:pPr>
            <w:r>
              <w:rPr>
                <w:rFonts w:ascii="Times New Roman" w:hAnsi="Times New Roman"/>
                <w:color w:val="000000"/>
              </w:rPr>
              <w:t>总磷</w:t>
            </w:r>
          </w:p>
        </w:tc>
        <w:tc>
          <w:tcPr>
            <w:tcW w:w="509" w:type="pct"/>
            <w:vAlign w:val="center"/>
          </w:tcPr>
          <w:p>
            <w:pPr>
              <w:adjustRightInd w:val="0"/>
              <w:snapToGrid w:val="0"/>
              <w:jc w:val="center"/>
              <w:rPr>
                <w:rFonts w:ascii="Times New Roman" w:hAnsi="Times New Roman"/>
                <w:color w:val="000000"/>
              </w:rPr>
            </w:pPr>
            <w:r>
              <w:rPr>
                <w:rFonts w:ascii="Times New Roman" w:hAnsi="Times New Roman"/>
                <w:color w:val="000000"/>
              </w:rPr>
              <w:t>mg/L</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0.14</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0.17</w:t>
            </w:r>
          </w:p>
        </w:tc>
        <w:tc>
          <w:tcPr>
            <w:tcW w:w="736"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widowControl/>
              <w:adjustRightInd w:val="0"/>
              <w:snapToGrid w:val="0"/>
              <w:jc w:val="left"/>
              <w:rPr>
                <w:rFonts w:ascii="Times New Roman" w:hAnsi="Times New Roman"/>
                <w:color w:val="000000"/>
              </w:rPr>
            </w:pPr>
          </w:p>
        </w:tc>
        <w:tc>
          <w:tcPr>
            <w:tcW w:w="1581" w:type="pct"/>
            <w:vAlign w:val="center"/>
          </w:tcPr>
          <w:p>
            <w:pPr>
              <w:adjustRightInd w:val="0"/>
              <w:snapToGrid w:val="0"/>
              <w:jc w:val="center"/>
              <w:rPr>
                <w:rFonts w:ascii="Times New Roman" w:hAnsi="Times New Roman"/>
                <w:color w:val="000000"/>
              </w:rPr>
            </w:pPr>
            <w:r>
              <w:rPr>
                <w:rFonts w:ascii="Times New Roman" w:hAnsi="Times New Roman"/>
                <w:color w:val="000000"/>
              </w:rPr>
              <w:t>总氮</w:t>
            </w:r>
          </w:p>
        </w:tc>
        <w:tc>
          <w:tcPr>
            <w:tcW w:w="509" w:type="pct"/>
            <w:vAlign w:val="center"/>
          </w:tcPr>
          <w:p>
            <w:pPr>
              <w:adjustRightInd w:val="0"/>
              <w:snapToGrid w:val="0"/>
              <w:jc w:val="center"/>
              <w:rPr>
                <w:rFonts w:ascii="Times New Roman" w:hAnsi="Times New Roman"/>
                <w:color w:val="000000"/>
              </w:rPr>
            </w:pPr>
            <w:r>
              <w:rPr>
                <w:rFonts w:ascii="Times New Roman" w:hAnsi="Times New Roman"/>
                <w:color w:val="000000"/>
              </w:rPr>
              <w:t>mg/L</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0.98</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0.55</w:t>
            </w:r>
          </w:p>
        </w:tc>
        <w:tc>
          <w:tcPr>
            <w:tcW w:w="736"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widowControl/>
              <w:adjustRightInd w:val="0"/>
              <w:snapToGrid w:val="0"/>
              <w:jc w:val="left"/>
              <w:rPr>
                <w:rFonts w:ascii="Times New Roman" w:hAnsi="Times New Roman"/>
                <w:color w:val="000000"/>
              </w:rPr>
            </w:pPr>
          </w:p>
        </w:tc>
        <w:tc>
          <w:tcPr>
            <w:tcW w:w="1581" w:type="pct"/>
            <w:vAlign w:val="center"/>
          </w:tcPr>
          <w:p>
            <w:pPr>
              <w:adjustRightInd w:val="0"/>
              <w:snapToGrid w:val="0"/>
              <w:jc w:val="center"/>
              <w:rPr>
                <w:rFonts w:ascii="Times New Roman" w:hAnsi="Times New Roman"/>
                <w:color w:val="000000"/>
              </w:rPr>
            </w:pPr>
            <w:r>
              <w:rPr>
                <w:rFonts w:ascii="Times New Roman" w:hAnsi="Times New Roman"/>
                <w:color w:val="000000"/>
              </w:rPr>
              <w:t>石油类</w:t>
            </w:r>
          </w:p>
        </w:tc>
        <w:tc>
          <w:tcPr>
            <w:tcW w:w="509" w:type="pct"/>
            <w:vAlign w:val="center"/>
          </w:tcPr>
          <w:p>
            <w:pPr>
              <w:adjustRightInd w:val="0"/>
              <w:snapToGrid w:val="0"/>
              <w:jc w:val="center"/>
              <w:rPr>
                <w:rFonts w:ascii="Times New Roman" w:hAnsi="Times New Roman"/>
                <w:color w:val="000000"/>
              </w:rPr>
            </w:pPr>
            <w:r>
              <w:rPr>
                <w:rFonts w:ascii="Times New Roman" w:hAnsi="Times New Roman"/>
                <w:color w:val="000000"/>
              </w:rPr>
              <w:t>mg/L</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0.05</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0.04</w:t>
            </w:r>
          </w:p>
        </w:tc>
        <w:tc>
          <w:tcPr>
            <w:tcW w:w="736"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widowControl/>
              <w:adjustRightInd w:val="0"/>
              <w:snapToGrid w:val="0"/>
              <w:jc w:val="left"/>
              <w:rPr>
                <w:rFonts w:ascii="Times New Roman" w:hAnsi="Times New Roman"/>
                <w:color w:val="000000"/>
              </w:rPr>
            </w:pPr>
          </w:p>
        </w:tc>
        <w:tc>
          <w:tcPr>
            <w:tcW w:w="1581" w:type="pct"/>
            <w:vAlign w:val="center"/>
          </w:tcPr>
          <w:p>
            <w:pPr>
              <w:adjustRightInd w:val="0"/>
              <w:snapToGrid w:val="0"/>
              <w:jc w:val="center"/>
              <w:rPr>
                <w:rFonts w:ascii="Times New Roman" w:hAnsi="Times New Roman"/>
                <w:color w:val="000000"/>
              </w:rPr>
            </w:pPr>
            <w:r>
              <w:rPr>
                <w:rFonts w:ascii="Times New Roman" w:hAnsi="Times New Roman"/>
                <w:color w:val="000000"/>
              </w:rPr>
              <w:t>硫化物</w:t>
            </w:r>
          </w:p>
        </w:tc>
        <w:tc>
          <w:tcPr>
            <w:tcW w:w="509" w:type="pct"/>
            <w:vAlign w:val="center"/>
          </w:tcPr>
          <w:p>
            <w:pPr>
              <w:adjustRightInd w:val="0"/>
              <w:snapToGrid w:val="0"/>
              <w:jc w:val="center"/>
              <w:rPr>
                <w:rFonts w:ascii="Times New Roman" w:hAnsi="Times New Roman"/>
                <w:color w:val="000000"/>
              </w:rPr>
            </w:pPr>
            <w:r>
              <w:rPr>
                <w:rFonts w:ascii="Times New Roman" w:hAnsi="Times New Roman"/>
                <w:color w:val="000000"/>
              </w:rPr>
              <w:t>mg/L</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0.005L</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0.005L</w:t>
            </w:r>
          </w:p>
        </w:tc>
        <w:tc>
          <w:tcPr>
            <w:tcW w:w="736"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0.005L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7" w:type="pct"/>
            <w:vMerge w:val="restart"/>
            <w:vAlign w:val="center"/>
          </w:tcPr>
          <w:p>
            <w:pPr>
              <w:pStyle w:val="7"/>
              <w:adjustRightInd w:val="0"/>
              <w:snapToGrid w:val="0"/>
              <w:spacing w:after="0"/>
              <w:jc w:val="center"/>
              <w:rPr>
                <w:rFonts w:ascii="Times New Roman" w:hAnsi="Times New Roman"/>
                <w:color w:val="000000"/>
              </w:rPr>
            </w:pPr>
            <w:r>
              <w:rPr>
                <w:rFonts w:ascii="Times New Roman" w:hAnsi="Times New Roman"/>
                <w:color w:val="000000"/>
              </w:rPr>
              <w:t>S2长江（2#码头泊位处）</w:t>
            </w:r>
          </w:p>
        </w:tc>
        <w:tc>
          <w:tcPr>
            <w:tcW w:w="1581" w:type="pct"/>
            <w:vAlign w:val="center"/>
          </w:tcPr>
          <w:p>
            <w:pPr>
              <w:adjustRightInd w:val="0"/>
              <w:snapToGrid w:val="0"/>
              <w:jc w:val="center"/>
              <w:rPr>
                <w:rFonts w:ascii="Times New Roman" w:hAnsi="Times New Roman"/>
                <w:color w:val="000000"/>
              </w:rPr>
            </w:pPr>
            <w:r>
              <w:rPr>
                <w:rFonts w:ascii="Times New Roman" w:hAnsi="Times New Roman"/>
                <w:color w:val="000000"/>
              </w:rPr>
              <w:t>pH值</w:t>
            </w:r>
          </w:p>
        </w:tc>
        <w:tc>
          <w:tcPr>
            <w:tcW w:w="509" w:type="pct"/>
            <w:vAlign w:val="center"/>
          </w:tcPr>
          <w:p>
            <w:pPr>
              <w:adjustRightInd w:val="0"/>
              <w:snapToGrid w:val="0"/>
              <w:jc w:val="center"/>
              <w:rPr>
                <w:rFonts w:ascii="Times New Roman" w:hAnsi="Times New Roman"/>
                <w:color w:val="000000"/>
              </w:rPr>
            </w:pPr>
            <w:r>
              <w:rPr>
                <w:rFonts w:ascii="Times New Roman" w:hAnsi="Times New Roman"/>
                <w:color w:val="000000"/>
              </w:rPr>
              <w:t>无量纲</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6.7</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6.73</w:t>
            </w:r>
          </w:p>
        </w:tc>
        <w:tc>
          <w:tcPr>
            <w:tcW w:w="736"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6.73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7" w:type="pct"/>
            <w:vMerge w:val="continue"/>
            <w:vAlign w:val="center"/>
          </w:tcPr>
          <w:p>
            <w:pPr>
              <w:pStyle w:val="7"/>
              <w:adjustRightInd w:val="0"/>
              <w:snapToGrid w:val="0"/>
              <w:spacing w:after="0"/>
              <w:jc w:val="center"/>
              <w:rPr>
                <w:rFonts w:ascii="Times New Roman" w:hAnsi="Times New Roman"/>
                <w:color w:val="000000"/>
              </w:rPr>
            </w:pPr>
          </w:p>
        </w:tc>
        <w:tc>
          <w:tcPr>
            <w:tcW w:w="1581" w:type="pct"/>
            <w:vAlign w:val="center"/>
          </w:tcPr>
          <w:p>
            <w:pPr>
              <w:adjustRightInd w:val="0"/>
              <w:snapToGrid w:val="0"/>
              <w:jc w:val="center"/>
              <w:rPr>
                <w:rFonts w:ascii="Times New Roman" w:hAnsi="Times New Roman"/>
                <w:color w:val="000000"/>
              </w:rPr>
            </w:pPr>
            <w:r>
              <w:rPr>
                <w:rFonts w:ascii="Times New Roman" w:hAnsi="Times New Roman"/>
                <w:color w:val="000000"/>
              </w:rPr>
              <w:t>水温</w:t>
            </w:r>
          </w:p>
        </w:tc>
        <w:tc>
          <w:tcPr>
            <w:tcW w:w="509" w:type="pct"/>
            <w:vAlign w:val="center"/>
          </w:tcPr>
          <w:p>
            <w:pPr>
              <w:adjustRightInd w:val="0"/>
              <w:snapToGrid w:val="0"/>
              <w:jc w:val="center"/>
              <w:rPr>
                <w:rFonts w:ascii="Times New Roman" w:hAnsi="Times New Roman"/>
                <w:color w:val="000000"/>
              </w:rPr>
            </w:pPr>
            <w:r>
              <w:rPr>
                <w:rFonts w:hint="eastAsia" w:ascii="宋体" w:hAnsi="宋体" w:cs="宋体"/>
                <w:color w:val="000000"/>
              </w:rPr>
              <w:t>℃</w:t>
            </w:r>
          </w:p>
        </w:tc>
        <w:tc>
          <w:tcPr>
            <w:tcW w:w="733" w:type="pct"/>
            <w:vAlign w:val="center"/>
          </w:tcPr>
          <w:p>
            <w:pPr>
              <w:adjustRightInd w:val="0"/>
              <w:snapToGrid w:val="0"/>
              <w:jc w:val="center"/>
              <w:rPr>
                <w:rFonts w:ascii="Times New Roman" w:hAnsi="Times New Roman"/>
                <w:color w:val="000000"/>
              </w:rPr>
            </w:pPr>
            <w:r>
              <w:rPr>
                <w:rFonts w:ascii="Times New Roman" w:hAnsi="Times New Roman"/>
                <w:color w:val="000000"/>
              </w:rPr>
              <w:t>15.1</w:t>
            </w:r>
          </w:p>
        </w:tc>
        <w:tc>
          <w:tcPr>
            <w:tcW w:w="733" w:type="pct"/>
            <w:vAlign w:val="center"/>
          </w:tcPr>
          <w:p>
            <w:pPr>
              <w:adjustRightInd w:val="0"/>
              <w:snapToGrid w:val="0"/>
              <w:jc w:val="center"/>
              <w:rPr>
                <w:rFonts w:ascii="Times New Roman" w:hAnsi="Times New Roman"/>
                <w:color w:val="000000"/>
              </w:rPr>
            </w:pPr>
            <w:r>
              <w:rPr>
                <w:rFonts w:ascii="Times New Roman" w:hAnsi="Times New Roman"/>
                <w:color w:val="000000"/>
              </w:rPr>
              <w:t>17.8</w:t>
            </w:r>
          </w:p>
        </w:tc>
        <w:tc>
          <w:tcPr>
            <w:tcW w:w="736" w:type="pct"/>
            <w:vAlign w:val="center"/>
          </w:tcPr>
          <w:p>
            <w:pPr>
              <w:adjustRightInd w:val="0"/>
              <w:snapToGrid w:val="0"/>
              <w:jc w:val="center"/>
              <w:rPr>
                <w:rFonts w:ascii="Times New Roman" w:hAnsi="Times New Roman"/>
                <w:color w:val="000000"/>
              </w:rPr>
            </w:pPr>
            <w:r>
              <w:rPr>
                <w:rFonts w:ascii="Times New Roman" w:hAnsi="Times New Roman"/>
                <w:color w:val="000000"/>
              </w:rPr>
              <w:t>19.2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widowControl/>
              <w:adjustRightInd w:val="0"/>
              <w:snapToGrid w:val="0"/>
              <w:jc w:val="left"/>
              <w:rPr>
                <w:rFonts w:ascii="Times New Roman" w:hAnsi="Times New Roman"/>
                <w:color w:val="000000"/>
              </w:rPr>
            </w:pPr>
          </w:p>
        </w:tc>
        <w:tc>
          <w:tcPr>
            <w:tcW w:w="1581" w:type="pct"/>
            <w:vAlign w:val="center"/>
          </w:tcPr>
          <w:p>
            <w:pPr>
              <w:adjustRightInd w:val="0"/>
              <w:snapToGrid w:val="0"/>
              <w:jc w:val="center"/>
              <w:rPr>
                <w:rFonts w:ascii="Times New Roman" w:hAnsi="Times New Roman"/>
                <w:color w:val="000000"/>
              </w:rPr>
            </w:pPr>
            <w:r>
              <w:rPr>
                <w:rFonts w:ascii="Times New Roman" w:hAnsi="Times New Roman"/>
                <w:color w:val="000000"/>
              </w:rPr>
              <w:t>悬浮物</w:t>
            </w:r>
          </w:p>
        </w:tc>
        <w:tc>
          <w:tcPr>
            <w:tcW w:w="509" w:type="pct"/>
            <w:vAlign w:val="center"/>
          </w:tcPr>
          <w:p>
            <w:pPr>
              <w:adjustRightInd w:val="0"/>
              <w:snapToGrid w:val="0"/>
              <w:jc w:val="center"/>
              <w:rPr>
                <w:rFonts w:ascii="Times New Roman" w:hAnsi="Times New Roman"/>
                <w:color w:val="000000"/>
              </w:rPr>
            </w:pPr>
            <w:r>
              <w:rPr>
                <w:rFonts w:ascii="Times New Roman" w:hAnsi="Times New Roman"/>
                <w:color w:val="000000"/>
              </w:rPr>
              <w:t>mg/L</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29</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27</w:t>
            </w:r>
          </w:p>
        </w:tc>
        <w:tc>
          <w:tcPr>
            <w:tcW w:w="736"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widowControl/>
              <w:adjustRightInd w:val="0"/>
              <w:snapToGrid w:val="0"/>
              <w:jc w:val="left"/>
              <w:rPr>
                <w:rFonts w:ascii="Times New Roman" w:hAnsi="Times New Roman"/>
                <w:color w:val="000000"/>
              </w:rPr>
            </w:pPr>
          </w:p>
        </w:tc>
        <w:tc>
          <w:tcPr>
            <w:tcW w:w="1581" w:type="pct"/>
            <w:vAlign w:val="center"/>
          </w:tcPr>
          <w:p>
            <w:pPr>
              <w:adjustRightInd w:val="0"/>
              <w:snapToGrid w:val="0"/>
              <w:jc w:val="center"/>
              <w:rPr>
                <w:rFonts w:ascii="Times New Roman" w:hAnsi="Times New Roman"/>
                <w:color w:val="000000"/>
              </w:rPr>
            </w:pPr>
            <w:r>
              <w:rPr>
                <w:rFonts w:ascii="Times New Roman" w:hAnsi="Times New Roman"/>
                <w:color w:val="000000"/>
              </w:rPr>
              <w:t>溶解氧</w:t>
            </w:r>
          </w:p>
        </w:tc>
        <w:tc>
          <w:tcPr>
            <w:tcW w:w="509" w:type="pct"/>
            <w:vAlign w:val="center"/>
          </w:tcPr>
          <w:p>
            <w:pPr>
              <w:adjustRightInd w:val="0"/>
              <w:snapToGrid w:val="0"/>
              <w:jc w:val="center"/>
              <w:rPr>
                <w:rFonts w:ascii="Times New Roman" w:hAnsi="Times New Roman"/>
                <w:color w:val="000000"/>
              </w:rPr>
            </w:pPr>
            <w:r>
              <w:rPr>
                <w:rFonts w:ascii="Times New Roman" w:hAnsi="Times New Roman"/>
                <w:color w:val="000000"/>
              </w:rPr>
              <w:t>mg/L</w:t>
            </w:r>
          </w:p>
        </w:tc>
        <w:tc>
          <w:tcPr>
            <w:tcW w:w="733" w:type="pct"/>
            <w:vAlign w:val="center"/>
          </w:tcPr>
          <w:p>
            <w:pPr>
              <w:widowControl/>
              <w:adjustRightInd w:val="0"/>
              <w:snapToGrid w:val="0"/>
              <w:jc w:val="center"/>
              <w:textAlignment w:val="center"/>
              <w:rPr>
                <w:rFonts w:ascii="Times New Roman" w:hAnsi="Times New Roman"/>
                <w:color w:val="000000"/>
                <w:highlight w:val="yellow"/>
              </w:rPr>
            </w:pPr>
            <w:r>
              <w:rPr>
                <w:rFonts w:ascii="Times New Roman" w:hAnsi="Times New Roman"/>
                <w:color w:val="000000"/>
                <w:kern w:val="0"/>
              </w:rPr>
              <w:t>10.1</w:t>
            </w:r>
          </w:p>
        </w:tc>
        <w:tc>
          <w:tcPr>
            <w:tcW w:w="733" w:type="pct"/>
            <w:vAlign w:val="center"/>
          </w:tcPr>
          <w:p>
            <w:pPr>
              <w:widowControl/>
              <w:adjustRightInd w:val="0"/>
              <w:snapToGrid w:val="0"/>
              <w:jc w:val="center"/>
              <w:textAlignment w:val="center"/>
              <w:rPr>
                <w:rFonts w:ascii="Times New Roman" w:hAnsi="Times New Roman"/>
                <w:color w:val="000000"/>
                <w:highlight w:val="yellow"/>
              </w:rPr>
            </w:pPr>
            <w:r>
              <w:rPr>
                <w:rFonts w:ascii="Times New Roman" w:hAnsi="Times New Roman"/>
                <w:color w:val="000000"/>
                <w:kern w:val="0"/>
              </w:rPr>
              <w:t>9.6</w:t>
            </w:r>
          </w:p>
        </w:tc>
        <w:tc>
          <w:tcPr>
            <w:tcW w:w="736" w:type="pct"/>
            <w:vAlign w:val="center"/>
          </w:tcPr>
          <w:p>
            <w:pPr>
              <w:widowControl/>
              <w:adjustRightInd w:val="0"/>
              <w:snapToGrid w:val="0"/>
              <w:jc w:val="center"/>
              <w:textAlignment w:val="center"/>
              <w:rPr>
                <w:rFonts w:ascii="Times New Roman" w:hAnsi="Times New Roman"/>
                <w:color w:val="000000"/>
                <w:highlight w:val="yellow"/>
              </w:rPr>
            </w:pPr>
            <w:r>
              <w:rPr>
                <w:rFonts w:ascii="Times New Roman" w:hAnsi="Times New Roman"/>
                <w:color w:val="000000"/>
                <w:kern w:val="0"/>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widowControl/>
              <w:adjustRightInd w:val="0"/>
              <w:snapToGrid w:val="0"/>
              <w:jc w:val="left"/>
              <w:rPr>
                <w:rFonts w:ascii="Times New Roman" w:hAnsi="Times New Roman"/>
                <w:color w:val="000000"/>
              </w:rPr>
            </w:pPr>
          </w:p>
        </w:tc>
        <w:tc>
          <w:tcPr>
            <w:tcW w:w="1581" w:type="pct"/>
            <w:vAlign w:val="center"/>
          </w:tcPr>
          <w:p>
            <w:pPr>
              <w:adjustRightInd w:val="0"/>
              <w:snapToGrid w:val="0"/>
              <w:jc w:val="center"/>
              <w:rPr>
                <w:rFonts w:ascii="Times New Roman" w:hAnsi="Times New Roman"/>
                <w:color w:val="000000"/>
              </w:rPr>
            </w:pPr>
            <w:r>
              <w:rPr>
                <w:rFonts w:ascii="Times New Roman" w:hAnsi="Times New Roman"/>
                <w:color w:val="000000"/>
              </w:rPr>
              <w:t>化学需氧量</w:t>
            </w:r>
          </w:p>
        </w:tc>
        <w:tc>
          <w:tcPr>
            <w:tcW w:w="509" w:type="pct"/>
            <w:vAlign w:val="center"/>
          </w:tcPr>
          <w:p>
            <w:pPr>
              <w:adjustRightInd w:val="0"/>
              <w:snapToGrid w:val="0"/>
              <w:jc w:val="center"/>
              <w:rPr>
                <w:rFonts w:ascii="Times New Roman" w:hAnsi="Times New Roman"/>
                <w:color w:val="000000"/>
              </w:rPr>
            </w:pPr>
            <w:r>
              <w:rPr>
                <w:rFonts w:ascii="Times New Roman" w:hAnsi="Times New Roman"/>
                <w:color w:val="000000"/>
              </w:rPr>
              <w:t>mg/L</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9</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3</w:t>
            </w:r>
          </w:p>
        </w:tc>
        <w:tc>
          <w:tcPr>
            <w:tcW w:w="736"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widowControl/>
              <w:adjustRightInd w:val="0"/>
              <w:snapToGrid w:val="0"/>
              <w:jc w:val="left"/>
              <w:rPr>
                <w:rFonts w:ascii="Times New Roman" w:hAnsi="Times New Roman"/>
                <w:color w:val="000000"/>
              </w:rPr>
            </w:pPr>
          </w:p>
        </w:tc>
        <w:tc>
          <w:tcPr>
            <w:tcW w:w="1581" w:type="pct"/>
            <w:vAlign w:val="center"/>
          </w:tcPr>
          <w:p>
            <w:pPr>
              <w:adjustRightInd w:val="0"/>
              <w:snapToGrid w:val="0"/>
              <w:jc w:val="center"/>
              <w:rPr>
                <w:rFonts w:ascii="Times New Roman" w:hAnsi="Times New Roman"/>
                <w:color w:val="000000"/>
              </w:rPr>
            </w:pPr>
            <w:r>
              <w:rPr>
                <w:rFonts w:ascii="Times New Roman" w:hAnsi="Times New Roman"/>
                <w:color w:val="000000"/>
              </w:rPr>
              <w:t>生化需氧量</w:t>
            </w:r>
          </w:p>
        </w:tc>
        <w:tc>
          <w:tcPr>
            <w:tcW w:w="509" w:type="pct"/>
            <w:vAlign w:val="center"/>
          </w:tcPr>
          <w:p>
            <w:pPr>
              <w:adjustRightInd w:val="0"/>
              <w:snapToGrid w:val="0"/>
              <w:jc w:val="center"/>
              <w:rPr>
                <w:rFonts w:ascii="Times New Roman" w:hAnsi="Times New Roman"/>
                <w:color w:val="000000"/>
              </w:rPr>
            </w:pPr>
            <w:r>
              <w:rPr>
                <w:rFonts w:ascii="Times New Roman" w:hAnsi="Times New Roman"/>
                <w:color w:val="000000"/>
              </w:rPr>
              <w:t>mg/L</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2.8</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1</w:t>
            </w:r>
          </w:p>
        </w:tc>
        <w:tc>
          <w:tcPr>
            <w:tcW w:w="736"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widowControl/>
              <w:adjustRightInd w:val="0"/>
              <w:snapToGrid w:val="0"/>
              <w:jc w:val="left"/>
              <w:rPr>
                <w:rFonts w:ascii="Times New Roman" w:hAnsi="Times New Roman"/>
                <w:color w:val="000000"/>
              </w:rPr>
            </w:pPr>
          </w:p>
        </w:tc>
        <w:tc>
          <w:tcPr>
            <w:tcW w:w="1581" w:type="pct"/>
            <w:vAlign w:val="center"/>
          </w:tcPr>
          <w:p>
            <w:pPr>
              <w:adjustRightInd w:val="0"/>
              <w:snapToGrid w:val="0"/>
              <w:jc w:val="center"/>
              <w:rPr>
                <w:rFonts w:ascii="Times New Roman" w:hAnsi="Times New Roman"/>
                <w:color w:val="000000"/>
              </w:rPr>
            </w:pPr>
            <w:r>
              <w:rPr>
                <w:rFonts w:ascii="Times New Roman" w:hAnsi="Times New Roman"/>
                <w:color w:val="000000"/>
              </w:rPr>
              <w:t>氨氮</w:t>
            </w:r>
          </w:p>
        </w:tc>
        <w:tc>
          <w:tcPr>
            <w:tcW w:w="509" w:type="pct"/>
            <w:vAlign w:val="center"/>
          </w:tcPr>
          <w:p>
            <w:pPr>
              <w:adjustRightInd w:val="0"/>
              <w:snapToGrid w:val="0"/>
              <w:jc w:val="center"/>
              <w:rPr>
                <w:rFonts w:ascii="Times New Roman" w:hAnsi="Times New Roman"/>
                <w:color w:val="000000"/>
              </w:rPr>
            </w:pPr>
            <w:r>
              <w:rPr>
                <w:rFonts w:ascii="Times New Roman" w:hAnsi="Times New Roman"/>
                <w:color w:val="000000"/>
              </w:rPr>
              <w:t>mg/L</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0.29</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0.18</w:t>
            </w:r>
          </w:p>
        </w:tc>
        <w:tc>
          <w:tcPr>
            <w:tcW w:w="736"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widowControl/>
              <w:adjustRightInd w:val="0"/>
              <w:snapToGrid w:val="0"/>
              <w:jc w:val="left"/>
              <w:rPr>
                <w:rFonts w:ascii="Times New Roman" w:hAnsi="Times New Roman"/>
                <w:color w:val="000000"/>
              </w:rPr>
            </w:pPr>
          </w:p>
        </w:tc>
        <w:tc>
          <w:tcPr>
            <w:tcW w:w="1581" w:type="pct"/>
            <w:vAlign w:val="center"/>
          </w:tcPr>
          <w:p>
            <w:pPr>
              <w:adjustRightInd w:val="0"/>
              <w:snapToGrid w:val="0"/>
              <w:jc w:val="center"/>
              <w:rPr>
                <w:rFonts w:ascii="Times New Roman" w:hAnsi="Times New Roman"/>
                <w:color w:val="000000"/>
              </w:rPr>
            </w:pPr>
            <w:r>
              <w:rPr>
                <w:rFonts w:ascii="Times New Roman" w:hAnsi="Times New Roman"/>
                <w:color w:val="000000"/>
              </w:rPr>
              <w:t>总磷</w:t>
            </w:r>
          </w:p>
        </w:tc>
        <w:tc>
          <w:tcPr>
            <w:tcW w:w="509" w:type="pct"/>
            <w:vAlign w:val="center"/>
          </w:tcPr>
          <w:p>
            <w:pPr>
              <w:adjustRightInd w:val="0"/>
              <w:snapToGrid w:val="0"/>
              <w:jc w:val="center"/>
              <w:rPr>
                <w:rFonts w:ascii="Times New Roman" w:hAnsi="Times New Roman"/>
                <w:color w:val="000000"/>
              </w:rPr>
            </w:pPr>
            <w:r>
              <w:rPr>
                <w:rFonts w:ascii="Times New Roman" w:hAnsi="Times New Roman"/>
                <w:color w:val="000000"/>
              </w:rPr>
              <w:t>mg/L</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0.15</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0.14</w:t>
            </w:r>
          </w:p>
        </w:tc>
        <w:tc>
          <w:tcPr>
            <w:tcW w:w="736"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widowControl/>
              <w:adjustRightInd w:val="0"/>
              <w:snapToGrid w:val="0"/>
              <w:jc w:val="left"/>
              <w:rPr>
                <w:rFonts w:ascii="Times New Roman" w:hAnsi="Times New Roman"/>
                <w:color w:val="000000"/>
              </w:rPr>
            </w:pPr>
          </w:p>
        </w:tc>
        <w:tc>
          <w:tcPr>
            <w:tcW w:w="1581" w:type="pct"/>
            <w:vAlign w:val="center"/>
          </w:tcPr>
          <w:p>
            <w:pPr>
              <w:adjustRightInd w:val="0"/>
              <w:snapToGrid w:val="0"/>
              <w:jc w:val="center"/>
              <w:rPr>
                <w:rFonts w:ascii="Times New Roman" w:hAnsi="Times New Roman"/>
                <w:color w:val="000000"/>
              </w:rPr>
            </w:pPr>
            <w:r>
              <w:rPr>
                <w:rFonts w:ascii="Times New Roman" w:hAnsi="Times New Roman"/>
                <w:color w:val="000000"/>
              </w:rPr>
              <w:t>总氮</w:t>
            </w:r>
          </w:p>
        </w:tc>
        <w:tc>
          <w:tcPr>
            <w:tcW w:w="509" w:type="pct"/>
            <w:vAlign w:val="center"/>
          </w:tcPr>
          <w:p>
            <w:pPr>
              <w:adjustRightInd w:val="0"/>
              <w:snapToGrid w:val="0"/>
              <w:jc w:val="center"/>
              <w:rPr>
                <w:rFonts w:ascii="Times New Roman" w:hAnsi="Times New Roman"/>
                <w:color w:val="000000"/>
              </w:rPr>
            </w:pPr>
            <w:r>
              <w:rPr>
                <w:rFonts w:ascii="Times New Roman" w:hAnsi="Times New Roman"/>
                <w:color w:val="000000"/>
              </w:rPr>
              <w:t>mg/L</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0.7</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0.56</w:t>
            </w:r>
          </w:p>
        </w:tc>
        <w:tc>
          <w:tcPr>
            <w:tcW w:w="736"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widowControl/>
              <w:adjustRightInd w:val="0"/>
              <w:snapToGrid w:val="0"/>
              <w:jc w:val="left"/>
              <w:rPr>
                <w:rFonts w:ascii="Times New Roman" w:hAnsi="Times New Roman"/>
                <w:color w:val="000000"/>
              </w:rPr>
            </w:pPr>
          </w:p>
        </w:tc>
        <w:tc>
          <w:tcPr>
            <w:tcW w:w="1581" w:type="pct"/>
            <w:vAlign w:val="center"/>
          </w:tcPr>
          <w:p>
            <w:pPr>
              <w:adjustRightInd w:val="0"/>
              <w:snapToGrid w:val="0"/>
              <w:jc w:val="center"/>
              <w:rPr>
                <w:rFonts w:ascii="Times New Roman" w:hAnsi="Times New Roman"/>
                <w:color w:val="000000"/>
              </w:rPr>
            </w:pPr>
            <w:r>
              <w:rPr>
                <w:rFonts w:ascii="Times New Roman" w:hAnsi="Times New Roman"/>
                <w:color w:val="000000"/>
              </w:rPr>
              <w:t>石油类</w:t>
            </w:r>
          </w:p>
        </w:tc>
        <w:tc>
          <w:tcPr>
            <w:tcW w:w="509" w:type="pct"/>
            <w:vAlign w:val="center"/>
          </w:tcPr>
          <w:p>
            <w:pPr>
              <w:adjustRightInd w:val="0"/>
              <w:snapToGrid w:val="0"/>
              <w:jc w:val="center"/>
              <w:rPr>
                <w:rFonts w:ascii="Times New Roman" w:hAnsi="Times New Roman"/>
                <w:color w:val="000000"/>
              </w:rPr>
            </w:pPr>
            <w:r>
              <w:rPr>
                <w:rFonts w:ascii="Times New Roman" w:hAnsi="Times New Roman"/>
                <w:color w:val="000000"/>
              </w:rPr>
              <w:t>mg/L</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0.05</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0.04</w:t>
            </w:r>
          </w:p>
        </w:tc>
        <w:tc>
          <w:tcPr>
            <w:tcW w:w="736"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widowControl/>
              <w:adjustRightInd w:val="0"/>
              <w:snapToGrid w:val="0"/>
              <w:jc w:val="left"/>
              <w:rPr>
                <w:rFonts w:ascii="Times New Roman" w:hAnsi="Times New Roman"/>
                <w:color w:val="000000"/>
              </w:rPr>
            </w:pPr>
          </w:p>
        </w:tc>
        <w:tc>
          <w:tcPr>
            <w:tcW w:w="1581" w:type="pct"/>
            <w:vAlign w:val="center"/>
          </w:tcPr>
          <w:p>
            <w:pPr>
              <w:adjustRightInd w:val="0"/>
              <w:snapToGrid w:val="0"/>
              <w:jc w:val="center"/>
              <w:rPr>
                <w:rFonts w:ascii="Times New Roman" w:hAnsi="Times New Roman"/>
                <w:color w:val="000000"/>
              </w:rPr>
            </w:pPr>
            <w:r>
              <w:rPr>
                <w:rFonts w:ascii="Times New Roman" w:hAnsi="Times New Roman"/>
                <w:color w:val="000000"/>
              </w:rPr>
              <w:t>硫化物</w:t>
            </w:r>
          </w:p>
        </w:tc>
        <w:tc>
          <w:tcPr>
            <w:tcW w:w="509" w:type="pct"/>
            <w:vAlign w:val="center"/>
          </w:tcPr>
          <w:p>
            <w:pPr>
              <w:adjustRightInd w:val="0"/>
              <w:snapToGrid w:val="0"/>
              <w:jc w:val="center"/>
              <w:rPr>
                <w:rFonts w:ascii="Times New Roman" w:hAnsi="Times New Roman"/>
                <w:color w:val="000000"/>
              </w:rPr>
            </w:pPr>
            <w:r>
              <w:rPr>
                <w:rFonts w:ascii="Times New Roman" w:hAnsi="Times New Roman"/>
                <w:color w:val="000000"/>
              </w:rPr>
              <w:t>mg/L</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0.005L</w:t>
            </w:r>
          </w:p>
        </w:tc>
        <w:tc>
          <w:tcPr>
            <w:tcW w:w="733"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0.005L</w:t>
            </w:r>
          </w:p>
        </w:tc>
        <w:tc>
          <w:tcPr>
            <w:tcW w:w="736"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0.005L</w:t>
            </w:r>
          </w:p>
        </w:tc>
      </w:tr>
    </w:tbl>
    <w:p>
      <w:pPr>
        <w:adjustRightInd w:val="0"/>
        <w:snapToGrid w:val="0"/>
        <w:rPr>
          <w:rFonts w:ascii="Times New Roman" w:hAnsi="Times New Roman" w:eastAsiaTheme="minorEastAsia"/>
        </w:rPr>
      </w:pPr>
      <w:r>
        <w:rPr>
          <w:rFonts w:ascii="Times New Roman" w:hAnsi="Times New Roman" w:eastAsiaTheme="minorEastAsia"/>
          <w:color w:val="000000"/>
        </w:rPr>
        <w:t>注：ND表示低于该方法检出限</w:t>
      </w:r>
      <w:r>
        <w:rPr>
          <w:rFonts w:ascii="Times New Roman" w:hAnsi="Times New Roman" w:eastAsiaTheme="minorEastAsia"/>
          <w:bCs/>
          <w:color w:val="000000"/>
        </w:rPr>
        <w:t>。</w:t>
      </w:r>
    </w:p>
    <w:p>
      <w:pPr>
        <w:pStyle w:val="135"/>
        <w:adjustRightInd w:val="0"/>
        <w:snapToGrid w:val="0"/>
        <w:spacing w:line="360" w:lineRule="auto"/>
        <w:ind w:firstLine="482" w:firstLineChars="0"/>
        <w:rPr>
          <w:rFonts w:eastAsiaTheme="minorEastAsia"/>
        </w:rPr>
      </w:pPr>
    </w:p>
    <w:p>
      <w:pPr>
        <w:pStyle w:val="135"/>
        <w:adjustRightInd w:val="0"/>
        <w:snapToGrid w:val="0"/>
        <w:spacing w:line="360" w:lineRule="auto"/>
        <w:ind w:firstLine="482" w:firstLineChars="0"/>
        <w:rPr>
          <w:rFonts w:eastAsiaTheme="minorEastAsia"/>
        </w:rPr>
      </w:pPr>
      <w:r>
        <w:rPr>
          <w:rFonts w:eastAsiaTheme="minorEastAsia"/>
        </w:rPr>
        <w:t>标准指数评价结果见表4.4-8。</w:t>
      </w:r>
    </w:p>
    <w:p>
      <w:pPr>
        <w:pStyle w:val="135"/>
        <w:adjustRightInd w:val="0"/>
        <w:snapToGrid w:val="0"/>
        <w:spacing w:line="360" w:lineRule="auto"/>
        <w:ind w:firstLine="482" w:firstLineChars="0"/>
        <w:rPr>
          <w:rFonts w:eastAsiaTheme="minorEastAsia"/>
        </w:rPr>
      </w:pPr>
    </w:p>
    <w:p>
      <w:pPr>
        <w:pStyle w:val="135"/>
        <w:adjustRightInd w:val="0"/>
        <w:snapToGrid w:val="0"/>
        <w:spacing w:line="360" w:lineRule="auto"/>
        <w:ind w:firstLine="482" w:firstLineChars="0"/>
        <w:rPr>
          <w:rFonts w:eastAsiaTheme="minorEastAsia"/>
        </w:rPr>
      </w:pP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表4.4-8  各评价因子单项指数一览表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487"/>
        <w:gridCol w:w="3326"/>
        <w:gridCol w:w="1600"/>
        <w:gridCol w:w="1343"/>
        <w:gridCol w:w="13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817" w:type="pct"/>
            <w:vAlign w:val="center"/>
          </w:tcPr>
          <w:p>
            <w:pPr>
              <w:adjustRightInd w:val="0"/>
              <w:snapToGrid w:val="0"/>
              <w:jc w:val="center"/>
              <w:rPr>
                <w:rFonts w:ascii="Times New Roman" w:hAnsi="Times New Roman"/>
                <w:b/>
                <w:bCs/>
                <w:color w:val="000000"/>
              </w:rPr>
            </w:pPr>
            <w:r>
              <w:rPr>
                <w:rFonts w:ascii="Times New Roman" w:hAnsi="Times New Roman"/>
                <w:b/>
                <w:bCs/>
                <w:color w:val="000000"/>
              </w:rPr>
              <w:t>断面</w:t>
            </w:r>
          </w:p>
        </w:tc>
        <w:tc>
          <w:tcPr>
            <w:tcW w:w="1827" w:type="pct"/>
            <w:vAlign w:val="center"/>
          </w:tcPr>
          <w:p>
            <w:pPr>
              <w:adjustRightInd w:val="0"/>
              <w:snapToGrid w:val="0"/>
              <w:jc w:val="center"/>
              <w:rPr>
                <w:rFonts w:ascii="Times New Roman" w:hAnsi="Times New Roman"/>
                <w:b/>
                <w:bCs/>
                <w:color w:val="000000"/>
              </w:rPr>
            </w:pPr>
            <w:r>
              <w:rPr>
                <w:rFonts w:ascii="Times New Roman" w:hAnsi="Times New Roman"/>
                <w:b/>
                <w:bCs/>
                <w:color w:val="000000"/>
              </w:rPr>
              <w:t>监测项目</w:t>
            </w:r>
          </w:p>
        </w:tc>
        <w:tc>
          <w:tcPr>
            <w:tcW w:w="879" w:type="pct"/>
            <w:vAlign w:val="center"/>
          </w:tcPr>
          <w:p>
            <w:pPr>
              <w:adjustRightInd w:val="0"/>
              <w:snapToGrid w:val="0"/>
              <w:jc w:val="center"/>
              <w:rPr>
                <w:rFonts w:ascii="Times New Roman" w:hAnsi="Times New Roman"/>
                <w:b/>
                <w:bCs/>
                <w:color w:val="000000"/>
              </w:rPr>
            </w:pPr>
            <w:r>
              <w:rPr>
                <w:rFonts w:ascii="Times New Roman" w:hAnsi="Times New Roman"/>
                <w:b/>
                <w:bCs/>
                <w:color w:val="000000"/>
              </w:rPr>
              <w:t>执行标准</w:t>
            </w:r>
          </w:p>
        </w:tc>
        <w:tc>
          <w:tcPr>
            <w:tcW w:w="738" w:type="pct"/>
            <w:vAlign w:val="center"/>
          </w:tcPr>
          <w:p>
            <w:pPr>
              <w:adjustRightInd w:val="0"/>
              <w:snapToGrid w:val="0"/>
              <w:jc w:val="center"/>
              <w:rPr>
                <w:rFonts w:ascii="Times New Roman" w:hAnsi="Times New Roman"/>
                <w:b/>
                <w:bCs/>
                <w:color w:val="000000"/>
              </w:rPr>
            </w:pPr>
            <w:r>
              <w:rPr>
                <w:rFonts w:ascii="Times New Roman" w:hAnsi="Times New Roman"/>
                <w:b/>
                <w:bCs/>
              </w:rPr>
              <w:t>标准指数</w:t>
            </w:r>
          </w:p>
        </w:tc>
        <w:tc>
          <w:tcPr>
            <w:tcW w:w="738" w:type="pct"/>
            <w:vAlign w:val="center"/>
          </w:tcPr>
          <w:p>
            <w:pPr>
              <w:adjustRightInd w:val="0"/>
              <w:snapToGrid w:val="0"/>
              <w:jc w:val="center"/>
              <w:rPr>
                <w:rFonts w:ascii="Times New Roman" w:hAnsi="Times New Roman"/>
                <w:b/>
                <w:bCs/>
                <w:color w:val="000000"/>
              </w:rPr>
            </w:pPr>
            <w:r>
              <w:rPr>
                <w:rFonts w:ascii="Times New Roman" w:hAnsi="Times New Roman"/>
                <w:b/>
                <w:bCs/>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7" w:type="pct"/>
            <w:vMerge w:val="restart"/>
            <w:vAlign w:val="center"/>
          </w:tcPr>
          <w:p>
            <w:pPr>
              <w:adjustRightInd w:val="0"/>
              <w:snapToGrid w:val="0"/>
              <w:jc w:val="center"/>
              <w:rPr>
                <w:rFonts w:ascii="Times New Roman" w:hAnsi="Times New Roman"/>
                <w:color w:val="000000"/>
              </w:rPr>
            </w:pPr>
            <w:r>
              <w:rPr>
                <w:rFonts w:ascii="Times New Roman" w:hAnsi="Times New Roman"/>
                <w:color w:val="000000"/>
              </w:rPr>
              <w:t>S1长江（2#码头泊位上游500m处）</w:t>
            </w:r>
          </w:p>
        </w:tc>
        <w:tc>
          <w:tcPr>
            <w:tcW w:w="1827" w:type="pct"/>
            <w:vAlign w:val="center"/>
          </w:tcPr>
          <w:p>
            <w:pPr>
              <w:adjustRightInd w:val="0"/>
              <w:snapToGrid w:val="0"/>
              <w:jc w:val="center"/>
              <w:rPr>
                <w:rFonts w:ascii="Times New Roman" w:hAnsi="Times New Roman"/>
                <w:color w:val="000000"/>
              </w:rPr>
            </w:pPr>
            <w:r>
              <w:rPr>
                <w:rFonts w:ascii="Times New Roman" w:hAnsi="Times New Roman"/>
                <w:color w:val="000000"/>
              </w:rPr>
              <w:t>pH</w:t>
            </w:r>
          </w:p>
        </w:tc>
        <w:tc>
          <w:tcPr>
            <w:tcW w:w="879" w:type="pct"/>
            <w:vAlign w:val="center"/>
          </w:tcPr>
          <w:p>
            <w:pPr>
              <w:adjustRightInd w:val="0"/>
              <w:snapToGrid w:val="0"/>
              <w:jc w:val="center"/>
              <w:rPr>
                <w:rFonts w:ascii="Times New Roman" w:hAnsi="Times New Roman"/>
                <w:color w:val="000000"/>
              </w:rPr>
            </w:pPr>
            <w:r>
              <w:rPr>
                <w:rFonts w:ascii="Times New Roman" w:hAnsi="Times New Roman"/>
                <w:color w:val="000000"/>
              </w:rPr>
              <w:t>6~9</w:t>
            </w:r>
          </w:p>
        </w:tc>
        <w:tc>
          <w:tcPr>
            <w:tcW w:w="738"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0.29</w:t>
            </w:r>
          </w:p>
        </w:tc>
        <w:tc>
          <w:tcPr>
            <w:tcW w:w="738" w:type="pct"/>
            <w:vAlign w:val="center"/>
          </w:tcPr>
          <w:p>
            <w:pPr>
              <w:adjustRightInd w:val="0"/>
              <w:snapToGrid w:val="0"/>
              <w:jc w:val="center"/>
              <w:rPr>
                <w:rFonts w:ascii="Times New Roman" w:hAnsi="Times New Roman"/>
              </w:rPr>
            </w:pPr>
            <w:r>
              <w:rPr>
                <w:rFonts w:ascii="Times New Roman" w:hAnsi="Times New Roman"/>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7" w:type="pct"/>
            <w:vMerge w:val="continue"/>
            <w:vAlign w:val="center"/>
          </w:tcPr>
          <w:p>
            <w:pPr>
              <w:adjustRightInd w:val="0"/>
              <w:snapToGrid w:val="0"/>
              <w:jc w:val="center"/>
              <w:rPr>
                <w:rFonts w:ascii="Times New Roman" w:hAnsi="Times New Roman"/>
                <w:color w:val="000000"/>
              </w:rPr>
            </w:pPr>
          </w:p>
        </w:tc>
        <w:tc>
          <w:tcPr>
            <w:tcW w:w="1827" w:type="pct"/>
            <w:vAlign w:val="center"/>
          </w:tcPr>
          <w:p>
            <w:pPr>
              <w:adjustRightInd w:val="0"/>
              <w:snapToGrid w:val="0"/>
              <w:jc w:val="center"/>
              <w:rPr>
                <w:rFonts w:ascii="Times New Roman" w:hAnsi="Times New Roman"/>
                <w:color w:val="000000"/>
              </w:rPr>
            </w:pPr>
            <w:r>
              <w:rPr>
                <w:rFonts w:ascii="Times New Roman" w:hAnsi="Times New Roman"/>
                <w:color w:val="000000"/>
              </w:rPr>
              <w:t>水温</w:t>
            </w:r>
          </w:p>
        </w:tc>
        <w:tc>
          <w:tcPr>
            <w:tcW w:w="879" w:type="pct"/>
            <w:vAlign w:val="center"/>
          </w:tcPr>
          <w:p>
            <w:pPr>
              <w:adjustRightInd w:val="0"/>
              <w:snapToGrid w:val="0"/>
              <w:jc w:val="center"/>
              <w:rPr>
                <w:rFonts w:ascii="Times New Roman" w:hAnsi="Times New Roman"/>
                <w:color w:val="000000"/>
              </w:rPr>
            </w:pPr>
            <w:r>
              <w:rPr>
                <w:rFonts w:ascii="Times New Roman" w:hAnsi="Times New Roman"/>
                <w:color w:val="000000"/>
              </w:rPr>
              <w:t>/</w:t>
            </w:r>
          </w:p>
        </w:tc>
        <w:tc>
          <w:tcPr>
            <w:tcW w:w="738"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w:t>
            </w:r>
          </w:p>
        </w:tc>
        <w:tc>
          <w:tcPr>
            <w:tcW w:w="738" w:type="pct"/>
            <w:vAlign w:val="center"/>
          </w:tcPr>
          <w:p>
            <w:pPr>
              <w:adjustRightInd w:val="0"/>
              <w:snapToGrid w:val="0"/>
              <w:jc w:val="center"/>
              <w:rPr>
                <w:rFonts w:ascii="Times New Roman" w:hAnsi="Times New Roman"/>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7" w:type="pct"/>
            <w:vMerge w:val="continue"/>
            <w:vAlign w:val="center"/>
          </w:tcPr>
          <w:p>
            <w:pPr>
              <w:adjustRightInd w:val="0"/>
              <w:snapToGrid w:val="0"/>
              <w:jc w:val="center"/>
              <w:rPr>
                <w:rFonts w:ascii="Times New Roman" w:hAnsi="Times New Roman"/>
                <w:color w:val="000000"/>
              </w:rPr>
            </w:pPr>
          </w:p>
        </w:tc>
        <w:tc>
          <w:tcPr>
            <w:tcW w:w="1827" w:type="pct"/>
            <w:vAlign w:val="center"/>
          </w:tcPr>
          <w:p>
            <w:pPr>
              <w:adjustRightInd w:val="0"/>
              <w:snapToGrid w:val="0"/>
              <w:jc w:val="center"/>
              <w:rPr>
                <w:rFonts w:ascii="Times New Roman" w:hAnsi="Times New Roman"/>
                <w:color w:val="000000"/>
              </w:rPr>
            </w:pPr>
            <w:r>
              <w:rPr>
                <w:rFonts w:ascii="Times New Roman" w:hAnsi="Times New Roman"/>
                <w:color w:val="000000"/>
              </w:rPr>
              <w:t>悬浮物</w:t>
            </w:r>
          </w:p>
        </w:tc>
        <w:tc>
          <w:tcPr>
            <w:tcW w:w="879" w:type="pct"/>
            <w:vAlign w:val="center"/>
          </w:tcPr>
          <w:p>
            <w:pPr>
              <w:adjustRightInd w:val="0"/>
              <w:snapToGrid w:val="0"/>
              <w:jc w:val="center"/>
              <w:rPr>
                <w:rFonts w:ascii="Times New Roman" w:hAnsi="Times New Roman"/>
                <w:color w:val="000000"/>
              </w:rPr>
            </w:pPr>
            <w:r>
              <w:rPr>
                <w:rFonts w:ascii="Times New Roman" w:hAnsi="Times New Roman"/>
                <w:color w:val="000000"/>
              </w:rPr>
              <w:t>≤30mg/L</w:t>
            </w:r>
          </w:p>
        </w:tc>
        <w:tc>
          <w:tcPr>
            <w:tcW w:w="738"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0.97</w:t>
            </w:r>
          </w:p>
        </w:tc>
        <w:tc>
          <w:tcPr>
            <w:tcW w:w="738" w:type="pct"/>
            <w:vAlign w:val="center"/>
          </w:tcPr>
          <w:p>
            <w:pPr>
              <w:adjustRightInd w:val="0"/>
              <w:snapToGrid w:val="0"/>
              <w:jc w:val="center"/>
              <w:rPr>
                <w:rFonts w:ascii="Times New Roman" w:hAnsi="Times New Roman"/>
                <w:color w:val="000000"/>
              </w:rPr>
            </w:pPr>
            <w:r>
              <w:rPr>
                <w:rFonts w:ascii="Times New Roman" w:hAnsi="Times New Roman"/>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7" w:type="pct"/>
            <w:vMerge w:val="continue"/>
            <w:vAlign w:val="center"/>
          </w:tcPr>
          <w:p>
            <w:pPr>
              <w:adjustRightInd w:val="0"/>
              <w:snapToGrid w:val="0"/>
              <w:jc w:val="center"/>
              <w:rPr>
                <w:rFonts w:ascii="Times New Roman" w:hAnsi="Times New Roman"/>
                <w:color w:val="000000"/>
              </w:rPr>
            </w:pPr>
          </w:p>
        </w:tc>
        <w:tc>
          <w:tcPr>
            <w:tcW w:w="1827" w:type="pct"/>
            <w:vAlign w:val="center"/>
          </w:tcPr>
          <w:p>
            <w:pPr>
              <w:adjustRightInd w:val="0"/>
              <w:snapToGrid w:val="0"/>
              <w:jc w:val="center"/>
              <w:rPr>
                <w:rFonts w:ascii="Times New Roman" w:hAnsi="Times New Roman"/>
                <w:color w:val="000000"/>
              </w:rPr>
            </w:pPr>
            <w:r>
              <w:rPr>
                <w:rFonts w:ascii="Times New Roman" w:hAnsi="Times New Roman"/>
                <w:color w:val="000000"/>
              </w:rPr>
              <w:t>溶解氧</w:t>
            </w:r>
          </w:p>
        </w:tc>
        <w:tc>
          <w:tcPr>
            <w:tcW w:w="879" w:type="pct"/>
            <w:vAlign w:val="center"/>
          </w:tcPr>
          <w:p>
            <w:pPr>
              <w:adjustRightInd w:val="0"/>
              <w:snapToGrid w:val="0"/>
              <w:jc w:val="center"/>
              <w:rPr>
                <w:rFonts w:ascii="Times New Roman" w:hAnsi="Times New Roman"/>
                <w:color w:val="000000"/>
              </w:rPr>
            </w:pPr>
            <w:r>
              <w:rPr>
                <w:rFonts w:ascii="Times New Roman" w:hAnsi="Times New Roman"/>
                <w:color w:val="000000"/>
              </w:rPr>
              <w:t>≥5mg/L</w:t>
            </w:r>
          </w:p>
        </w:tc>
        <w:tc>
          <w:tcPr>
            <w:tcW w:w="738" w:type="pct"/>
            <w:vAlign w:val="center"/>
          </w:tcPr>
          <w:p>
            <w:pPr>
              <w:adjustRightInd w:val="0"/>
              <w:snapToGrid w:val="0"/>
              <w:jc w:val="center"/>
              <w:rPr>
                <w:rFonts w:ascii="Times New Roman" w:hAnsi="Times New Roman"/>
                <w:color w:val="000000"/>
              </w:rPr>
            </w:pPr>
            <w:r>
              <w:rPr>
                <w:rFonts w:ascii="Times New Roman" w:hAnsi="Times New Roman"/>
                <w:color w:val="000000"/>
              </w:rPr>
              <w:t>0.31</w:t>
            </w:r>
          </w:p>
        </w:tc>
        <w:tc>
          <w:tcPr>
            <w:tcW w:w="738" w:type="pct"/>
            <w:vAlign w:val="center"/>
          </w:tcPr>
          <w:p>
            <w:pPr>
              <w:adjustRightInd w:val="0"/>
              <w:snapToGrid w:val="0"/>
              <w:jc w:val="center"/>
              <w:rPr>
                <w:rFonts w:ascii="Times New Roman" w:hAnsi="Times New Roman"/>
                <w:color w:val="000000"/>
              </w:rPr>
            </w:pPr>
            <w:r>
              <w:rPr>
                <w:rFonts w:ascii="Times New Roman" w:hAnsi="Times New Roman"/>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7" w:type="pct"/>
            <w:vMerge w:val="continue"/>
            <w:vAlign w:val="center"/>
          </w:tcPr>
          <w:p>
            <w:pPr>
              <w:adjustRightInd w:val="0"/>
              <w:snapToGrid w:val="0"/>
              <w:jc w:val="center"/>
              <w:rPr>
                <w:rFonts w:ascii="Times New Roman" w:hAnsi="Times New Roman"/>
                <w:color w:val="000000"/>
              </w:rPr>
            </w:pPr>
          </w:p>
        </w:tc>
        <w:tc>
          <w:tcPr>
            <w:tcW w:w="1827" w:type="pct"/>
            <w:vAlign w:val="center"/>
          </w:tcPr>
          <w:p>
            <w:pPr>
              <w:adjustRightInd w:val="0"/>
              <w:snapToGrid w:val="0"/>
              <w:jc w:val="center"/>
              <w:rPr>
                <w:rFonts w:ascii="Times New Roman" w:hAnsi="Times New Roman"/>
                <w:color w:val="000000"/>
              </w:rPr>
            </w:pPr>
            <w:r>
              <w:rPr>
                <w:rFonts w:ascii="Times New Roman" w:hAnsi="Times New Roman"/>
                <w:color w:val="000000"/>
              </w:rPr>
              <w:t>化学需氧量</w:t>
            </w:r>
          </w:p>
        </w:tc>
        <w:tc>
          <w:tcPr>
            <w:tcW w:w="879" w:type="pct"/>
            <w:vAlign w:val="center"/>
          </w:tcPr>
          <w:p>
            <w:pPr>
              <w:adjustRightInd w:val="0"/>
              <w:snapToGrid w:val="0"/>
              <w:jc w:val="center"/>
              <w:rPr>
                <w:rFonts w:ascii="Times New Roman" w:hAnsi="Times New Roman"/>
                <w:color w:val="000000"/>
              </w:rPr>
            </w:pPr>
            <w:r>
              <w:rPr>
                <w:rFonts w:ascii="Times New Roman" w:hAnsi="Times New Roman"/>
                <w:color w:val="000000"/>
              </w:rPr>
              <w:t>≤20mg/L</w:t>
            </w:r>
          </w:p>
        </w:tc>
        <w:tc>
          <w:tcPr>
            <w:tcW w:w="738"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0.95</w:t>
            </w:r>
          </w:p>
        </w:tc>
        <w:tc>
          <w:tcPr>
            <w:tcW w:w="738" w:type="pct"/>
            <w:vAlign w:val="center"/>
          </w:tcPr>
          <w:p>
            <w:pPr>
              <w:adjustRightInd w:val="0"/>
              <w:snapToGrid w:val="0"/>
              <w:jc w:val="center"/>
              <w:rPr>
                <w:rFonts w:ascii="Times New Roman" w:hAnsi="Times New Roman"/>
                <w:color w:val="000000"/>
              </w:rPr>
            </w:pPr>
            <w:r>
              <w:rPr>
                <w:rFonts w:ascii="Times New Roman" w:hAnsi="Times New Roman"/>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7" w:type="pct"/>
            <w:vMerge w:val="continue"/>
            <w:vAlign w:val="center"/>
          </w:tcPr>
          <w:p>
            <w:pPr>
              <w:adjustRightInd w:val="0"/>
              <w:snapToGrid w:val="0"/>
              <w:jc w:val="center"/>
              <w:rPr>
                <w:rFonts w:ascii="Times New Roman" w:hAnsi="Times New Roman"/>
                <w:color w:val="000000"/>
              </w:rPr>
            </w:pPr>
          </w:p>
        </w:tc>
        <w:tc>
          <w:tcPr>
            <w:tcW w:w="1827" w:type="pct"/>
            <w:vAlign w:val="center"/>
          </w:tcPr>
          <w:p>
            <w:pPr>
              <w:adjustRightInd w:val="0"/>
              <w:snapToGrid w:val="0"/>
              <w:jc w:val="center"/>
              <w:rPr>
                <w:rFonts w:ascii="Times New Roman" w:hAnsi="Times New Roman"/>
                <w:color w:val="000000"/>
              </w:rPr>
            </w:pPr>
            <w:r>
              <w:rPr>
                <w:rFonts w:ascii="Times New Roman" w:hAnsi="Times New Roman"/>
                <w:color w:val="000000"/>
              </w:rPr>
              <w:t>生化需氧量</w:t>
            </w:r>
          </w:p>
        </w:tc>
        <w:tc>
          <w:tcPr>
            <w:tcW w:w="879" w:type="pct"/>
            <w:vAlign w:val="center"/>
          </w:tcPr>
          <w:p>
            <w:pPr>
              <w:adjustRightInd w:val="0"/>
              <w:snapToGrid w:val="0"/>
              <w:jc w:val="center"/>
              <w:rPr>
                <w:rFonts w:ascii="Times New Roman" w:hAnsi="Times New Roman"/>
                <w:color w:val="000000"/>
              </w:rPr>
            </w:pPr>
            <w:r>
              <w:rPr>
                <w:rFonts w:ascii="Times New Roman" w:hAnsi="Times New Roman"/>
                <w:color w:val="000000"/>
              </w:rPr>
              <w:t>≤4mg/L</w:t>
            </w:r>
          </w:p>
        </w:tc>
        <w:tc>
          <w:tcPr>
            <w:tcW w:w="738"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0.98</w:t>
            </w:r>
          </w:p>
        </w:tc>
        <w:tc>
          <w:tcPr>
            <w:tcW w:w="738" w:type="pct"/>
            <w:vAlign w:val="center"/>
          </w:tcPr>
          <w:p>
            <w:pPr>
              <w:adjustRightInd w:val="0"/>
              <w:snapToGrid w:val="0"/>
              <w:jc w:val="center"/>
              <w:rPr>
                <w:rFonts w:ascii="Times New Roman" w:hAnsi="Times New Roman"/>
                <w:color w:val="000000"/>
              </w:rPr>
            </w:pPr>
            <w:r>
              <w:rPr>
                <w:rFonts w:ascii="Times New Roman" w:hAnsi="Times New Roman"/>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7" w:type="pct"/>
            <w:vMerge w:val="continue"/>
            <w:vAlign w:val="center"/>
          </w:tcPr>
          <w:p>
            <w:pPr>
              <w:adjustRightInd w:val="0"/>
              <w:snapToGrid w:val="0"/>
              <w:jc w:val="center"/>
              <w:rPr>
                <w:rFonts w:ascii="Times New Roman" w:hAnsi="Times New Roman"/>
                <w:color w:val="000000"/>
              </w:rPr>
            </w:pPr>
          </w:p>
        </w:tc>
        <w:tc>
          <w:tcPr>
            <w:tcW w:w="1827" w:type="pct"/>
            <w:vAlign w:val="center"/>
          </w:tcPr>
          <w:p>
            <w:pPr>
              <w:adjustRightInd w:val="0"/>
              <w:snapToGrid w:val="0"/>
              <w:jc w:val="center"/>
              <w:rPr>
                <w:rFonts w:ascii="Times New Roman" w:hAnsi="Times New Roman"/>
                <w:color w:val="000000"/>
              </w:rPr>
            </w:pPr>
            <w:r>
              <w:rPr>
                <w:rFonts w:ascii="Times New Roman" w:hAnsi="Times New Roman"/>
                <w:color w:val="000000"/>
              </w:rPr>
              <w:t>氨氮</w:t>
            </w:r>
          </w:p>
        </w:tc>
        <w:tc>
          <w:tcPr>
            <w:tcW w:w="879" w:type="pct"/>
            <w:vAlign w:val="center"/>
          </w:tcPr>
          <w:p>
            <w:pPr>
              <w:adjustRightInd w:val="0"/>
              <w:snapToGrid w:val="0"/>
              <w:jc w:val="center"/>
              <w:rPr>
                <w:rFonts w:ascii="Times New Roman" w:hAnsi="Times New Roman"/>
                <w:color w:val="000000"/>
              </w:rPr>
            </w:pPr>
            <w:r>
              <w:rPr>
                <w:rFonts w:ascii="Times New Roman" w:hAnsi="Times New Roman"/>
                <w:color w:val="000000"/>
              </w:rPr>
              <w:t>≤1.0mg/L</w:t>
            </w:r>
          </w:p>
        </w:tc>
        <w:tc>
          <w:tcPr>
            <w:tcW w:w="738"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0.18</w:t>
            </w:r>
          </w:p>
        </w:tc>
        <w:tc>
          <w:tcPr>
            <w:tcW w:w="738" w:type="pct"/>
            <w:vAlign w:val="center"/>
          </w:tcPr>
          <w:p>
            <w:pPr>
              <w:adjustRightInd w:val="0"/>
              <w:snapToGrid w:val="0"/>
              <w:jc w:val="center"/>
              <w:rPr>
                <w:rFonts w:ascii="Times New Roman" w:hAnsi="Times New Roman"/>
                <w:color w:val="000000"/>
              </w:rPr>
            </w:pPr>
            <w:r>
              <w:rPr>
                <w:rFonts w:ascii="Times New Roman" w:hAnsi="Times New Roman"/>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7" w:type="pct"/>
            <w:vMerge w:val="continue"/>
            <w:vAlign w:val="center"/>
          </w:tcPr>
          <w:p>
            <w:pPr>
              <w:adjustRightInd w:val="0"/>
              <w:snapToGrid w:val="0"/>
              <w:jc w:val="center"/>
              <w:rPr>
                <w:rFonts w:ascii="Times New Roman" w:hAnsi="Times New Roman"/>
                <w:color w:val="000000"/>
              </w:rPr>
            </w:pPr>
          </w:p>
        </w:tc>
        <w:tc>
          <w:tcPr>
            <w:tcW w:w="1827" w:type="pct"/>
            <w:vAlign w:val="center"/>
          </w:tcPr>
          <w:p>
            <w:pPr>
              <w:adjustRightInd w:val="0"/>
              <w:snapToGrid w:val="0"/>
              <w:jc w:val="center"/>
              <w:rPr>
                <w:rFonts w:ascii="Times New Roman" w:hAnsi="Times New Roman"/>
                <w:color w:val="000000"/>
              </w:rPr>
            </w:pPr>
            <w:r>
              <w:rPr>
                <w:rFonts w:ascii="Times New Roman" w:hAnsi="Times New Roman"/>
                <w:color w:val="000000"/>
              </w:rPr>
              <w:t>总磷</w:t>
            </w:r>
          </w:p>
        </w:tc>
        <w:tc>
          <w:tcPr>
            <w:tcW w:w="879" w:type="pct"/>
            <w:vAlign w:val="center"/>
          </w:tcPr>
          <w:p>
            <w:pPr>
              <w:adjustRightInd w:val="0"/>
              <w:snapToGrid w:val="0"/>
              <w:jc w:val="center"/>
              <w:rPr>
                <w:rFonts w:ascii="Times New Roman" w:hAnsi="Times New Roman"/>
                <w:color w:val="000000"/>
              </w:rPr>
            </w:pPr>
            <w:r>
              <w:rPr>
                <w:rFonts w:ascii="Times New Roman" w:hAnsi="Times New Roman"/>
                <w:color w:val="000000"/>
              </w:rPr>
              <w:t>≤0.2mg/L</w:t>
            </w:r>
          </w:p>
        </w:tc>
        <w:tc>
          <w:tcPr>
            <w:tcW w:w="738"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0.85</w:t>
            </w:r>
          </w:p>
        </w:tc>
        <w:tc>
          <w:tcPr>
            <w:tcW w:w="738" w:type="pct"/>
            <w:vAlign w:val="center"/>
          </w:tcPr>
          <w:p>
            <w:pPr>
              <w:adjustRightInd w:val="0"/>
              <w:snapToGrid w:val="0"/>
              <w:jc w:val="center"/>
              <w:rPr>
                <w:rFonts w:ascii="Times New Roman" w:hAnsi="Times New Roman"/>
                <w:color w:val="000000"/>
              </w:rPr>
            </w:pPr>
            <w:r>
              <w:rPr>
                <w:rFonts w:ascii="Times New Roman" w:hAnsi="Times New Roman"/>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7" w:type="pct"/>
            <w:vMerge w:val="continue"/>
            <w:vAlign w:val="center"/>
          </w:tcPr>
          <w:p>
            <w:pPr>
              <w:pStyle w:val="7"/>
              <w:adjustRightInd w:val="0"/>
              <w:snapToGrid w:val="0"/>
              <w:spacing w:after="0"/>
              <w:jc w:val="center"/>
              <w:rPr>
                <w:rFonts w:ascii="Times New Roman" w:hAnsi="Times New Roman"/>
                <w:color w:val="000000"/>
              </w:rPr>
            </w:pPr>
          </w:p>
        </w:tc>
        <w:tc>
          <w:tcPr>
            <w:tcW w:w="1827" w:type="pct"/>
            <w:vAlign w:val="center"/>
          </w:tcPr>
          <w:p>
            <w:pPr>
              <w:adjustRightInd w:val="0"/>
              <w:snapToGrid w:val="0"/>
              <w:jc w:val="center"/>
              <w:rPr>
                <w:rFonts w:ascii="Times New Roman" w:hAnsi="Times New Roman"/>
                <w:color w:val="000000"/>
              </w:rPr>
            </w:pPr>
            <w:r>
              <w:rPr>
                <w:rFonts w:ascii="Times New Roman" w:hAnsi="Times New Roman"/>
                <w:color w:val="000000"/>
              </w:rPr>
              <w:t>总氮</w:t>
            </w:r>
          </w:p>
        </w:tc>
        <w:tc>
          <w:tcPr>
            <w:tcW w:w="879" w:type="pct"/>
            <w:vAlign w:val="center"/>
          </w:tcPr>
          <w:p>
            <w:pPr>
              <w:adjustRightInd w:val="0"/>
              <w:snapToGrid w:val="0"/>
              <w:jc w:val="center"/>
              <w:rPr>
                <w:rFonts w:ascii="Times New Roman" w:hAnsi="Times New Roman"/>
                <w:color w:val="000000"/>
              </w:rPr>
            </w:pPr>
            <w:r>
              <w:rPr>
                <w:rFonts w:ascii="Times New Roman" w:hAnsi="Times New Roman"/>
                <w:color w:val="000000"/>
              </w:rPr>
              <w:t>≤1.0mg/L</w:t>
            </w:r>
          </w:p>
        </w:tc>
        <w:tc>
          <w:tcPr>
            <w:tcW w:w="738"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0.98</w:t>
            </w:r>
          </w:p>
        </w:tc>
        <w:tc>
          <w:tcPr>
            <w:tcW w:w="738" w:type="pct"/>
            <w:vAlign w:val="center"/>
          </w:tcPr>
          <w:p>
            <w:pPr>
              <w:adjustRightInd w:val="0"/>
              <w:snapToGrid w:val="0"/>
              <w:jc w:val="center"/>
              <w:rPr>
                <w:rFonts w:ascii="Times New Roman" w:hAnsi="Times New Roman"/>
              </w:rPr>
            </w:pPr>
            <w:r>
              <w:rPr>
                <w:rFonts w:ascii="Times New Roman" w:hAnsi="Times New Roman"/>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7" w:type="pct"/>
            <w:vMerge w:val="continue"/>
            <w:vAlign w:val="center"/>
          </w:tcPr>
          <w:p>
            <w:pPr>
              <w:pStyle w:val="7"/>
              <w:adjustRightInd w:val="0"/>
              <w:snapToGrid w:val="0"/>
              <w:spacing w:after="0"/>
              <w:jc w:val="center"/>
              <w:rPr>
                <w:rFonts w:ascii="Times New Roman" w:hAnsi="Times New Roman"/>
                <w:color w:val="000000"/>
              </w:rPr>
            </w:pPr>
          </w:p>
        </w:tc>
        <w:tc>
          <w:tcPr>
            <w:tcW w:w="1827" w:type="pct"/>
            <w:vAlign w:val="center"/>
          </w:tcPr>
          <w:p>
            <w:pPr>
              <w:adjustRightInd w:val="0"/>
              <w:snapToGrid w:val="0"/>
              <w:jc w:val="center"/>
              <w:rPr>
                <w:rFonts w:ascii="Times New Roman" w:hAnsi="Times New Roman"/>
                <w:color w:val="000000"/>
              </w:rPr>
            </w:pPr>
            <w:r>
              <w:rPr>
                <w:rFonts w:ascii="Times New Roman" w:hAnsi="Times New Roman"/>
                <w:color w:val="000000"/>
              </w:rPr>
              <w:t>石油类</w:t>
            </w:r>
          </w:p>
        </w:tc>
        <w:tc>
          <w:tcPr>
            <w:tcW w:w="879" w:type="pct"/>
            <w:vAlign w:val="center"/>
          </w:tcPr>
          <w:p>
            <w:pPr>
              <w:adjustRightInd w:val="0"/>
              <w:snapToGrid w:val="0"/>
              <w:jc w:val="center"/>
              <w:rPr>
                <w:rFonts w:ascii="Times New Roman" w:hAnsi="Times New Roman"/>
                <w:color w:val="000000"/>
              </w:rPr>
            </w:pPr>
            <w:r>
              <w:rPr>
                <w:rFonts w:ascii="Times New Roman" w:hAnsi="Times New Roman"/>
                <w:color w:val="000000"/>
              </w:rPr>
              <w:t>≤0.05mg/L</w:t>
            </w:r>
          </w:p>
        </w:tc>
        <w:tc>
          <w:tcPr>
            <w:tcW w:w="738"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1.00</w:t>
            </w:r>
          </w:p>
        </w:tc>
        <w:tc>
          <w:tcPr>
            <w:tcW w:w="738" w:type="pct"/>
            <w:shd w:val="clear" w:color="auto" w:fill="auto"/>
            <w:vAlign w:val="center"/>
          </w:tcPr>
          <w:p>
            <w:pPr>
              <w:adjustRightInd w:val="0"/>
              <w:snapToGrid w:val="0"/>
              <w:jc w:val="center"/>
              <w:rPr>
                <w:rFonts w:ascii="Times New Roman" w:hAnsi="Times New Roman"/>
              </w:rPr>
            </w:pPr>
            <w:r>
              <w:rPr>
                <w:rFonts w:ascii="Times New Roman" w:hAnsi="Times New Roman"/>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7" w:type="pct"/>
            <w:vMerge w:val="continue"/>
            <w:vAlign w:val="center"/>
          </w:tcPr>
          <w:p>
            <w:pPr>
              <w:pStyle w:val="7"/>
              <w:adjustRightInd w:val="0"/>
              <w:snapToGrid w:val="0"/>
              <w:spacing w:after="0"/>
              <w:jc w:val="center"/>
              <w:rPr>
                <w:rFonts w:ascii="Times New Roman" w:hAnsi="Times New Roman"/>
                <w:color w:val="000000"/>
              </w:rPr>
            </w:pPr>
          </w:p>
        </w:tc>
        <w:tc>
          <w:tcPr>
            <w:tcW w:w="1827" w:type="pct"/>
            <w:vAlign w:val="center"/>
          </w:tcPr>
          <w:p>
            <w:pPr>
              <w:adjustRightInd w:val="0"/>
              <w:snapToGrid w:val="0"/>
              <w:jc w:val="center"/>
              <w:rPr>
                <w:rFonts w:ascii="Times New Roman" w:hAnsi="Times New Roman"/>
                <w:color w:val="000000"/>
              </w:rPr>
            </w:pPr>
            <w:r>
              <w:rPr>
                <w:rFonts w:ascii="Times New Roman" w:hAnsi="Times New Roman"/>
                <w:color w:val="000000"/>
              </w:rPr>
              <w:t>硫化物</w:t>
            </w:r>
          </w:p>
        </w:tc>
        <w:tc>
          <w:tcPr>
            <w:tcW w:w="879" w:type="pct"/>
            <w:vAlign w:val="center"/>
          </w:tcPr>
          <w:p>
            <w:pPr>
              <w:adjustRightInd w:val="0"/>
              <w:snapToGrid w:val="0"/>
              <w:jc w:val="center"/>
              <w:rPr>
                <w:rFonts w:ascii="Times New Roman" w:hAnsi="Times New Roman"/>
                <w:color w:val="000000"/>
              </w:rPr>
            </w:pPr>
            <w:r>
              <w:rPr>
                <w:rFonts w:ascii="Times New Roman" w:hAnsi="Times New Roman"/>
                <w:color w:val="000000"/>
              </w:rPr>
              <w:t>≤0.2mg/L</w:t>
            </w:r>
          </w:p>
        </w:tc>
        <w:tc>
          <w:tcPr>
            <w:tcW w:w="738"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w:t>
            </w:r>
          </w:p>
        </w:tc>
        <w:tc>
          <w:tcPr>
            <w:tcW w:w="738" w:type="pct"/>
            <w:shd w:val="clear" w:color="auto" w:fill="auto"/>
            <w:vAlign w:val="center"/>
          </w:tcPr>
          <w:p>
            <w:pPr>
              <w:adjustRightInd w:val="0"/>
              <w:snapToGrid w:val="0"/>
              <w:jc w:val="center"/>
              <w:rPr>
                <w:rFonts w:ascii="Times New Roman" w:hAnsi="Times New Roman"/>
              </w:rPr>
            </w:pPr>
            <w:r>
              <w:rPr>
                <w:rFonts w:ascii="Times New Roman" w:hAnsi="Times New Roman"/>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7" w:type="pct"/>
            <w:vMerge w:val="restart"/>
            <w:vAlign w:val="center"/>
          </w:tcPr>
          <w:p>
            <w:pPr>
              <w:pStyle w:val="7"/>
              <w:adjustRightInd w:val="0"/>
              <w:snapToGrid w:val="0"/>
              <w:spacing w:after="0"/>
              <w:jc w:val="center"/>
              <w:rPr>
                <w:rFonts w:ascii="Times New Roman" w:hAnsi="Times New Roman"/>
                <w:color w:val="000000"/>
              </w:rPr>
            </w:pPr>
            <w:r>
              <w:rPr>
                <w:rFonts w:ascii="Times New Roman" w:hAnsi="Times New Roman"/>
                <w:color w:val="000000"/>
              </w:rPr>
              <w:t>S2长江（2#码头泊位处）</w:t>
            </w:r>
          </w:p>
        </w:tc>
        <w:tc>
          <w:tcPr>
            <w:tcW w:w="1827" w:type="pct"/>
            <w:vAlign w:val="center"/>
          </w:tcPr>
          <w:p>
            <w:pPr>
              <w:adjustRightInd w:val="0"/>
              <w:snapToGrid w:val="0"/>
              <w:jc w:val="center"/>
              <w:rPr>
                <w:rFonts w:ascii="Times New Roman" w:hAnsi="Times New Roman"/>
                <w:color w:val="000000"/>
              </w:rPr>
            </w:pPr>
            <w:r>
              <w:rPr>
                <w:rFonts w:ascii="Times New Roman" w:hAnsi="Times New Roman"/>
                <w:color w:val="000000"/>
              </w:rPr>
              <w:t>pH</w:t>
            </w:r>
          </w:p>
        </w:tc>
        <w:tc>
          <w:tcPr>
            <w:tcW w:w="879" w:type="pct"/>
            <w:vAlign w:val="center"/>
          </w:tcPr>
          <w:p>
            <w:pPr>
              <w:adjustRightInd w:val="0"/>
              <w:snapToGrid w:val="0"/>
              <w:jc w:val="center"/>
              <w:rPr>
                <w:rFonts w:ascii="Times New Roman" w:hAnsi="Times New Roman"/>
                <w:color w:val="000000"/>
              </w:rPr>
            </w:pPr>
            <w:r>
              <w:rPr>
                <w:rFonts w:ascii="Times New Roman" w:hAnsi="Times New Roman"/>
                <w:color w:val="000000"/>
              </w:rPr>
              <w:t>6~9</w:t>
            </w:r>
          </w:p>
        </w:tc>
        <w:tc>
          <w:tcPr>
            <w:tcW w:w="738"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0.3</w:t>
            </w:r>
          </w:p>
        </w:tc>
        <w:tc>
          <w:tcPr>
            <w:tcW w:w="738" w:type="pct"/>
            <w:shd w:val="clear" w:color="auto" w:fill="auto"/>
            <w:vAlign w:val="center"/>
          </w:tcPr>
          <w:p>
            <w:pPr>
              <w:adjustRightInd w:val="0"/>
              <w:snapToGrid w:val="0"/>
              <w:jc w:val="center"/>
              <w:rPr>
                <w:rFonts w:ascii="Times New Roman" w:hAnsi="Times New Roman"/>
              </w:rPr>
            </w:pPr>
            <w:r>
              <w:rPr>
                <w:rFonts w:ascii="Times New Roman" w:hAnsi="Times New Roman"/>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7" w:type="pct"/>
            <w:vMerge w:val="continue"/>
            <w:vAlign w:val="center"/>
          </w:tcPr>
          <w:p>
            <w:pPr>
              <w:pStyle w:val="7"/>
              <w:adjustRightInd w:val="0"/>
              <w:snapToGrid w:val="0"/>
              <w:spacing w:after="0"/>
              <w:jc w:val="center"/>
              <w:rPr>
                <w:rFonts w:ascii="Times New Roman" w:hAnsi="Times New Roman"/>
                <w:color w:val="000000"/>
              </w:rPr>
            </w:pPr>
          </w:p>
        </w:tc>
        <w:tc>
          <w:tcPr>
            <w:tcW w:w="1827" w:type="pct"/>
            <w:vAlign w:val="center"/>
          </w:tcPr>
          <w:p>
            <w:pPr>
              <w:adjustRightInd w:val="0"/>
              <w:snapToGrid w:val="0"/>
              <w:jc w:val="center"/>
              <w:rPr>
                <w:rFonts w:ascii="Times New Roman" w:hAnsi="Times New Roman"/>
                <w:color w:val="000000"/>
              </w:rPr>
            </w:pPr>
            <w:r>
              <w:rPr>
                <w:rFonts w:ascii="Times New Roman" w:hAnsi="Times New Roman"/>
                <w:color w:val="000000"/>
              </w:rPr>
              <w:t>水温</w:t>
            </w:r>
          </w:p>
        </w:tc>
        <w:tc>
          <w:tcPr>
            <w:tcW w:w="879" w:type="pct"/>
            <w:vAlign w:val="center"/>
          </w:tcPr>
          <w:p>
            <w:pPr>
              <w:adjustRightInd w:val="0"/>
              <w:snapToGrid w:val="0"/>
              <w:jc w:val="center"/>
              <w:rPr>
                <w:rFonts w:ascii="Times New Roman" w:hAnsi="Times New Roman"/>
                <w:color w:val="000000"/>
              </w:rPr>
            </w:pPr>
            <w:r>
              <w:rPr>
                <w:rFonts w:ascii="Times New Roman" w:hAnsi="Times New Roman"/>
                <w:color w:val="000000"/>
              </w:rPr>
              <w:t>/</w:t>
            </w:r>
          </w:p>
        </w:tc>
        <w:tc>
          <w:tcPr>
            <w:tcW w:w="738"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w:t>
            </w:r>
          </w:p>
        </w:tc>
        <w:tc>
          <w:tcPr>
            <w:tcW w:w="738" w:type="pct"/>
            <w:shd w:val="clear" w:color="auto" w:fill="auto"/>
            <w:vAlign w:val="center"/>
          </w:tcPr>
          <w:p>
            <w:pPr>
              <w:adjustRightInd w:val="0"/>
              <w:snapToGrid w:val="0"/>
              <w:jc w:val="center"/>
              <w:rPr>
                <w:rFonts w:ascii="Times New Roman" w:hAnsi="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7" w:type="pct"/>
            <w:vMerge w:val="continue"/>
            <w:vAlign w:val="center"/>
          </w:tcPr>
          <w:p>
            <w:pPr>
              <w:pStyle w:val="7"/>
              <w:adjustRightInd w:val="0"/>
              <w:snapToGrid w:val="0"/>
              <w:spacing w:after="0"/>
              <w:jc w:val="center"/>
              <w:rPr>
                <w:rFonts w:ascii="Times New Roman" w:hAnsi="Times New Roman"/>
                <w:color w:val="000000"/>
              </w:rPr>
            </w:pPr>
          </w:p>
        </w:tc>
        <w:tc>
          <w:tcPr>
            <w:tcW w:w="1827" w:type="pct"/>
            <w:vAlign w:val="center"/>
          </w:tcPr>
          <w:p>
            <w:pPr>
              <w:adjustRightInd w:val="0"/>
              <w:snapToGrid w:val="0"/>
              <w:jc w:val="center"/>
              <w:rPr>
                <w:rFonts w:ascii="Times New Roman" w:hAnsi="Times New Roman"/>
                <w:color w:val="000000"/>
              </w:rPr>
            </w:pPr>
            <w:r>
              <w:rPr>
                <w:rFonts w:ascii="Times New Roman" w:hAnsi="Times New Roman"/>
                <w:color w:val="000000"/>
              </w:rPr>
              <w:t>悬浮物</w:t>
            </w:r>
          </w:p>
        </w:tc>
        <w:tc>
          <w:tcPr>
            <w:tcW w:w="879" w:type="pct"/>
            <w:vAlign w:val="center"/>
          </w:tcPr>
          <w:p>
            <w:pPr>
              <w:adjustRightInd w:val="0"/>
              <w:snapToGrid w:val="0"/>
              <w:jc w:val="center"/>
              <w:rPr>
                <w:rFonts w:ascii="Times New Roman" w:hAnsi="Times New Roman"/>
                <w:color w:val="000000"/>
              </w:rPr>
            </w:pPr>
            <w:r>
              <w:rPr>
                <w:rFonts w:ascii="Times New Roman" w:hAnsi="Times New Roman"/>
                <w:color w:val="000000"/>
              </w:rPr>
              <w:t>≤30mg/L</w:t>
            </w:r>
          </w:p>
        </w:tc>
        <w:tc>
          <w:tcPr>
            <w:tcW w:w="738"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0.97</w:t>
            </w:r>
          </w:p>
        </w:tc>
        <w:tc>
          <w:tcPr>
            <w:tcW w:w="738" w:type="pct"/>
            <w:shd w:val="clear" w:color="auto" w:fill="auto"/>
            <w:vAlign w:val="center"/>
          </w:tcPr>
          <w:p>
            <w:pPr>
              <w:adjustRightInd w:val="0"/>
              <w:snapToGrid w:val="0"/>
              <w:jc w:val="center"/>
              <w:rPr>
                <w:rFonts w:ascii="Times New Roman" w:hAnsi="Times New Roman"/>
              </w:rPr>
            </w:pPr>
            <w:r>
              <w:rPr>
                <w:rFonts w:ascii="Times New Roman" w:hAnsi="Times New Roman"/>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7" w:type="pct"/>
            <w:vMerge w:val="continue"/>
            <w:vAlign w:val="center"/>
          </w:tcPr>
          <w:p>
            <w:pPr>
              <w:pStyle w:val="7"/>
              <w:adjustRightInd w:val="0"/>
              <w:snapToGrid w:val="0"/>
              <w:spacing w:after="0"/>
              <w:jc w:val="center"/>
              <w:rPr>
                <w:rFonts w:ascii="Times New Roman" w:hAnsi="Times New Roman"/>
                <w:color w:val="000000"/>
              </w:rPr>
            </w:pPr>
          </w:p>
        </w:tc>
        <w:tc>
          <w:tcPr>
            <w:tcW w:w="1827" w:type="pct"/>
            <w:vAlign w:val="center"/>
          </w:tcPr>
          <w:p>
            <w:pPr>
              <w:adjustRightInd w:val="0"/>
              <w:snapToGrid w:val="0"/>
              <w:jc w:val="center"/>
              <w:rPr>
                <w:rFonts w:ascii="Times New Roman" w:hAnsi="Times New Roman"/>
                <w:color w:val="000000"/>
              </w:rPr>
            </w:pPr>
            <w:r>
              <w:rPr>
                <w:rFonts w:ascii="Times New Roman" w:hAnsi="Times New Roman"/>
                <w:color w:val="000000"/>
              </w:rPr>
              <w:t>溶解氧</w:t>
            </w:r>
          </w:p>
        </w:tc>
        <w:tc>
          <w:tcPr>
            <w:tcW w:w="879" w:type="pct"/>
            <w:vAlign w:val="center"/>
          </w:tcPr>
          <w:p>
            <w:pPr>
              <w:adjustRightInd w:val="0"/>
              <w:snapToGrid w:val="0"/>
              <w:jc w:val="center"/>
              <w:rPr>
                <w:rFonts w:ascii="Times New Roman" w:hAnsi="Times New Roman"/>
                <w:color w:val="000000"/>
              </w:rPr>
            </w:pPr>
            <w:r>
              <w:rPr>
                <w:rFonts w:ascii="Times New Roman" w:hAnsi="Times New Roman"/>
                <w:color w:val="000000"/>
              </w:rPr>
              <w:t>≥5mg/L</w:t>
            </w:r>
          </w:p>
        </w:tc>
        <w:tc>
          <w:tcPr>
            <w:tcW w:w="738" w:type="pct"/>
            <w:vAlign w:val="center"/>
          </w:tcPr>
          <w:p>
            <w:pPr>
              <w:adjustRightInd w:val="0"/>
              <w:snapToGrid w:val="0"/>
              <w:jc w:val="center"/>
              <w:rPr>
                <w:rFonts w:ascii="Times New Roman" w:hAnsi="Times New Roman"/>
                <w:color w:val="000000"/>
                <w:highlight w:val="yellow"/>
              </w:rPr>
            </w:pPr>
            <w:r>
              <w:rPr>
                <w:rFonts w:ascii="Times New Roman" w:hAnsi="Times New Roman"/>
                <w:color w:val="000000"/>
              </w:rPr>
              <w:t>0.05</w:t>
            </w:r>
          </w:p>
        </w:tc>
        <w:tc>
          <w:tcPr>
            <w:tcW w:w="738" w:type="pct"/>
            <w:shd w:val="clear" w:color="auto" w:fill="auto"/>
            <w:vAlign w:val="center"/>
          </w:tcPr>
          <w:p>
            <w:pPr>
              <w:adjustRightInd w:val="0"/>
              <w:snapToGrid w:val="0"/>
              <w:jc w:val="center"/>
              <w:rPr>
                <w:rFonts w:ascii="Times New Roman" w:hAnsi="Times New Roman"/>
              </w:rPr>
            </w:pPr>
            <w:r>
              <w:rPr>
                <w:rFonts w:ascii="Times New Roman" w:hAnsi="Times New Roman"/>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7" w:type="pct"/>
            <w:vMerge w:val="continue"/>
            <w:vAlign w:val="center"/>
          </w:tcPr>
          <w:p>
            <w:pPr>
              <w:pStyle w:val="7"/>
              <w:adjustRightInd w:val="0"/>
              <w:snapToGrid w:val="0"/>
              <w:spacing w:after="0"/>
              <w:jc w:val="center"/>
              <w:rPr>
                <w:rFonts w:ascii="Times New Roman" w:hAnsi="Times New Roman"/>
                <w:color w:val="000000"/>
              </w:rPr>
            </w:pPr>
          </w:p>
        </w:tc>
        <w:tc>
          <w:tcPr>
            <w:tcW w:w="1827" w:type="pct"/>
            <w:vAlign w:val="center"/>
          </w:tcPr>
          <w:p>
            <w:pPr>
              <w:adjustRightInd w:val="0"/>
              <w:snapToGrid w:val="0"/>
              <w:jc w:val="center"/>
              <w:rPr>
                <w:rFonts w:ascii="Times New Roman" w:hAnsi="Times New Roman"/>
                <w:color w:val="000000"/>
              </w:rPr>
            </w:pPr>
            <w:r>
              <w:rPr>
                <w:rFonts w:ascii="Times New Roman" w:hAnsi="Times New Roman"/>
                <w:color w:val="000000"/>
              </w:rPr>
              <w:t>化学需氧量</w:t>
            </w:r>
          </w:p>
        </w:tc>
        <w:tc>
          <w:tcPr>
            <w:tcW w:w="879" w:type="pct"/>
            <w:vAlign w:val="center"/>
          </w:tcPr>
          <w:p>
            <w:pPr>
              <w:adjustRightInd w:val="0"/>
              <w:snapToGrid w:val="0"/>
              <w:jc w:val="center"/>
              <w:rPr>
                <w:rFonts w:ascii="Times New Roman" w:hAnsi="Times New Roman"/>
                <w:color w:val="000000"/>
              </w:rPr>
            </w:pPr>
            <w:r>
              <w:rPr>
                <w:rFonts w:ascii="Times New Roman" w:hAnsi="Times New Roman"/>
                <w:color w:val="000000"/>
              </w:rPr>
              <w:t>≤20mg/L</w:t>
            </w:r>
          </w:p>
        </w:tc>
        <w:tc>
          <w:tcPr>
            <w:tcW w:w="738"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0.85</w:t>
            </w:r>
          </w:p>
        </w:tc>
        <w:tc>
          <w:tcPr>
            <w:tcW w:w="738" w:type="pct"/>
            <w:shd w:val="clear" w:color="auto" w:fill="auto"/>
            <w:vAlign w:val="center"/>
          </w:tcPr>
          <w:p>
            <w:pPr>
              <w:adjustRightInd w:val="0"/>
              <w:snapToGrid w:val="0"/>
              <w:jc w:val="center"/>
              <w:rPr>
                <w:rFonts w:ascii="Times New Roman" w:hAnsi="Times New Roman"/>
              </w:rPr>
            </w:pPr>
            <w:r>
              <w:rPr>
                <w:rFonts w:ascii="Times New Roman" w:hAnsi="Times New Roman"/>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7" w:type="pct"/>
            <w:vMerge w:val="continue"/>
            <w:vAlign w:val="center"/>
          </w:tcPr>
          <w:p>
            <w:pPr>
              <w:pStyle w:val="7"/>
              <w:adjustRightInd w:val="0"/>
              <w:snapToGrid w:val="0"/>
              <w:spacing w:after="0"/>
              <w:jc w:val="center"/>
              <w:rPr>
                <w:rFonts w:ascii="Times New Roman" w:hAnsi="Times New Roman"/>
                <w:color w:val="000000"/>
              </w:rPr>
            </w:pPr>
          </w:p>
        </w:tc>
        <w:tc>
          <w:tcPr>
            <w:tcW w:w="1827" w:type="pct"/>
            <w:vAlign w:val="center"/>
          </w:tcPr>
          <w:p>
            <w:pPr>
              <w:adjustRightInd w:val="0"/>
              <w:snapToGrid w:val="0"/>
              <w:jc w:val="center"/>
              <w:rPr>
                <w:rFonts w:ascii="Times New Roman" w:hAnsi="Times New Roman"/>
                <w:color w:val="000000"/>
              </w:rPr>
            </w:pPr>
            <w:r>
              <w:rPr>
                <w:rFonts w:ascii="Times New Roman" w:hAnsi="Times New Roman"/>
                <w:color w:val="000000"/>
              </w:rPr>
              <w:t>生化需氧量</w:t>
            </w:r>
          </w:p>
        </w:tc>
        <w:tc>
          <w:tcPr>
            <w:tcW w:w="879" w:type="pct"/>
            <w:vAlign w:val="center"/>
          </w:tcPr>
          <w:p>
            <w:pPr>
              <w:adjustRightInd w:val="0"/>
              <w:snapToGrid w:val="0"/>
              <w:jc w:val="center"/>
              <w:rPr>
                <w:rFonts w:ascii="Times New Roman" w:hAnsi="Times New Roman"/>
                <w:color w:val="000000"/>
              </w:rPr>
            </w:pPr>
            <w:r>
              <w:rPr>
                <w:rFonts w:ascii="Times New Roman" w:hAnsi="Times New Roman"/>
                <w:color w:val="000000"/>
              </w:rPr>
              <w:t>≤4mg/L</w:t>
            </w:r>
          </w:p>
        </w:tc>
        <w:tc>
          <w:tcPr>
            <w:tcW w:w="738"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0.95</w:t>
            </w:r>
          </w:p>
        </w:tc>
        <w:tc>
          <w:tcPr>
            <w:tcW w:w="738" w:type="pct"/>
            <w:shd w:val="clear" w:color="auto" w:fill="auto"/>
            <w:vAlign w:val="center"/>
          </w:tcPr>
          <w:p>
            <w:pPr>
              <w:adjustRightInd w:val="0"/>
              <w:snapToGrid w:val="0"/>
              <w:jc w:val="center"/>
              <w:rPr>
                <w:rFonts w:ascii="Times New Roman" w:hAnsi="Times New Roman"/>
              </w:rPr>
            </w:pPr>
            <w:r>
              <w:rPr>
                <w:rFonts w:ascii="Times New Roman" w:hAnsi="Times New Roman"/>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7" w:type="pct"/>
            <w:vMerge w:val="continue"/>
            <w:vAlign w:val="center"/>
          </w:tcPr>
          <w:p>
            <w:pPr>
              <w:pStyle w:val="7"/>
              <w:adjustRightInd w:val="0"/>
              <w:snapToGrid w:val="0"/>
              <w:spacing w:after="0"/>
              <w:jc w:val="center"/>
              <w:rPr>
                <w:rFonts w:ascii="Times New Roman" w:hAnsi="Times New Roman"/>
                <w:color w:val="000000"/>
              </w:rPr>
            </w:pPr>
          </w:p>
        </w:tc>
        <w:tc>
          <w:tcPr>
            <w:tcW w:w="1827" w:type="pct"/>
            <w:vAlign w:val="center"/>
          </w:tcPr>
          <w:p>
            <w:pPr>
              <w:adjustRightInd w:val="0"/>
              <w:snapToGrid w:val="0"/>
              <w:jc w:val="center"/>
              <w:rPr>
                <w:rFonts w:ascii="Times New Roman" w:hAnsi="Times New Roman"/>
                <w:color w:val="000000"/>
              </w:rPr>
            </w:pPr>
            <w:r>
              <w:rPr>
                <w:rFonts w:ascii="Times New Roman" w:hAnsi="Times New Roman"/>
                <w:color w:val="000000"/>
              </w:rPr>
              <w:t>氨氮</w:t>
            </w:r>
          </w:p>
        </w:tc>
        <w:tc>
          <w:tcPr>
            <w:tcW w:w="879" w:type="pct"/>
            <w:vAlign w:val="center"/>
          </w:tcPr>
          <w:p>
            <w:pPr>
              <w:adjustRightInd w:val="0"/>
              <w:snapToGrid w:val="0"/>
              <w:jc w:val="center"/>
              <w:rPr>
                <w:rFonts w:ascii="Times New Roman" w:hAnsi="Times New Roman"/>
                <w:color w:val="000000"/>
              </w:rPr>
            </w:pPr>
            <w:r>
              <w:rPr>
                <w:rFonts w:ascii="Times New Roman" w:hAnsi="Times New Roman"/>
                <w:color w:val="000000"/>
              </w:rPr>
              <w:t>≤1.0mg/L</w:t>
            </w:r>
          </w:p>
        </w:tc>
        <w:tc>
          <w:tcPr>
            <w:tcW w:w="738"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0.29</w:t>
            </w:r>
          </w:p>
        </w:tc>
        <w:tc>
          <w:tcPr>
            <w:tcW w:w="738" w:type="pct"/>
            <w:shd w:val="clear" w:color="auto" w:fill="auto"/>
            <w:vAlign w:val="center"/>
          </w:tcPr>
          <w:p>
            <w:pPr>
              <w:adjustRightInd w:val="0"/>
              <w:snapToGrid w:val="0"/>
              <w:jc w:val="center"/>
              <w:rPr>
                <w:rFonts w:ascii="Times New Roman" w:hAnsi="Times New Roman"/>
              </w:rPr>
            </w:pPr>
            <w:r>
              <w:rPr>
                <w:rFonts w:ascii="Times New Roman" w:hAnsi="Times New Roman"/>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7" w:type="pct"/>
            <w:vMerge w:val="continue"/>
            <w:vAlign w:val="center"/>
          </w:tcPr>
          <w:p>
            <w:pPr>
              <w:pStyle w:val="7"/>
              <w:adjustRightInd w:val="0"/>
              <w:snapToGrid w:val="0"/>
              <w:spacing w:after="0"/>
              <w:jc w:val="center"/>
              <w:rPr>
                <w:rFonts w:ascii="Times New Roman" w:hAnsi="Times New Roman"/>
                <w:color w:val="000000"/>
              </w:rPr>
            </w:pPr>
          </w:p>
        </w:tc>
        <w:tc>
          <w:tcPr>
            <w:tcW w:w="1827" w:type="pct"/>
            <w:vAlign w:val="center"/>
          </w:tcPr>
          <w:p>
            <w:pPr>
              <w:adjustRightInd w:val="0"/>
              <w:snapToGrid w:val="0"/>
              <w:jc w:val="center"/>
              <w:rPr>
                <w:rFonts w:ascii="Times New Roman" w:hAnsi="Times New Roman"/>
                <w:color w:val="000000"/>
              </w:rPr>
            </w:pPr>
            <w:r>
              <w:rPr>
                <w:rFonts w:ascii="Times New Roman" w:hAnsi="Times New Roman"/>
                <w:color w:val="000000"/>
              </w:rPr>
              <w:t>总磷</w:t>
            </w:r>
          </w:p>
        </w:tc>
        <w:tc>
          <w:tcPr>
            <w:tcW w:w="879" w:type="pct"/>
            <w:vAlign w:val="center"/>
          </w:tcPr>
          <w:p>
            <w:pPr>
              <w:adjustRightInd w:val="0"/>
              <w:snapToGrid w:val="0"/>
              <w:jc w:val="center"/>
              <w:rPr>
                <w:rFonts w:ascii="Times New Roman" w:hAnsi="Times New Roman"/>
                <w:color w:val="000000"/>
              </w:rPr>
            </w:pPr>
            <w:r>
              <w:rPr>
                <w:rFonts w:ascii="Times New Roman" w:hAnsi="Times New Roman"/>
                <w:color w:val="000000"/>
              </w:rPr>
              <w:t>≤0.2mg/L</w:t>
            </w:r>
          </w:p>
        </w:tc>
        <w:tc>
          <w:tcPr>
            <w:tcW w:w="738"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0.75</w:t>
            </w:r>
          </w:p>
        </w:tc>
        <w:tc>
          <w:tcPr>
            <w:tcW w:w="738" w:type="pct"/>
            <w:shd w:val="clear" w:color="auto" w:fill="auto"/>
            <w:vAlign w:val="center"/>
          </w:tcPr>
          <w:p>
            <w:pPr>
              <w:adjustRightInd w:val="0"/>
              <w:snapToGrid w:val="0"/>
              <w:jc w:val="center"/>
              <w:rPr>
                <w:rFonts w:ascii="Times New Roman" w:hAnsi="Times New Roman"/>
              </w:rPr>
            </w:pPr>
            <w:r>
              <w:rPr>
                <w:rFonts w:ascii="Times New Roman" w:hAnsi="Times New Roman"/>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7" w:type="pct"/>
            <w:vMerge w:val="continue"/>
            <w:vAlign w:val="center"/>
          </w:tcPr>
          <w:p>
            <w:pPr>
              <w:pStyle w:val="7"/>
              <w:adjustRightInd w:val="0"/>
              <w:snapToGrid w:val="0"/>
              <w:spacing w:after="0"/>
              <w:jc w:val="center"/>
              <w:rPr>
                <w:rFonts w:ascii="Times New Roman" w:hAnsi="Times New Roman"/>
                <w:color w:val="000000"/>
              </w:rPr>
            </w:pPr>
          </w:p>
        </w:tc>
        <w:tc>
          <w:tcPr>
            <w:tcW w:w="1827" w:type="pct"/>
            <w:vAlign w:val="center"/>
          </w:tcPr>
          <w:p>
            <w:pPr>
              <w:adjustRightInd w:val="0"/>
              <w:snapToGrid w:val="0"/>
              <w:jc w:val="center"/>
              <w:rPr>
                <w:rFonts w:ascii="Times New Roman" w:hAnsi="Times New Roman"/>
                <w:color w:val="000000"/>
              </w:rPr>
            </w:pPr>
            <w:r>
              <w:rPr>
                <w:rFonts w:ascii="Times New Roman" w:hAnsi="Times New Roman"/>
                <w:color w:val="000000"/>
              </w:rPr>
              <w:t>总氮</w:t>
            </w:r>
          </w:p>
        </w:tc>
        <w:tc>
          <w:tcPr>
            <w:tcW w:w="879" w:type="pct"/>
            <w:vAlign w:val="center"/>
          </w:tcPr>
          <w:p>
            <w:pPr>
              <w:adjustRightInd w:val="0"/>
              <w:snapToGrid w:val="0"/>
              <w:jc w:val="center"/>
              <w:rPr>
                <w:rFonts w:ascii="Times New Roman" w:hAnsi="Times New Roman"/>
                <w:color w:val="000000"/>
              </w:rPr>
            </w:pPr>
            <w:r>
              <w:rPr>
                <w:rFonts w:ascii="Times New Roman" w:hAnsi="Times New Roman"/>
                <w:color w:val="000000"/>
              </w:rPr>
              <w:t>≤1.0mg/L</w:t>
            </w:r>
          </w:p>
        </w:tc>
        <w:tc>
          <w:tcPr>
            <w:tcW w:w="738"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0.70</w:t>
            </w:r>
          </w:p>
        </w:tc>
        <w:tc>
          <w:tcPr>
            <w:tcW w:w="738" w:type="pct"/>
            <w:shd w:val="clear" w:color="auto" w:fill="auto"/>
            <w:vAlign w:val="center"/>
          </w:tcPr>
          <w:p>
            <w:pPr>
              <w:adjustRightInd w:val="0"/>
              <w:snapToGrid w:val="0"/>
              <w:jc w:val="center"/>
              <w:rPr>
                <w:rFonts w:ascii="Times New Roman" w:hAnsi="Times New Roman"/>
              </w:rPr>
            </w:pPr>
            <w:r>
              <w:rPr>
                <w:rFonts w:ascii="Times New Roman" w:hAnsi="Times New Roman"/>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7" w:type="pct"/>
            <w:vMerge w:val="continue"/>
            <w:vAlign w:val="center"/>
          </w:tcPr>
          <w:p>
            <w:pPr>
              <w:pStyle w:val="7"/>
              <w:adjustRightInd w:val="0"/>
              <w:snapToGrid w:val="0"/>
              <w:spacing w:after="0"/>
              <w:jc w:val="center"/>
              <w:rPr>
                <w:rFonts w:ascii="Times New Roman" w:hAnsi="Times New Roman"/>
                <w:color w:val="000000"/>
              </w:rPr>
            </w:pPr>
          </w:p>
        </w:tc>
        <w:tc>
          <w:tcPr>
            <w:tcW w:w="1827" w:type="pct"/>
            <w:vAlign w:val="center"/>
          </w:tcPr>
          <w:p>
            <w:pPr>
              <w:adjustRightInd w:val="0"/>
              <w:snapToGrid w:val="0"/>
              <w:jc w:val="center"/>
              <w:rPr>
                <w:rFonts w:ascii="Times New Roman" w:hAnsi="Times New Roman"/>
                <w:color w:val="000000"/>
              </w:rPr>
            </w:pPr>
            <w:r>
              <w:rPr>
                <w:rFonts w:ascii="Times New Roman" w:hAnsi="Times New Roman"/>
                <w:color w:val="000000"/>
              </w:rPr>
              <w:t>石油类</w:t>
            </w:r>
          </w:p>
        </w:tc>
        <w:tc>
          <w:tcPr>
            <w:tcW w:w="879" w:type="pct"/>
            <w:vAlign w:val="center"/>
          </w:tcPr>
          <w:p>
            <w:pPr>
              <w:adjustRightInd w:val="0"/>
              <w:snapToGrid w:val="0"/>
              <w:jc w:val="center"/>
              <w:rPr>
                <w:rFonts w:ascii="Times New Roman" w:hAnsi="Times New Roman"/>
                <w:color w:val="000000"/>
              </w:rPr>
            </w:pPr>
            <w:r>
              <w:rPr>
                <w:rFonts w:ascii="Times New Roman" w:hAnsi="Times New Roman"/>
                <w:color w:val="000000"/>
              </w:rPr>
              <w:t>≤0.05mg/L</w:t>
            </w:r>
          </w:p>
        </w:tc>
        <w:tc>
          <w:tcPr>
            <w:tcW w:w="738"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1.00</w:t>
            </w:r>
          </w:p>
        </w:tc>
        <w:tc>
          <w:tcPr>
            <w:tcW w:w="738" w:type="pct"/>
            <w:shd w:val="clear" w:color="auto" w:fill="auto"/>
            <w:vAlign w:val="center"/>
          </w:tcPr>
          <w:p>
            <w:pPr>
              <w:adjustRightInd w:val="0"/>
              <w:snapToGrid w:val="0"/>
              <w:jc w:val="center"/>
              <w:rPr>
                <w:rFonts w:ascii="Times New Roman" w:hAnsi="Times New Roman"/>
              </w:rPr>
            </w:pPr>
            <w:r>
              <w:rPr>
                <w:rFonts w:ascii="Times New Roman" w:hAnsi="Times New Roman"/>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7" w:type="pct"/>
            <w:vMerge w:val="continue"/>
            <w:vAlign w:val="center"/>
          </w:tcPr>
          <w:p>
            <w:pPr>
              <w:pStyle w:val="7"/>
              <w:adjustRightInd w:val="0"/>
              <w:snapToGrid w:val="0"/>
              <w:spacing w:after="0"/>
              <w:jc w:val="center"/>
              <w:rPr>
                <w:rFonts w:ascii="Times New Roman" w:hAnsi="Times New Roman"/>
                <w:color w:val="000000"/>
              </w:rPr>
            </w:pPr>
          </w:p>
        </w:tc>
        <w:tc>
          <w:tcPr>
            <w:tcW w:w="1827" w:type="pct"/>
            <w:vAlign w:val="center"/>
          </w:tcPr>
          <w:p>
            <w:pPr>
              <w:adjustRightInd w:val="0"/>
              <w:snapToGrid w:val="0"/>
              <w:jc w:val="center"/>
              <w:rPr>
                <w:rFonts w:ascii="Times New Roman" w:hAnsi="Times New Roman"/>
                <w:color w:val="000000"/>
              </w:rPr>
            </w:pPr>
            <w:r>
              <w:rPr>
                <w:rFonts w:ascii="Times New Roman" w:hAnsi="Times New Roman"/>
                <w:color w:val="000000"/>
              </w:rPr>
              <w:t>硫化物</w:t>
            </w:r>
          </w:p>
        </w:tc>
        <w:tc>
          <w:tcPr>
            <w:tcW w:w="879" w:type="pct"/>
            <w:vAlign w:val="center"/>
          </w:tcPr>
          <w:p>
            <w:pPr>
              <w:adjustRightInd w:val="0"/>
              <w:snapToGrid w:val="0"/>
              <w:jc w:val="center"/>
              <w:rPr>
                <w:rFonts w:ascii="Times New Roman" w:hAnsi="Times New Roman"/>
                <w:color w:val="000000"/>
              </w:rPr>
            </w:pPr>
            <w:r>
              <w:rPr>
                <w:rFonts w:ascii="Times New Roman" w:hAnsi="Times New Roman"/>
                <w:color w:val="000000"/>
              </w:rPr>
              <w:t>≤0.2mg/L</w:t>
            </w:r>
          </w:p>
        </w:tc>
        <w:tc>
          <w:tcPr>
            <w:tcW w:w="738" w:type="pct"/>
            <w:vAlign w:val="center"/>
          </w:tcPr>
          <w:p>
            <w:pPr>
              <w:widowControl/>
              <w:adjustRightInd w:val="0"/>
              <w:snapToGrid w:val="0"/>
              <w:jc w:val="center"/>
              <w:textAlignment w:val="center"/>
              <w:rPr>
                <w:rFonts w:ascii="Times New Roman" w:hAnsi="Times New Roman"/>
                <w:color w:val="000000"/>
              </w:rPr>
            </w:pPr>
            <w:r>
              <w:rPr>
                <w:rFonts w:ascii="Times New Roman" w:hAnsi="Times New Roman"/>
                <w:color w:val="000000"/>
                <w:kern w:val="0"/>
              </w:rPr>
              <w:t>/</w:t>
            </w:r>
          </w:p>
        </w:tc>
        <w:tc>
          <w:tcPr>
            <w:tcW w:w="738" w:type="pct"/>
            <w:vAlign w:val="center"/>
          </w:tcPr>
          <w:p>
            <w:pPr>
              <w:adjustRightInd w:val="0"/>
              <w:snapToGrid w:val="0"/>
              <w:jc w:val="center"/>
              <w:rPr>
                <w:rFonts w:ascii="Times New Roman" w:hAnsi="Times New Roman"/>
              </w:rPr>
            </w:pPr>
            <w:r>
              <w:rPr>
                <w:rFonts w:ascii="Times New Roman" w:hAnsi="Times New Roman"/>
                <w:color w:val="000000"/>
              </w:rPr>
              <w:t>达标</w:t>
            </w:r>
          </w:p>
        </w:tc>
      </w:tr>
    </w:tbl>
    <w:p>
      <w:pPr>
        <w:adjustRightInd w:val="0"/>
        <w:snapToGrid w:val="0"/>
        <w:spacing w:line="360" w:lineRule="auto"/>
        <w:ind w:firstLine="480" w:firstLineChars="200"/>
        <w:rPr>
          <w:rFonts w:ascii="Times New Roman" w:hAnsi="Times New Roman" w:eastAsiaTheme="minorEastAsia"/>
          <w:sz w:val="24"/>
          <w:szCs w:val="24"/>
        </w:rPr>
      </w:pP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3、现状评价结果</w:t>
      </w:r>
    </w:p>
    <w:p>
      <w:pPr>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sz w:val="24"/>
          <w:szCs w:val="24"/>
        </w:rPr>
        <w:t>由评价结果可知，</w:t>
      </w:r>
      <w:r>
        <w:rPr>
          <w:rFonts w:ascii="Times New Roman" w:hAnsi="Times New Roman" w:eastAsiaTheme="minorEastAsia"/>
          <w:kern w:val="0"/>
          <w:sz w:val="24"/>
          <w:szCs w:val="24"/>
        </w:rPr>
        <w:t>各监测断面中各监测因子指标均能</w:t>
      </w:r>
      <w:r>
        <w:rPr>
          <w:rFonts w:ascii="Times New Roman" w:hAnsi="Times New Roman" w:eastAsiaTheme="minorEastAsia"/>
          <w:sz w:val="24"/>
          <w:szCs w:val="24"/>
        </w:rPr>
        <w:t>满足《地表水环境质量标准》（GB3838-2002）</w:t>
      </w:r>
      <w:r>
        <w:rPr>
          <w:rFonts w:hint="eastAsia" w:ascii="宋体" w:hAnsi="宋体" w:cs="宋体"/>
          <w:sz w:val="24"/>
          <w:szCs w:val="24"/>
        </w:rPr>
        <w:t>Ⅲ</w:t>
      </w:r>
      <w:r>
        <w:rPr>
          <w:rFonts w:ascii="Times New Roman" w:hAnsi="Times New Roman" w:eastAsiaTheme="minorEastAsia"/>
          <w:sz w:val="24"/>
          <w:szCs w:val="24"/>
        </w:rPr>
        <w:t>类水质及《地表水资源质量标准》（SL63-94）的三级标准水质的控制要求，</w:t>
      </w:r>
      <w:r>
        <w:rPr>
          <w:rFonts w:ascii="Times New Roman" w:hAnsi="Times New Roman" w:eastAsiaTheme="minorEastAsia"/>
          <w:kern w:val="0"/>
          <w:sz w:val="24"/>
          <w:szCs w:val="24"/>
        </w:rPr>
        <w:t>说明项目所在区域地表水环境较好。</w:t>
      </w:r>
    </w:p>
    <w:p>
      <w:pPr>
        <w:pStyle w:val="3"/>
        <w:rPr>
          <w:rFonts w:ascii="Times New Roman" w:hAnsi="Times New Roman" w:eastAsiaTheme="minorEastAsia"/>
          <w:b/>
        </w:rPr>
      </w:pPr>
      <w:bookmarkStart w:id="77" w:name="_Toc11861"/>
      <w:bookmarkStart w:id="78" w:name="_Toc25590407"/>
      <w:r>
        <w:rPr>
          <w:rFonts w:ascii="Times New Roman" w:hAnsi="Times New Roman" w:eastAsiaTheme="minorEastAsia"/>
          <w:b/>
        </w:rPr>
        <w:t>河流底泥现状监测及评价</w:t>
      </w:r>
      <w:bookmarkEnd w:id="77"/>
      <w:bookmarkEnd w:id="78"/>
    </w:p>
    <w:p>
      <w:pPr>
        <w:pStyle w:val="129"/>
        <w:adjustRightInd w:val="0"/>
        <w:snapToGrid w:val="0"/>
        <w:spacing w:line="360" w:lineRule="auto"/>
        <w:ind w:firstLine="480"/>
        <w:rPr>
          <w:rFonts w:eastAsiaTheme="minorEastAsia"/>
        </w:rPr>
      </w:pPr>
      <w:r>
        <w:rPr>
          <w:rFonts w:eastAsiaTheme="minorEastAsia"/>
        </w:rPr>
        <w:t>本次评价委托长沙环院检测技术有限公司于2019年8月8日期间针对码头拟建处底泥环境进行了环境现状监测。</w:t>
      </w:r>
    </w:p>
    <w:p>
      <w:pPr>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1、监测布点</w:t>
      </w:r>
    </w:p>
    <w:p>
      <w:pPr>
        <w:pStyle w:val="129"/>
        <w:adjustRightInd w:val="0"/>
        <w:snapToGrid w:val="0"/>
        <w:spacing w:line="360" w:lineRule="auto"/>
        <w:ind w:firstLine="480"/>
        <w:rPr>
          <w:rFonts w:eastAsiaTheme="minorEastAsia"/>
        </w:rPr>
      </w:pPr>
      <w:r>
        <w:rPr>
          <w:rFonts w:eastAsiaTheme="minorEastAsia"/>
        </w:rPr>
        <w:t>在长江上布设1个监测点位。具体位置见附图2。</w:t>
      </w:r>
    </w:p>
    <w:p>
      <w:pPr>
        <w:pStyle w:val="129"/>
        <w:adjustRightInd w:val="0"/>
        <w:snapToGrid w:val="0"/>
        <w:spacing w:line="360" w:lineRule="auto"/>
        <w:ind w:firstLine="480"/>
        <w:rPr>
          <w:rFonts w:eastAsiaTheme="minorEastAsia"/>
        </w:rPr>
      </w:pPr>
    </w:p>
    <w:p>
      <w:pPr>
        <w:pStyle w:val="129"/>
        <w:adjustRightInd w:val="0"/>
        <w:snapToGrid w:val="0"/>
        <w:spacing w:line="360" w:lineRule="auto"/>
        <w:ind w:firstLine="480"/>
        <w:rPr>
          <w:rFonts w:eastAsiaTheme="minorEastAsia"/>
        </w:rPr>
      </w:pP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表4.5-1  底泥监测断面一览表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328"/>
        <w:gridCol w:w="1409"/>
        <w:gridCol w:w="2133"/>
        <w:gridCol w:w="42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730" w:type="pct"/>
            <w:vAlign w:val="center"/>
          </w:tcPr>
          <w:p>
            <w:pPr>
              <w:pStyle w:val="6"/>
              <w:tabs>
                <w:tab w:val="left" w:pos="1021"/>
              </w:tabs>
              <w:spacing w:line="240" w:lineRule="auto"/>
              <w:ind w:firstLine="0" w:firstLineChars="0"/>
              <w:jc w:val="center"/>
              <w:rPr>
                <w:rFonts w:cs="Times New Roman" w:eastAsiaTheme="minorEastAsia"/>
                <w:b/>
                <w:sz w:val="21"/>
                <w:szCs w:val="21"/>
              </w:rPr>
            </w:pPr>
            <w:r>
              <w:rPr>
                <w:rFonts w:cs="Times New Roman" w:eastAsiaTheme="minorEastAsia"/>
                <w:b/>
                <w:sz w:val="21"/>
                <w:szCs w:val="21"/>
              </w:rPr>
              <w:t>序号</w:t>
            </w:r>
          </w:p>
        </w:tc>
        <w:tc>
          <w:tcPr>
            <w:tcW w:w="774" w:type="pct"/>
            <w:vAlign w:val="center"/>
          </w:tcPr>
          <w:p>
            <w:pPr>
              <w:pStyle w:val="6"/>
              <w:tabs>
                <w:tab w:val="left" w:pos="1021"/>
              </w:tabs>
              <w:spacing w:line="240" w:lineRule="auto"/>
              <w:ind w:firstLine="0" w:firstLineChars="0"/>
              <w:jc w:val="center"/>
              <w:rPr>
                <w:rFonts w:cs="Times New Roman" w:eastAsiaTheme="minorEastAsia"/>
                <w:b/>
                <w:sz w:val="21"/>
                <w:szCs w:val="21"/>
              </w:rPr>
            </w:pPr>
            <w:r>
              <w:rPr>
                <w:rFonts w:cs="Times New Roman" w:eastAsiaTheme="minorEastAsia"/>
                <w:b/>
                <w:sz w:val="21"/>
                <w:szCs w:val="21"/>
              </w:rPr>
              <w:t>地表水体</w:t>
            </w:r>
          </w:p>
        </w:tc>
        <w:tc>
          <w:tcPr>
            <w:tcW w:w="1172" w:type="pct"/>
            <w:vAlign w:val="center"/>
          </w:tcPr>
          <w:p>
            <w:pPr>
              <w:pStyle w:val="6"/>
              <w:tabs>
                <w:tab w:val="left" w:pos="1021"/>
              </w:tabs>
              <w:spacing w:line="240" w:lineRule="auto"/>
              <w:ind w:firstLine="0" w:firstLineChars="0"/>
              <w:jc w:val="center"/>
              <w:rPr>
                <w:rFonts w:cs="Times New Roman" w:eastAsiaTheme="minorEastAsia"/>
                <w:b/>
                <w:sz w:val="21"/>
                <w:szCs w:val="21"/>
              </w:rPr>
            </w:pPr>
            <w:r>
              <w:rPr>
                <w:rFonts w:cs="Times New Roman" w:eastAsiaTheme="minorEastAsia"/>
                <w:b/>
                <w:sz w:val="21"/>
                <w:szCs w:val="21"/>
              </w:rPr>
              <w:t>监测位置</w:t>
            </w:r>
          </w:p>
        </w:tc>
        <w:tc>
          <w:tcPr>
            <w:tcW w:w="2324" w:type="pct"/>
            <w:vAlign w:val="center"/>
          </w:tcPr>
          <w:p>
            <w:pPr>
              <w:pStyle w:val="6"/>
              <w:tabs>
                <w:tab w:val="left" w:pos="1021"/>
              </w:tabs>
              <w:spacing w:line="240" w:lineRule="auto"/>
              <w:ind w:firstLine="0" w:firstLineChars="0"/>
              <w:jc w:val="center"/>
              <w:rPr>
                <w:rFonts w:cs="Times New Roman" w:eastAsiaTheme="minorEastAsia"/>
                <w:b/>
                <w:sz w:val="21"/>
                <w:szCs w:val="21"/>
              </w:rPr>
            </w:pPr>
            <w:r>
              <w:rPr>
                <w:rFonts w:cs="Times New Roman" w:eastAsiaTheme="minorEastAsia"/>
                <w:b/>
                <w:sz w:val="21"/>
                <w:szCs w:val="21"/>
              </w:rPr>
              <w:t>经纬度坐标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730" w:type="pct"/>
            <w:vAlign w:val="center"/>
          </w:tcPr>
          <w:p>
            <w:pPr>
              <w:pStyle w:val="6"/>
              <w:tabs>
                <w:tab w:val="left" w:pos="1021"/>
              </w:tabs>
              <w:spacing w:line="240" w:lineRule="auto"/>
              <w:ind w:firstLine="0" w:firstLineChars="0"/>
              <w:jc w:val="center"/>
              <w:rPr>
                <w:rFonts w:cs="Times New Roman" w:eastAsiaTheme="minorEastAsia"/>
                <w:sz w:val="21"/>
                <w:szCs w:val="21"/>
              </w:rPr>
            </w:pPr>
            <w:r>
              <w:rPr>
                <w:rFonts w:cs="Times New Roman" w:eastAsiaTheme="minorEastAsia"/>
                <w:sz w:val="21"/>
                <w:szCs w:val="21"/>
              </w:rPr>
              <w:t>D1</w:t>
            </w:r>
          </w:p>
        </w:tc>
        <w:tc>
          <w:tcPr>
            <w:tcW w:w="774" w:type="pct"/>
            <w:vAlign w:val="center"/>
          </w:tcPr>
          <w:p>
            <w:pPr>
              <w:pStyle w:val="6"/>
              <w:tabs>
                <w:tab w:val="left" w:pos="1021"/>
              </w:tabs>
              <w:spacing w:line="240" w:lineRule="auto"/>
              <w:ind w:firstLine="0" w:firstLineChars="0"/>
              <w:jc w:val="center"/>
              <w:rPr>
                <w:rFonts w:cs="Times New Roman" w:eastAsiaTheme="minorEastAsia"/>
                <w:sz w:val="21"/>
                <w:szCs w:val="21"/>
              </w:rPr>
            </w:pPr>
            <w:r>
              <w:rPr>
                <w:rFonts w:cs="Times New Roman" w:eastAsiaTheme="minorEastAsia"/>
                <w:sz w:val="21"/>
                <w:szCs w:val="21"/>
              </w:rPr>
              <w:t>长江</w:t>
            </w:r>
          </w:p>
        </w:tc>
        <w:tc>
          <w:tcPr>
            <w:tcW w:w="1172" w:type="pct"/>
            <w:vAlign w:val="center"/>
          </w:tcPr>
          <w:p>
            <w:pPr>
              <w:pStyle w:val="6"/>
              <w:tabs>
                <w:tab w:val="left" w:pos="1021"/>
              </w:tabs>
              <w:spacing w:line="240" w:lineRule="auto"/>
              <w:ind w:firstLine="0" w:firstLineChars="0"/>
              <w:jc w:val="center"/>
              <w:rPr>
                <w:rFonts w:cs="Times New Roman" w:eastAsiaTheme="minorEastAsia"/>
                <w:sz w:val="21"/>
                <w:szCs w:val="21"/>
              </w:rPr>
            </w:pPr>
            <w:r>
              <w:rPr>
                <w:rFonts w:cs="Times New Roman" w:eastAsiaTheme="minorEastAsia"/>
                <w:sz w:val="21"/>
                <w:szCs w:val="21"/>
              </w:rPr>
              <w:t>2#码头处</w:t>
            </w:r>
          </w:p>
        </w:tc>
        <w:tc>
          <w:tcPr>
            <w:tcW w:w="2324" w:type="pc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color w:val="000000"/>
                <w:kern w:val="0"/>
                <w:lang w:bidi="ar"/>
              </w:rPr>
              <w:t>E: 113°10'15.37"，N: 29°27'52.15"</w:t>
            </w:r>
          </w:p>
        </w:tc>
      </w:tr>
    </w:tbl>
    <w:p>
      <w:pPr>
        <w:snapToGrid w:val="0"/>
        <w:spacing w:line="360" w:lineRule="auto"/>
        <w:ind w:firstLine="480" w:firstLineChars="200"/>
        <w:rPr>
          <w:rFonts w:ascii="Times New Roman" w:hAnsi="Times New Roman" w:eastAsiaTheme="minorEastAsia"/>
          <w:sz w:val="24"/>
          <w:szCs w:val="24"/>
        </w:rPr>
      </w:pPr>
    </w:p>
    <w:p>
      <w:pPr>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2、监测因子</w:t>
      </w:r>
    </w:p>
    <w:p>
      <w:pPr>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pH、铜、锌、铅、镉、铬、砷、汞共8项指标。</w:t>
      </w:r>
    </w:p>
    <w:p>
      <w:pPr>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3、监测单位</w:t>
      </w:r>
    </w:p>
    <w:p>
      <w:pPr>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长沙环院检测技术有限公司</w:t>
      </w:r>
    </w:p>
    <w:p>
      <w:pPr>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4、监测时间与频次</w:t>
      </w:r>
    </w:p>
    <w:p>
      <w:pPr>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2019年10月28日进行一次取样。</w:t>
      </w:r>
    </w:p>
    <w:p>
      <w:pPr>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5、采样和分析方法</w:t>
      </w:r>
    </w:p>
    <w:p>
      <w:pPr>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采样分析方法：按照国家环保总局颁布的《环境监测技术规范》和《环境监测分析方法》有关规定执行。</w:t>
      </w:r>
    </w:p>
    <w:p>
      <w:pPr>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6、监测结果评价</w:t>
      </w:r>
    </w:p>
    <w:p>
      <w:pPr>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河流底泥现状监测结果见表4.5-2。</w:t>
      </w:r>
    </w:p>
    <w:p>
      <w:pPr>
        <w:pStyle w:val="172"/>
        <w:rPr>
          <w:rFonts w:eastAsiaTheme="minorEastAsia"/>
        </w:rPr>
      </w:pPr>
      <w:r>
        <w:rPr>
          <w:rFonts w:eastAsiaTheme="minorEastAsia"/>
        </w:rPr>
        <w:t>表4.5-2  河流底泥现状监测结果一览表</w:t>
      </w:r>
    </w:p>
    <w:tbl>
      <w:tblPr>
        <w:tblStyle w:val="71"/>
        <w:tblW w:w="904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808"/>
        <w:gridCol w:w="2146"/>
        <w:gridCol w:w="1470"/>
        <w:gridCol w:w="1808"/>
        <w:gridCol w:w="18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08" w:type="dxa"/>
            <w:vAlign w:val="center"/>
          </w:tcPr>
          <w:p>
            <w:pPr>
              <w:widowControl/>
              <w:adjustRightInd w:val="0"/>
              <w:snapToGrid w:val="0"/>
              <w:jc w:val="center"/>
              <w:rPr>
                <w:rFonts w:ascii="Times New Roman" w:hAnsi="Times New Roman" w:eastAsiaTheme="minorEastAsia"/>
                <w:b/>
                <w:bCs/>
              </w:rPr>
            </w:pPr>
            <w:r>
              <w:rPr>
                <w:rFonts w:ascii="Times New Roman" w:hAnsi="Times New Roman" w:eastAsiaTheme="minorEastAsia"/>
                <w:b/>
                <w:bCs/>
              </w:rPr>
              <w:t>监测点位</w:t>
            </w:r>
          </w:p>
        </w:tc>
        <w:tc>
          <w:tcPr>
            <w:tcW w:w="2146" w:type="dxa"/>
            <w:vAlign w:val="center"/>
          </w:tcPr>
          <w:p>
            <w:pPr>
              <w:widowControl/>
              <w:adjustRightInd w:val="0"/>
              <w:snapToGrid w:val="0"/>
              <w:jc w:val="center"/>
              <w:rPr>
                <w:rFonts w:ascii="Times New Roman" w:hAnsi="Times New Roman" w:eastAsiaTheme="minorEastAsia"/>
                <w:b/>
                <w:bCs/>
              </w:rPr>
            </w:pPr>
            <w:r>
              <w:rPr>
                <w:rFonts w:ascii="Times New Roman" w:hAnsi="Times New Roman" w:eastAsiaTheme="minorEastAsia"/>
                <w:b/>
                <w:bCs/>
              </w:rPr>
              <w:t>监测项目</w:t>
            </w:r>
          </w:p>
        </w:tc>
        <w:tc>
          <w:tcPr>
            <w:tcW w:w="1470" w:type="dxa"/>
            <w:vAlign w:val="center"/>
          </w:tcPr>
          <w:p>
            <w:pPr>
              <w:adjustRightInd w:val="0"/>
              <w:snapToGrid w:val="0"/>
              <w:jc w:val="center"/>
              <w:rPr>
                <w:rFonts w:ascii="Times New Roman" w:hAnsi="Times New Roman" w:eastAsiaTheme="minorEastAsia"/>
                <w:b/>
                <w:bCs/>
              </w:rPr>
            </w:pPr>
            <w:r>
              <w:rPr>
                <w:rFonts w:ascii="Times New Roman" w:hAnsi="Times New Roman" w:eastAsiaTheme="minorEastAsia"/>
                <w:b/>
                <w:bCs/>
              </w:rPr>
              <w:t>标准值（mg/kg）</w:t>
            </w:r>
          </w:p>
        </w:tc>
        <w:tc>
          <w:tcPr>
            <w:tcW w:w="1808" w:type="dxa"/>
            <w:vAlign w:val="center"/>
          </w:tcPr>
          <w:p>
            <w:pPr>
              <w:adjustRightInd w:val="0"/>
              <w:snapToGrid w:val="0"/>
              <w:jc w:val="center"/>
              <w:rPr>
                <w:rFonts w:ascii="Times New Roman" w:hAnsi="Times New Roman" w:eastAsiaTheme="minorEastAsia"/>
                <w:b/>
                <w:bCs/>
              </w:rPr>
            </w:pPr>
            <w:r>
              <w:rPr>
                <w:rFonts w:ascii="Times New Roman" w:hAnsi="Times New Roman" w:eastAsiaTheme="minorEastAsia"/>
                <w:b/>
                <w:bCs/>
              </w:rPr>
              <w:t>监测结果</w:t>
            </w:r>
          </w:p>
        </w:tc>
        <w:tc>
          <w:tcPr>
            <w:tcW w:w="1808" w:type="dxa"/>
            <w:vAlign w:val="center"/>
          </w:tcPr>
          <w:p>
            <w:pPr>
              <w:adjustRightInd w:val="0"/>
              <w:snapToGrid w:val="0"/>
              <w:jc w:val="center"/>
              <w:rPr>
                <w:rFonts w:ascii="Times New Roman" w:hAnsi="Times New Roman" w:eastAsiaTheme="minorEastAsia"/>
                <w:b/>
                <w:bCs/>
              </w:rPr>
            </w:pPr>
            <w:r>
              <w:rPr>
                <w:rFonts w:ascii="Times New Roman" w:hAnsi="Times New Roman" w:eastAsiaTheme="minorEastAsia"/>
                <w:b/>
                <w:bCs/>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08" w:type="dxa"/>
            <w:vMerge w:val="restart"/>
            <w:vAlign w:val="center"/>
          </w:tcPr>
          <w:p>
            <w:pPr>
              <w:widowControl/>
              <w:adjustRightInd w:val="0"/>
              <w:snapToGrid w:val="0"/>
              <w:jc w:val="center"/>
              <w:rPr>
                <w:rFonts w:ascii="Times New Roman" w:hAnsi="Times New Roman" w:eastAsiaTheme="minorEastAsia"/>
              </w:rPr>
            </w:pPr>
            <w:r>
              <w:rPr>
                <w:rFonts w:ascii="Times New Roman" w:hAnsi="Times New Roman" w:eastAsiaTheme="minorEastAsia"/>
              </w:rPr>
              <w:t>D1 2#码头处</w:t>
            </w:r>
          </w:p>
        </w:tc>
        <w:tc>
          <w:tcPr>
            <w:tcW w:w="2146"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bCs/>
              </w:rPr>
              <w:t>pH值（无量纲）</w:t>
            </w:r>
          </w:p>
        </w:tc>
        <w:tc>
          <w:tcPr>
            <w:tcW w:w="1470"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6.5＜pH≤7.5</w:t>
            </w:r>
          </w:p>
        </w:tc>
        <w:tc>
          <w:tcPr>
            <w:tcW w:w="1808" w:type="dxa"/>
            <w:vAlign w:val="center"/>
          </w:tcPr>
          <w:p>
            <w:pPr>
              <w:widowControl/>
              <w:adjustRightInd w:val="0"/>
              <w:snapToGrid w:val="0"/>
              <w:jc w:val="center"/>
              <w:textAlignment w:val="center"/>
              <w:rPr>
                <w:rFonts w:ascii="Times New Roman" w:hAnsi="Times New Roman" w:eastAsiaTheme="minorEastAsia"/>
                <w:bCs/>
              </w:rPr>
            </w:pPr>
            <w:r>
              <w:rPr>
                <w:rFonts w:ascii="Times New Roman" w:hAnsi="Times New Roman"/>
                <w:color w:val="000000"/>
                <w:kern w:val="0"/>
                <w:lang w:bidi="ar"/>
              </w:rPr>
              <w:t>7.45</w:t>
            </w:r>
          </w:p>
        </w:tc>
        <w:tc>
          <w:tcPr>
            <w:tcW w:w="1808"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08" w:type="dxa"/>
            <w:vMerge w:val="continue"/>
            <w:vAlign w:val="center"/>
          </w:tcPr>
          <w:p>
            <w:pPr>
              <w:widowControl/>
              <w:adjustRightInd w:val="0"/>
              <w:snapToGrid w:val="0"/>
              <w:jc w:val="center"/>
              <w:rPr>
                <w:rFonts w:ascii="Times New Roman" w:hAnsi="Times New Roman" w:eastAsiaTheme="minorEastAsia"/>
              </w:rPr>
            </w:pPr>
          </w:p>
        </w:tc>
        <w:tc>
          <w:tcPr>
            <w:tcW w:w="2146" w:type="dxa"/>
            <w:vAlign w:val="center"/>
          </w:tcPr>
          <w:p>
            <w:pPr>
              <w:widowControl/>
              <w:adjustRightInd w:val="0"/>
              <w:snapToGrid w:val="0"/>
              <w:jc w:val="center"/>
              <w:textAlignment w:val="center"/>
              <w:rPr>
                <w:rFonts w:ascii="Times New Roman" w:hAnsi="Times New Roman" w:eastAsiaTheme="minorEastAsia"/>
                <w:bCs/>
              </w:rPr>
            </w:pPr>
            <w:r>
              <w:rPr>
                <w:rFonts w:ascii="Times New Roman" w:hAnsi="Times New Roman"/>
                <w:color w:val="000000"/>
                <w:kern w:val="0"/>
                <w:lang w:bidi="ar"/>
              </w:rPr>
              <w:t>铜</w:t>
            </w:r>
          </w:p>
        </w:tc>
        <w:tc>
          <w:tcPr>
            <w:tcW w:w="1470"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bCs/>
              </w:rPr>
              <w:t>≤18000</w:t>
            </w:r>
          </w:p>
        </w:tc>
        <w:tc>
          <w:tcPr>
            <w:tcW w:w="1808" w:type="dxa"/>
            <w:vAlign w:val="center"/>
          </w:tcPr>
          <w:p>
            <w:pPr>
              <w:widowControl/>
              <w:adjustRightInd w:val="0"/>
              <w:snapToGrid w:val="0"/>
              <w:jc w:val="center"/>
              <w:textAlignment w:val="center"/>
              <w:rPr>
                <w:rFonts w:ascii="Times New Roman" w:hAnsi="Times New Roman" w:eastAsiaTheme="minorEastAsia"/>
                <w:bCs/>
              </w:rPr>
            </w:pPr>
            <w:r>
              <w:rPr>
                <w:rFonts w:ascii="Times New Roman" w:hAnsi="Times New Roman"/>
                <w:color w:val="000000"/>
                <w:kern w:val="0"/>
                <w:lang w:bidi="ar"/>
              </w:rPr>
              <w:t>23.57</w:t>
            </w:r>
          </w:p>
        </w:tc>
        <w:tc>
          <w:tcPr>
            <w:tcW w:w="1808"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08" w:type="dxa"/>
            <w:vMerge w:val="continue"/>
            <w:vAlign w:val="center"/>
          </w:tcPr>
          <w:p>
            <w:pPr>
              <w:widowControl/>
              <w:adjustRightInd w:val="0"/>
              <w:snapToGrid w:val="0"/>
              <w:jc w:val="center"/>
              <w:rPr>
                <w:rFonts w:ascii="Times New Roman" w:hAnsi="Times New Roman" w:eastAsiaTheme="minorEastAsia"/>
              </w:rPr>
            </w:pPr>
          </w:p>
        </w:tc>
        <w:tc>
          <w:tcPr>
            <w:tcW w:w="2146" w:type="dxa"/>
            <w:vAlign w:val="center"/>
          </w:tcPr>
          <w:p>
            <w:pPr>
              <w:widowControl/>
              <w:adjustRightInd w:val="0"/>
              <w:snapToGrid w:val="0"/>
              <w:jc w:val="center"/>
              <w:textAlignment w:val="center"/>
              <w:rPr>
                <w:rFonts w:ascii="Times New Roman" w:hAnsi="Times New Roman" w:eastAsiaTheme="minorEastAsia"/>
                <w:bCs/>
              </w:rPr>
            </w:pPr>
            <w:r>
              <w:rPr>
                <w:rFonts w:ascii="Times New Roman" w:hAnsi="Times New Roman"/>
                <w:color w:val="000000"/>
                <w:kern w:val="0"/>
                <w:lang w:bidi="ar"/>
              </w:rPr>
              <w:t>铅</w:t>
            </w:r>
          </w:p>
        </w:tc>
        <w:tc>
          <w:tcPr>
            <w:tcW w:w="1470"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bCs/>
              </w:rPr>
              <w:t>≤800</w:t>
            </w:r>
          </w:p>
        </w:tc>
        <w:tc>
          <w:tcPr>
            <w:tcW w:w="1808" w:type="dxa"/>
            <w:vAlign w:val="center"/>
          </w:tcPr>
          <w:p>
            <w:pPr>
              <w:widowControl/>
              <w:adjustRightInd w:val="0"/>
              <w:snapToGrid w:val="0"/>
              <w:jc w:val="center"/>
              <w:textAlignment w:val="center"/>
              <w:rPr>
                <w:rFonts w:ascii="Times New Roman" w:hAnsi="Times New Roman" w:eastAsiaTheme="minorEastAsia"/>
                <w:bCs/>
              </w:rPr>
            </w:pPr>
            <w:r>
              <w:rPr>
                <w:rFonts w:ascii="Times New Roman" w:hAnsi="Times New Roman"/>
                <w:color w:val="000000"/>
                <w:kern w:val="0"/>
                <w:lang w:bidi="ar"/>
              </w:rPr>
              <w:t>29.46</w:t>
            </w:r>
          </w:p>
        </w:tc>
        <w:tc>
          <w:tcPr>
            <w:tcW w:w="1808"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08" w:type="dxa"/>
            <w:vMerge w:val="continue"/>
            <w:vAlign w:val="center"/>
          </w:tcPr>
          <w:p>
            <w:pPr>
              <w:widowControl/>
              <w:adjustRightInd w:val="0"/>
              <w:snapToGrid w:val="0"/>
              <w:jc w:val="center"/>
              <w:rPr>
                <w:rFonts w:ascii="Times New Roman" w:hAnsi="Times New Roman" w:eastAsiaTheme="minorEastAsia"/>
              </w:rPr>
            </w:pPr>
          </w:p>
        </w:tc>
        <w:tc>
          <w:tcPr>
            <w:tcW w:w="2146" w:type="dxa"/>
            <w:vAlign w:val="center"/>
          </w:tcPr>
          <w:p>
            <w:pPr>
              <w:widowControl/>
              <w:adjustRightInd w:val="0"/>
              <w:snapToGrid w:val="0"/>
              <w:jc w:val="center"/>
              <w:textAlignment w:val="center"/>
              <w:rPr>
                <w:rFonts w:ascii="Times New Roman" w:hAnsi="Times New Roman" w:eastAsiaTheme="minorEastAsia"/>
                <w:bCs/>
              </w:rPr>
            </w:pPr>
            <w:r>
              <w:rPr>
                <w:rFonts w:ascii="Times New Roman" w:hAnsi="Times New Roman"/>
                <w:color w:val="000000"/>
                <w:kern w:val="0"/>
                <w:lang w:bidi="ar"/>
              </w:rPr>
              <w:t>锌</w:t>
            </w:r>
          </w:p>
        </w:tc>
        <w:tc>
          <w:tcPr>
            <w:tcW w:w="1470"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bCs/>
              </w:rPr>
              <w:t>≤250</w:t>
            </w:r>
          </w:p>
        </w:tc>
        <w:tc>
          <w:tcPr>
            <w:tcW w:w="1808" w:type="dxa"/>
            <w:vAlign w:val="center"/>
          </w:tcPr>
          <w:p>
            <w:pPr>
              <w:widowControl/>
              <w:adjustRightInd w:val="0"/>
              <w:snapToGrid w:val="0"/>
              <w:jc w:val="center"/>
              <w:textAlignment w:val="center"/>
              <w:rPr>
                <w:rFonts w:ascii="Times New Roman" w:hAnsi="Times New Roman" w:eastAsiaTheme="minorEastAsia"/>
                <w:bCs/>
              </w:rPr>
            </w:pPr>
            <w:r>
              <w:rPr>
                <w:rFonts w:ascii="Times New Roman" w:hAnsi="Times New Roman"/>
                <w:color w:val="000000"/>
                <w:kern w:val="0"/>
                <w:lang w:bidi="ar"/>
              </w:rPr>
              <w:t>115.48</w:t>
            </w:r>
          </w:p>
        </w:tc>
        <w:tc>
          <w:tcPr>
            <w:tcW w:w="1808"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08" w:type="dxa"/>
            <w:vMerge w:val="continue"/>
            <w:vAlign w:val="center"/>
          </w:tcPr>
          <w:p>
            <w:pPr>
              <w:widowControl/>
              <w:adjustRightInd w:val="0"/>
              <w:snapToGrid w:val="0"/>
              <w:jc w:val="center"/>
              <w:rPr>
                <w:rFonts w:ascii="Times New Roman" w:hAnsi="Times New Roman" w:eastAsiaTheme="minorEastAsia"/>
              </w:rPr>
            </w:pPr>
          </w:p>
        </w:tc>
        <w:tc>
          <w:tcPr>
            <w:tcW w:w="2146" w:type="dxa"/>
            <w:vAlign w:val="center"/>
          </w:tcPr>
          <w:p>
            <w:pPr>
              <w:widowControl/>
              <w:adjustRightInd w:val="0"/>
              <w:snapToGrid w:val="0"/>
              <w:jc w:val="center"/>
              <w:textAlignment w:val="center"/>
              <w:rPr>
                <w:rFonts w:ascii="Times New Roman" w:hAnsi="Times New Roman" w:eastAsiaTheme="minorEastAsia"/>
                <w:bCs/>
              </w:rPr>
            </w:pPr>
            <w:r>
              <w:rPr>
                <w:rFonts w:ascii="Times New Roman" w:hAnsi="Times New Roman"/>
                <w:color w:val="000000"/>
                <w:kern w:val="0"/>
                <w:lang w:bidi="ar"/>
              </w:rPr>
              <w:t>镉</w:t>
            </w:r>
          </w:p>
        </w:tc>
        <w:tc>
          <w:tcPr>
            <w:tcW w:w="1470"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bCs/>
              </w:rPr>
              <w:t>≤65</w:t>
            </w:r>
          </w:p>
        </w:tc>
        <w:tc>
          <w:tcPr>
            <w:tcW w:w="1808" w:type="dxa"/>
            <w:vAlign w:val="center"/>
          </w:tcPr>
          <w:p>
            <w:pPr>
              <w:widowControl/>
              <w:adjustRightInd w:val="0"/>
              <w:snapToGrid w:val="0"/>
              <w:jc w:val="center"/>
              <w:textAlignment w:val="center"/>
              <w:rPr>
                <w:rFonts w:ascii="Times New Roman" w:hAnsi="Times New Roman" w:eastAsiaTheme="minorEastAsia"/>
                <w:bCs/>
              </w:rPr>
            </w:pPr>
            <w:r>
              <w:rPr>
                <w:rFonts w:ascii="Times New Roman" w:hAnsi="Times New Roman"/>
                <w:color w:val="000000"/>
                <w:kern w:val="0"/>
                <w:lang w:bidi="ar"/>
              </w:rPr>
              <w:t>1.18</w:t>
            </w:r>
          </w:p>
        </w:tc>
        <w:tc>
          <w:tcPr>
            <w:tcW w:w="1808"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08" w:type="dxa"/>
            <w:vMerge w:val="continue"/>
            <w:vAlign w:val="center"/>
          </w:tcPr>
          <w:p>
            <w:pPr>
              <w:widowControl/>
              <w:adjustRightInd w:val="0"/>
              <w:snapToGrid w:val="0"/>
              <w:jc w:val="center"/>
              <w:rPr>
                <w:rFonts w:ascii="Times New Roman" w:hAnsi="Times New Roman" w:eastAsiaTheme="minorEastAsia"/>
              </w:rPr>
            </w:pPr>
          </w:p>
        </w:tc>
        <w:tc>
          <w:tcPr>
            <w:tcW w:w="2146" w:type="dxa"/>
            <w:vAlign w:val="center"/>
          </w:tcPr>
          <w:p>
            <w:pPr>
              <w:widowControl/>
              <w:adjustRightInd w:val="0"/>
              <w:snapToGrid w:val="0"/>
              <w:jc w:val="center"/>
              <w:textAlignment w:val="center"/>
              <w:rPr>
                <w:rFonts w:ascii="Times New Roman" w:hAnsi="Times New Roman" w:eastAsiaTheme="minorEastAsia"/>
                <w:bCs/>
              </w:rPr>
            </w:pPr>
            <w:r>
              <w:rPr>
                <w:rFonts w:ascii="Times New Roman" w:hAnsi="Times New Roman"/>
                <w:color w:val="000000"/>
                <w:kern w:val="0"/>
                <w:lang w:bidi="ar"/>
              </w:rPr>
              <w:t>汞</w:t>
            </w:r>
          </w:p>
        </w:tc>
        <w:tc>
          <w:tcPr>
            <w:tcW w:w="1470"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bCs/>
              </w:rPr>
              <w:t>≤38</w:t>
            </w:r>
          </w:p>
        </w:tc>
        <w:tc>
          <w:tcPr>
            <w:tcW w:w="1808" w:type="dxa"/>
            <w:vAlign w:val="center"/>
          </w:tcPr>
          <w:p>
            <w:pPr>
              <w:widowControl/>
              <w:adjustRightInd w:val="0"/>
              <w:snapToGrid w:val="0"/>
              <w:jc w:val="center"/>
              <w:textAlignment w:val="center"/>
              <w:rPr>
                <w:rFonts w:ascii="Times New Roman" w:hAnsi="Times New Roman" w:eastAsiaTheme="minorEastAsia"/>
                <w:bCs/>
              </w:rPr>
            </w:pPr>
            <w:r>
              <w:rPr>
                <w:rFonts w:ascii="Times New Roman" w:hAnsi="Times New Roman"/>
                <w:color w:val="000000"/>
                <w:kern w:val="0"/>
                <w:lang w:bidi="ar"/>
              </w:rPr>
              <w:t>0.72</w:t>
            </w:r>
          </w:p>
        </w:tc>
        <w:tc>
          <w:tcPr>
            <w:tcW w:w="1808"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08" w:type="dxa"/>
            <w:vMerge w:val="continue"/>
            <w:vAlign w:val="center"/>
          </w:tcPr>
          <w:p>
            <w:pPr>
              <w:widowControl/>
              <w:adjustRightInd w:val="0"/>
              <w:snapToGrid w:val="0"/>
              <w:jc w:val="center"/>
              <w:rPr>
                <w:rFonts w:ascii="Times New Roman" w:hAnsi="Times New Roman" w:eastAsiaTheme="minorEastAsia"/>
              </w:rPr>
            </w:pPr>
          </w:p>
        </w:tc>
        <w:tc>
          <w:tcPr>
            <w:tcW w:w="2146" w:type="dxa"/>
            <w:vAlign w:val="center"/>
          </w:tcPr>
          <w:p>
            <w:pPr>
              <w:widowControl/>
              <w:adjustRightInd w:val="0"/>
              <w:snapToGrid w:val="0"/>
              <w:jc w:val="center"/>
              <w:textAlignment w:val="center"/>
              <w:rPr>
                <w:rFonts w:ascii="Times New Roman" w:hAnsi="Times New Roman" w:eastAsiaTheme="minorEastAsia"/>
                <w:bCs/>
              </w:rPr>
            </w:pPr>
            <w:r>
              <w:rPr>
                <w:rFonts w:ascii="Times New Roman" w:hAnsi="Times New Roman"/>
                <w:color w:val="000000"/>
                <w:kern w:val="0"/>
                <w:lang w:bidi="ar"/>
              </w:rPr>
              <w:t>砷</w:t>
            </w:r>
          </w:p>
        </w:tc>
        <w:tc>
          <w:tcPr>
            <w:tcW w:w="1470"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bCs/>
              </w:rPr>
              <w:t>≤60</w:t>
            </w:r>
          </w:p>
        </w:tc>
        <w:tc>
          <w:tcPr>
            <w:tcW w:w="1808" w:type="dxa"/>
            <w:vAlign w:val="center"/>
          </w:tcPr>
          <w:p>
            <w:pPr>
              <w:widowControl/>
              <w:adjustRightInd w:val="0"/>
              <w:snapToGrid w:val="0"/>
              <w:jc w:val="center"/>
              <w:textAlignment w:val="center"/>
              <w:rPr>
                <w:rFonts w:ascii="Times New Roman" w:hAnsi="Times New Roman" w:eastAsiaTheme="minorEastAsia"/>
                <w:bCs/>
              </w:rPr>
            </w:pPr>
            <w:r>
              <w:rPr>
                <w:rFonts w:ascii="Times New Roman" w:hAnsi="Times New Roman"/>
                <w:color w:val="000000"/>
                <w:kern w:val="0"/>
                <w:lang w:bidi="ar"/>
              </w:rPr>
              <w:t>29.7</w:t>
            </w:r>
          </w:p>
        </w:tc>
        <w:tc>
          <w:tcPr>
            <w:tcW w:w="1808"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08" w:type="dxa"/>
            <w:vMerge w:val="continue"/>
            <w:vAlign w:val="center"/>
          </w:tcPr>
          <w:p>
            <w:pPr>
              <w:widowControl/>
              <w:adjustRightInd w:val="0"/>
              <w:snapToGrid w:val="0"/>
              <w:jc w:val="center"/>
              <w:rPr>
                <w:rFonts w:ascii="Times New Roman" w:hAnsi="Times New Roman" w:eastAsiaTheme="minorEastAsia"/>
              </w:rPr>
            </w:pPr>
          </w:p>
        </w:tc>
        <w:tc>
          <w:tcPr>
            <w:tcW w:w="2146" w:type="dxa"/>
            <w:vAlign w:val="center"/>
          </w:tcPr>
          <w:p>
            <w:pPr>
              <w:widowControl/>
              <w:adjustRightInd w:val="0"/>
              <w:snapToGrid w:val="0"/>
              <w:jc w:val="center"/>
              <w:textAlignment w:val="center"/>
              <w:rPr>
                <w:rFonts w:ascii="Times New Roman" w:hAnsi="Times New Roman" w:eastAsiaTheme="minorEastAsia"/>
                <w:bCs/>
              </w:rPr>
            </w:pPr>
            <w:r>
              <w:rPr>
                <w:rFonts w:ascii="Times New Roman" w:hAnsi="Times New Roman"/>
                <w:color w:val="000000"/>
                <w:kern w:val="0"/>
                <w:lang w:bidi="ar"/>
              </w:rPr>
              <w:t>铬</w:t>
            </w:r>
          </w:p>
        </w:tc>
        <w:tc>
          <w:tcPr>
            <w:tcW w:w="1470"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bCs/>
              </w:rPr>
              <w:t>≤200</w:t>
            </w:r>
          </w:p>
        </w:tc>
        <w:tc>
          <w:tcPr>
            <w:tcW w:w="1808" w:type="dxa"/>
            <w:vAlign w:val="center"/>
          </w:tcPr>
          <w:p>
            <w:pPr>
              <w:widowControl/>
              <w:adjustRightInd w:val="0"/>
              <w:snapToGrid w:val="0"/>
              <w:jc w:val="center"/>
              <w:textAlignment w:val="center"/>
              <w:rPr>
                <w:rFonts w:ascii="Times New Roman" w:hAnsi="Times New Roman" w:eastAsiaTheme="minorEastAsia"/>
                <w:bCs/>
              </w:rPr>
            </w:pPr>
            <w:r>
              <w:rPr>
                <w:rFonts w:ascii="Times New Roman" w:hAnsi="Times New Roman"/>
                <w:color w:val="000000"/>
                <w:kern w:val="0"/>
                <w:lang w:bidi="ar"/>
              </w:rPr>
              <w:t>52.56</w:t>
            </w:r>
          </w:p>
        </w:tc>
        <w:tc>
          <w:tcPr>
            <w:tcW w:w="1808"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达标</w:t>
            </w:r>
          </w:p>
        </w:tc>
      </w:tr>
    </w:tbl>
    <w:p>
      <w:pPr>
        <w:snapToGrid w:val="0"/>
        <w:spacing w:line="360" w:lineRule="auto"/>
        <w:ind w:firstLine="480" w:firstLineChars="200"/>
        <w:rPr>
          <w:rFonts w:ascii="Times New Roman" w:hAnsi="Times New Roman" w:eastAsiaTheme="minorEastAsia"/>
          <w:sz w:val="24"/>
          <w:szCs w:val="24"/>
        </w:rPr>
      </w:pPr>
    </w:p>
    <w:p>
      <w:pPr>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由上表的监测结果可知，项目所在地水域底泥各个监测指标均可满足《土壤环境质量建设用地土壤污染风险管控标准》（GB36600-2018）中第二类用地风险筛选值要求和</w:t>
      </w:r>
      <w:r>
        <w:rPr>
          <w:rFonts w:ascii="Times New Roman" w:hAnsi="Times New Roman" w:eastAsiaTheme="minorEastAsia"/>
          <w:color w:val="000000"/>
          <w:sz w:val="24"/>
          <w:szCs w:val="24"/>
        </w:rPr>
        <w:t>《土壤环境质量农用地土壤污染风险管控标准》（GB 15618-2018）中用地筛选值限值要求</w:t>
      </w:r>
      <w:r>
        <w:rPr>
          <w:rFonts w:ascii="Times New Roman" w:hAnsi="Times New Roman" w:eastAsiaTheme="minorEastAsia"/>
          <w:sz w:val="24"/>
          <w:szCs w:val="24"/>
        </w:rPr>
        <w:t>，项目所在地水域底泥环境较好。</w:t>
      </w:r>
    </w:p>
    <w:p>
      <w:pPr>
        <w:pStyle w:val="3"/>
        <w:rPr>
          <w:rFonts w:ascii="Times New Roman" w:hAnsi="Times New Roman" w:eastAsiaTheme="minorEastAsia"/>
          <w:b/>
        </w:rPr>
      </w:pPr>
      <w:bookmarkStart w:id="79" w:name="_Toc25590408"/>
      <w:bookmarkStart w:id="80" w:name="_Toc30952"/>
      <w:r>
        <w:rPr>
          <w:rFonts w:ascii="Times New Roman" w:hAnsi="Times New Roman" w:eastAsiaTheme="minorEastAsia"/>
          <w:b/>
        </w:rPr>
        <w:t>环境空气现状调查与评价</w:t>
      </w:r>
      <w:bookmarkEnd w:id="79"/>
      <w:bookmarkEnd w:id="80"/>
    </w:p>
    <w:p>
      <w:pPr>
        <w:pStyle w:val="4"/>
        <w:rPr>
          <w:rFonts w:eastAsiaTheme="minorEastAsia"/>
        </w:rPr>
      </w:pPr>
      <w:r>
        <w:rPr>
          <w:rFonts w:eastAsiaTheme="minorEastAsia"/>
        </w:rPr>
        <w:t>环境空气质量现状调查</w:t>
      </w:r>
    </w:p>
    <w:p>
      <w:pPr>
        <w:pStyle w:val="5"/>
        <w:rPr>
          <w:rFonts w:eastAsiaTheme="minorEastAsia"/>
        </w:rPr>
      </w:pPr>
      <w:r>
        <w:rPr>
          <w:rFonts w:eastAsiaTheme="minorEastAsia"/>
        </w:rPr>
        <w:t>现状调查</w:t>
      </w:r>
    </w:p>
    <w:p>
      <w:pPr>
        <w:pStyle w:val="129"/>
        <w:adjustRightInd w:val="0"/>
        <w:snapToGrid w:val="0"/>
        <w:spacing w:line="360" w:lineRule="auto"/>
        <w:ind w:firstLine="480"/>
        <w:rPr>
          <w:rFonts w:eastAsiaTheme="minorEastAsia"/>
        </w:rPr>
      </w:pPr>
      <w:r>
        <w:rPr>
          <w:rFonts w:eastAsiaTheme="minorEastAsia"/>
        </w:rPr>
        <w:t>本项目</w:t>
      </w:r>
      <w:r>
        <w:rPr>
          <w:rFonts w:hint="eastAsia" w:eastAsiaTheme="minorEastAsia"/>
          <w:lang w:eastAsia="zh-CN"/>
        </w:rPr>
        <w:t>周边</w:t>
      </w:r>
      <w:r>
        <w:rPr>
          <w:rFonts w:eastAsiaTheme="minorEastAsia"/>
        </w:rPr>
        <w:t>所经地区多为农村、环境空气质量保持自然状况。评价范围内无大型固定污染源，现有环境空气污染源主要来自道路汽车尾气、二次扬尘、人群生产生活所产生的一氧化碳和总悬浮颗粒物等，但排放量较小。</w:t>
      </w:r>
    </w:p>
    <w:p>
      <w:pPr>
        <w:pStyle w:val="5"/>
        <w:rPr>
          <w:rFonts w:eastAsiaTheme="minorEastAsia"/>
        </w:rPr>
      </w:pPr>
      <w:r>
        <w:rPr>
          <w:rFonts w:eastAsiaTheme="minorEastAsia"/>
        </w:rPr>
        <w:t>项目区污染气象特征</w:t>
      </w:r>
    </w:p>
    <w:p>
      <w:pPr>
        <w:pStyle w:val="129"/>
        <w:adjustRightInd w:val="0"/>
        <w:snapToGrid w:val="0"/>
        <w:spacing w:line="360" w:lineRule="auto"/>
        <w:ind w:left="-25" w:firstLine="482"/>
        <w:rPr>
          <w:rFonts w:eastAsiaTheme="minorEastAsia"/>
          <w:b/>
        </w:rPr>
      </w:pPr>
      <w:r>
        <w:rPr>
          <w:rFonts w:eastAsiaTheme="minorEastAsia"/>
          <w:b/>
        </w:rPr>
        <w:t>1、地面风</w:t>
      </w:r>
    </w:p>
    <w:p>
      <w:pPr>
        <w:pStyle w:val="129"/>
        <w:adjustRightInd w:val="0"/>
        <w:snapToGrid w:val="0"/>
        <w:spacing w:line="360" w:lineRule="auto"/>
        <w:ind w:left="-25" w:firstLine="480"/>
        <w:rPr>
          <w:rFonts w:eastAsiaTheme="minorEastAsia"/>
        </w:rPr>
      </w:pPr>
      <w:r>
        <w:rPr>
          <w:rFonts w:eastAsiaTheme="minorEastAsia"/>
        </w:rPr>
        <w:t>根据相关资料，项目区多年平均风速3.0m/s。常年主导风向以</w:t>
      </w:r>
      <w:r>
        <w:fldChar w:fldCharType="begin"/>
      </w:r>
      <w:r>
        <w:instrText xml:space="preserve"> HYPERLINK "http://wenwen.soso.com/z/Search.e?sp=S%E8%A5%BF%E5%8C%97%E9%A3%8E&amp;ch=w.search.yjjlink&amp;cid=w.search.yjjlink" </w:instrText>
      </w:r>
      <w:r>
        <w:fldChar w:fldCharType="separate"/>
      </w:r>
      <w:r>
        <w:rPr>
          <w:rFonts w:eastAsiaTheme="minorEastAsia"/>
        </w:rPr>
        <w:t>东北风</w:t>
      </w:r>
      <w:r>
        <w:rPr>
          <w:rFonts w:eastAsiaTheme="minorEastAsia"/>
        </w:rPr>
        <w:fldChar w:fldCharType="end"/>
      </w:r>
      <w:r>
        <w:rPr>
          <w:rFonts w:eastAsiaTheme="minorEastAsia"/>
        </w:rPr>
        <w:t>为主。</w:t>
      </w:r>
    </w:p>
    <w:p>
      <w:pPr>
        <w:pStyle w:val="129"/>
        <w:adjustRightInd w:val="0"/>
        <w:snapToGrid w:val="0"/>
        <w:spacing w:line="360" w:lineRule="auto"/>
        <w:ind w:left="-25" w:firstLine="482"/>
        <w:rPr>
          <w:rFonts w:eastAsiaTheme="minorEastAsia"/>
          <w:b/>
        </w:rPr>
      </w:pPr>
      <w:r>
        <w:rPr>
          <w:rFonts w:eastAsiaTheme="minorEastAsia"/>
          <w:b/>
        </w:rPr>
        <w:t>2、大气稳定度的确定</w:t>
      </w:r>
    </w:p>
    <w:p>
      <w:pPr>
        <w:pStyle w:val="129"/>
        <w:adjustRightInd w:val="0"/>
        <w:snapToGrid w:val="0"/>
        <w:spacing w:line="360" w:lineRule="auto"/>
        <w:ind w:left="-25" w:firstLine="480"/>
        <w:rPr>
          <w:rFonts w:eastAsiaTheme="minorEastAsia"/>
        </w:rPr>
      </w:pPr>
      <w:r>
        <w:rPr>
          <w:rFonts w:eastAsiaTheme="minorEastAsia"/>
        </w:rPr>
        <w:t>根据国家气象部门调查，项目区内大气稳定度以中性D类为主。</w:t>
      </w:r>
    </w:p>
    <w:p>
      <w:pPr>
        <w:pStyle w:val="5"/>
        <w:rPr>
          <w:rFonts w:eastAsiaTheme="minorEastAsia"/>
        </w:rPr>
      </w:pPr>
      <w:r>
        <w:rPr>
          <w:rFonts w:eastAsiaTheme="minorEastAsia"/>
        </w:rPr>
        <w:t>项目区环境空气质量达标分析</w:t>
      </w:r>
    </w:p>
    <w:p>
      <w:pPr>
        <w:pStyle w:val="6"/>
        <w:ind w:firstLine="480"/>
        <w:rPr>
          <w:rFonts w:hint="default" w:ascii="Times New Roman" w:hAnsi="Times New Roman" w:cs="Times New Roman"/>
        </w:rPr>
      </w:pPr>
      <w:r>
        <w:rPr>
          <w:rFonts w:hint="default" w:ascii="Times New Roman" w:hAnsi="Times New Roman" w:cs="Times New Roman"/>
        </w:rPr>
        <w:t>根据《环境影响评价技术导则 大气环境》（HJ 2.2-2018），“5.5 评价基准年筛选依据评价所需环境空气质量现状、气象资料等数据的可获得性、数据质量、代表性等因素，选择近3年中数据相对完整的1个日历年作为评价基准年”。“6.2 数据来源，采用评价范围内国家或地方环境空气质量监测网中评价基准年连续1年的监测数据，或采用生态环境主管部门公开发布的环境空气质量现状数据”。依据新版大气导则要求，本评价从岳阳市生态环境局收集了《岳阳市2019年度环境质量公报》，符合导则相关要求。岳阳市2019年空气质量现状评价见下表</w:t>
      </w:r>
      <w:r>
        <w:rPr>
          <w:rFonts w:hint="eastAsia" w:cs="Times New Roman"/>
          <w:lang w:val="en-US" w:eastAsia="zh-CN"/>
        </w:rPr>
        <w:t>5.4</w:t>
      </w:r>
      <w:r>
        <w:rPr>
          <w:rFonts w:hint="default" w:ascii="Times New Roman" w:hAnsi="Times New Roman" w:cs="Times New Roman"/>
        </w:rPr>
        <w:t>-1：</w:t>
      </w:r>
    </w:p>
    <w:p>
      <w:pPr>
        <w:pStyle w:val="6"/>
        <w:spacing w:line="276" w:lineRule="auto"/>
        <w:ind w:firstLine="0" w:firstLineChars="0"/>
        <w:jc w:val="center"/>
        <w:rPr>
          <w:rFonts w:hint="default" w:ascii="Times New Roman" w:hAnsi="Times New Roman" w:cs="Times New Roman"/>
          <w:b/>
        </w:rPr>
      </w:pPr>
      <w:r>
        <w:rPr>
          <w:rFonts w:hint="default" w:ascii="Times New Roman" w:hAnsi="Times New Roman" w:cs="Times New Roman"/>
          <w:b/>
        </w:rPr>
        <w:t>表5.4-1  区域空气质量现状评价表</w:t>
      </w:r>
    </w:p>
    <w:tbl>
      <w:tblPr>
        <w:tblStyle w:val="71"/>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825"/>
        <w:gridCol w:w="1913"/>
        <w:gridCol w:w="1775"/>
        <w:gridCol w:w="1527"/>
        <w:gridCol w:w="1527"/>
        <w:gridCol w:w="15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54" w:type="pct"/>
            <w:tcBorders>
              <w:left w:val="single" w:color="auto" w:sz="12" w:space="0"/>
            </w:tcBorders>
            <w:vAlign w:val="center"/>
          </w:tcPr>
          <w:p>
            <w:pPr>
              <w:adjustRightInd w:val="0"/>
              <w:snapToGrid w:val="0"/>
              <w:jc w:val="center"/>
              <w:rPr>
                <w:rFonts w:hint="default" w:ascii="Times New Roman" w:hAnsi="Times New Roman" w:cs="Times New Roman"/>
                <w:b/>
              </w:rPr>
            </w:pPr>
            <w:r>
              <w:rPr>
                <w:rFonts w:hint="default" w:ascii="Times New Roman" w:hAnsi="Times New Roman" w:cs="Times New Roman"/>
                <w:b/>
              </w:rPr>
              <w:t>污染物</w:t>
            </w:r>
          </w:p>
        </w:tc>
        <w:tc>
          <w:tcPr>
            <w:tcW w:w="1051" w:type="pct"/>
            <w:vAlign w:val="center"/>
          </w:tcPr>
          <w:p>
            <w:pPr>
              <w:adjustRightInd w:val="0"/>
              <w:snapToGrid w:val="0"/>
              <w:jc w:val="center"/>
              <w:rPr>
                <w:rFonts w:hint="default" w:ascii="Times New Roman" w:hAnsi="Times New Roman" w:cs="Times New Roman"/>
                <w:b/>
              </w:rPr>
            </w:pPr>
            <w:r>
              <w:rPr>
                <w:rFonts w:hint="default" w:ascii="Times New Roman" w:hAnsi="Times New Roman" w:cs="Times New Roman"/>
                <w:b/>
              </w:rPr>
              <w:t>评价指标</w:t>
            </w:r>
          </w:p>
        </w:tc>
        <w:tc>
          <w:tcPr>
            <w:tcW w:w="975" w:type="pct"/>
            <w:vAlign w:val="center"/>
          </w:tcPr>
          <w:p>
            <w:pPr>
              <w:adjustRightInd w:val="0"/>
              <w:snapToGrid w:val="0"/>
              <w:jc w:val="center"/>
              <w:rPr>
                <w:rFonts w:hint="default" w:ascii="Times New Roman" w:hAnsi="Times New Roman" w:cs="Times New Roman"/>
                <w:b/>
              </w:rPr>
            </w:pPr>
            <w:r>
              <w:rPr>
                <w:rFonts w:hint="default" w:ascii="Times New Roman" w:hAnsi="Times New Roman" w:cs="Times New Roman"/>
                <w:b/>
              </w:rPr>
              <w:t>现状浓度（μg/m</w:t>
            </w:r>
            <w:r>
              <w:rPr>
                <w:rFonts w:hint="default" w:ascii="Times New Roman" w:hAnsi="Times New Roman" w:cs="Times New Roman"/>
                <w:b/>
                <w:vertAlign w:val="superscript"/>
              </w:rPr>
              <w:t>3</w:t>
            </w:r>
            <w:r>
              <w:rPr>
                <w:rFonts w:hint="default" w:ascii="Times New Roman" w:hAnsi="Times New Roman" w:cs="Times New Roman"/>
                <w:b/>
              </w:rPr>
              <w:t>）</w:t>
            </w:r>
          </w:p>
        </w:tc>
        <w:tc>
          <w:tcPr>
            <w:tcW w:w="839" w:type="pct"/>
            <w:vAlign w:val="center"/>
          </w:tcPr>
          <w:p>
            <w:pPr>
              <w:adjustRightInd w:val="0"/>
              <w:snapToGrid w:val="0"/>
              <w:jc w:val="center"/>
              <w:rPr>
                <w:rFonts w:hint="default" w:ascii="Times New Roman" w:hAnsi="Times New Roman" w:cs="Times New Roman"/>
                <w:b/>
              </w:rPr>
            </w:pPr>
            <w:r>
              <w:rPr>
                <w:rFonts w:hint="default" w:ascii="Times New Roman" w:hAnsi="Times New Roman" w:cs="Times New Roman"/>
                <w:b/>
              </w:rPr>
              <w:t>标准值（μg/m</w:t>
            </w:r>
            <w:r>
              <w:rPr>
                <w:rFonts w:hint="default" w:ascii="Times New Roman" w:hAnsi="Times New Roman" w:cs="Times New Roman"/>
                <w:b/>
                <w:vertAlign w:val="superscript"/>
              </w:rPr>
              <w:t>3</w:t>
            </w:r>
            <w:r>
              <w:rPr>
                <w:rFonts w:hint="default" w:ascii="Times New Roman" w:hAnsi="Times New Roman" w:cs="Times New Roman"/>
                <w:b/>
              </w:rPr>
              <w:t>）</w:t>
            </w:r>
          </w:p>
        </w:tc>
        <w:tc>
          <w:tcPr>
            <w:tcW w:w="839" w:type="pct"/>
            <w:vAlign w:val="center"/>
          </w:tcPr>
          <w:p>
            <w:pPr>
              <w:adjustRightInd w:val="0"/>
              <w:snapToGrid w:val="0"/>
              <w:jc w:val="center"/>
              <w:rPr>
                <w:rFonts w:hint="default" w:ascii="Times New Roman" w:hAnsi="Times New Roman" w:cs="Times New Roman"/>
                <w:b/>
              </w:rPr>
            </w:pPr>
            <w:r>
              <w:rPr>
                <w:rFonts w:hint="default" w:ascii="Times New Roman" w:hAnsi="Times New Roman" w:cs="Times New Roman"/>
                <w:b/>
              </w:rPr>
              <w:t>占标率（%）</w:t>
            </w:r>
          </w:p>
        </w:tc>
        <w:tc>
          <w:tcPr>
            <w:tcW w:w="840" w:type="pct"/>
            <w:tcBorders>
              <w:right w:val="single" w:color="auto" w:sz="12" w:space="0"/>
            </w:tcBorders>
            <w:vAlign w:val="center"/>
          </w:tcPr>
          <w:p>
            <w:pPr>
              <w:adjustRightInd w:val="0"/>
              <w:snapToGrid w:val="0"/>
              <w:jc w:val="center"/>
              <w:rPr>
                <w:rFonts w:hint="default" w:ascii="Times New Roman" w:hAnsi="Times New Roman" w:cs="Times New Roman"/>
                <w:b/>
              </w:rPr>
            </w:pPr>
            <w:r>
              <w:rPr>
                <w:rFonts w:hint="default" w:ascii="Times New Roman" w:hAnsi="Times New Roman" w:cs="Times New Roman"/>
                <w:b/>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54" w:type="pct"/>
            <w:tcBorders>
              <w:left w:val="single" w:color="auto" w:sz="12" w:space="0"/>
            </w:tcBorders>
            <w:vAlign w:val="center"/>
          </w:tcPr>
          <w:p>
            <w:pPr>
              <w:adjustRightInd w:val="0"/>
              <w:snapToGrid w:val="0"/>
              <w:jc w:val="center"/>
              <w:rPr>
                <w:rFonts w:hint="default" w:ascii="Times New Roman" w:hAnsi="Times New Roman" w:cs="Times New Roman"/>
                <w:vertAlign w:val="subscript"/>
              </w:rPr>
            </w:pPr>
            <w:r>
              <w:rPr>
                <w:rFonts w:hint="default" w:ascii="Times New Roman" w:hAnsi="Times New Roman" w:cs="Times New Roman"/>
              </w:rPr>
              <w:t>SO</w:t>
            </w:r>
            <w:r>
              <w:rPr>
                <w:rFonts w:hint="default" w:ascii="Times New Roman" w:hAnsi="Times New Roman" w:cs="Times New Roman"/>
                <w:vertAlign w:val="subscript"/>
              </w:rPr>
              <w:t>2</w:t>
            </w:r>
          </w:p>
        </w:tc>
        <w:tc>
          <w:tcPr>
            <w:tcW w:w="1051" w:type="pct"/>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年平均浓度</w:t>
            </w:r>
          </w:p>
        </w:tc>
        <w:tc>
          <w:tcPr>
            <w:tcW w:w="975" w:type="pct"/>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9</w:t>
            </w:r>
          </w:p>
        </w:tc>
        <w:tc>
          <w:tcPr>
            <w:tcW w:w="839" w:type="pct"/>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60</w:t>
            </w:r>
          </w:p>
        </w:tc>
        <w:tc>
          <w:tcPr>
            <w:tcW w:w="839" w:type="pct"/>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15.0</w:t>
            </w:r>
          </w:p>
        </w:tc>
        <w:tc>
          <w:tcPr>
            <w:tcW w:w="840" w:type="pct"/>
            <w:tcBorders>
              <w:right w:val="single" w:color="auto" w:sz="12" w:space="0"/>
            </w:tcBorders>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54" w:type="pct"/>
            <w:tcBorders>
              <w:left w:val="single" w:color="auto" w:sz="12" w:space="0"/>
            </w:tcBorders>
            <w:vAlign w:val="center"/>
          </w:tcPr>
          <w:p>
            <w:pPr>
              <w:adjustRightInd w:val="0"/>
              <w:snapToGrid w:val="0"/>
              <w:jc w:val="center"/>
              <w:rPr>
                <w:rFonts w:hint="default" w:ascii="Times New Roman" w:hAnsi="Times New Roman" w:cs="Times New Roman"/>
                <w:vertAlign w:val="subscript"/>
              </w:rPr>
            </w:pPr>
            <w:r>
              <w:rPr>
                <w:rFonts w:hint="default" w:ascii="Times New Roman" w:hAnsi="Times New Roman" w:cs="Times New Roman"/>
              </w:rPr>
              <w:t>NO</w:t>
            </w:r>
            <w:r>
              <w:rPr>
                <w:rFonts w:hint="default" w:ascii="Times New Roman" w:hAnsi="Times New Roman" w:cs="Times New Roman"/>
                <w:vertAlign w:val="subscript"/>
              </w:rPr>
              <w:t>2</w:t>
            </w:r>
          </w:p>
        </w:tc>
        <w:tc>
          <w:tcPr>
            <w:tcW w:w="1051" w:type="pct"/>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年平均浓度</w:t>
            </w:r>
          </w:p>
        </w:tc>
        <w:tc>
          <w:tcPr>
            <w:tcW w:w="975" w:type="pct"/>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27</w:t>
            </w:r>
          </w:p>
        </w:tc>
        <w:tc>
          <w:tcPr>
            <w:tcW w:w="839" w:type="pct"/>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40</w:t>
            </w:r>
          </w:p>
        </w:tc>
        <w:tc>
          <w:tcPr>
            <w:tcW w:w="839" w:type="pct"/>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67.5</w:t>
            </w:r>
          </w:p>
        </w:tc>
        <w:tc>
          <w:tcPr>
            <w:tcW w:w="840" w:type="pct"/>
            <w:tcBorders>
              <w:right w:val="single" w:color="auto" w:sz="12" w:space="0"/>
            </w:tcBorders>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54" w:type="pct"/>
            <w:tcBorders>
              <w:left w:val="single" w:color="auto" w:sz="12" w:space="0"/>
            </w:tcBorders>
            <w:vAlign w:val="center"/>
          </w:tcPr>
          <w:p>
            <w:pPr>
              <w:adjustRightInd w:val="0"/>
              <w:snapToGrid w:val="0"/>
              <w:jc w:val="center"/>
              <w:rPr>
                <w:rFonts w:hint="default" w:ascii="Times New Roman" w:hAnsi="Times New Roman" w:cs="Times New Roman"/>
                <w:vertAlign w:val="subscript"/>
              </w:rPr>
            </w:pPr>
            <w:r>
              <w:rPr>
                <w:rFonts w:hint="default" w:ascii="Times New Roman" w:hAnsi="Times New Roman" w:cs="Times New Roman"/>
              </w:rPr>
              <w:t>PM</w:t>
            </w:r>
            <w:r>
              <w:rPr>
                <w:rFonts w:hint="default" w:ascii="Times New Roman" w:hAnsi="Times New Roman" w:cs="Times New Roman"/>
                <w:vertAlign w:val="subscript"/>
              </w:rPr>
              <w:t>10</w:t>
            </w:r>
          </w:p>
        </w:tc>
        <w:tc>
          <w:tcPr>
            <w:tcW w:w="1051" w:type="pct"/>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年平均浓度</w:t>
            </w:r>
          </w:p>
        </w:tc>
        <w:tc>
          <w:tcPr>
            <w:tcW w:w="975" w:type="pct"/>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68</w:t>
            </w:r>
          </w:p>
        </w:tc>
        <w:tc>
          <w:tcPr>
            <w:tcW w:w="839" w:type="pct"/>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70</w:t>
            </w:r>
          </w:p>
        </w:tc>
        <w:tc>
          <w:tcPr>
            <w:tcW w:w="839" w:type="pct"/>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97.1</w:t>
            </w:r>
          </w:p>
        </w:tc>
        <w:tc>
          <w:tcPr>
            <w:tcW w:w="840" w:type="pct"/>
            <w:tcBorders>
              <w:right w:val="single" w:color="auto" w:sz="12" w:space="0"/>
            </w:tcBorders>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54" w:type="pct"/>
            <w:tcBorders>
              <w:left w:val="single" w:color="auto" w:sz="12" w:space="0"/>
            </w:tcBorders>
            <w:vAlign w:val="center"/>
          </w:tcPr>
          <w:p>
            <w:pPr>
              <w:adjustRightInd w:val="0"/>
              <w:snapToGrid w:val="0"/>
              <w:jc w:val="center"/>
              <w:rPr>
                <w:rFonts w:hint="default" w:ascii="Times New Roman" w:hAnsi="Times New Roman" w:cs="Times New Roman"/>
                <w:vertAlign w:val="subscript"/>
              </w:rPr>
            </w:pPr>
            <w:r>
              <w:rPr>
                <w:rFonts w:hint="default" w:ascii="Times New Roman" w:hAnsi="Times New Roman" w:cs="Times New Roman"/>
              </w:rPr>
              <w:t>PM</w:t>
            </w:r>
            <w:r>
              <w:rPr>
                <w:rFonts w:hint="default" w:ascii="Times New Roman" w:hAnsi="Times New Roman" w:cs="Times New Roman"/>
                <w:vertAlign w:val="subscript"/>
              </w:rPr>
              <w:t>2.5</w:t>
            </w:r>
          </w:p>
        </w:tc>
        <w:tc>
          <w:tcPr>
            <w:tcW w:w="1051" w:type="pct"/>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年平均浓度</w:t>
            </w:r>
          </w:p>
        </w:tc>
        <w:tc>
          <w:tcPr>
            <w:tcW w:w="975" w:type="pct"/>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43</w:t>
            </w:r>
          </w:p>
        </w:tc>
        <w:tc>
          <w:tcPr>
            <w:tcW w:w="839" w:type="pct"/>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35</w:t>
            </w:r>
          </w:p>
        </w:tc>
        <w:tc>
          <w:tcPr>
            <w:tcW w:w="839" w:type="pct"/>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122.9</w:t>
            </w:r>
          </w:p>
        </w:tc>
        <w:tc>
          <w:tcPr>
            <w:tcW w:w="840" w:type="pct"/>
            <w:tcBorders>
              <w:right w:val="single" w:color="auto" w:sz="12" w:space="0"/>
            </w:tcBorders>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不达标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54" w:type="pct"/>
            <w:tcBorders>
              <w:left w:val="single" w:color="auto" w:sz="12" w:space="0"/>
            </w:tcBorders>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CO</w:t>
            </w:r>
          </w:p>
        </w:tc>
        <w:tc>
          <w:tcPr>
            <w:tcW w:w="1051" w:type="pct"/>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24小时平均第</w:t>
            </w:r>
          </w:p>
          <w:p>
            <w:pPr>
              <w:adjustRightInd w:val="0"/>
              <w:snapToGrid w:val="0"/>
              <w:jc w:val="center"/>
              <w:rPr>
                <w:rFonts w:hint="default" w:ascii="Times New Roman" w:hAnsi="Times New Roman" w:cs="Times New Roman"/>
              </w:rPr>
            </w:pPr>
            <w:r>
              <w:rPr>
                <w:rFonts w:hint="default" w:ascii="Times New Roman" w:hAnsi="Times New Roman" w:cs="Times New Roman"/>
              </w:rPr>
              <w:t>95百分位数浓度</w:t>
            </w:r>
          </w:p>
        </w:tc>
        <w:tc>
          <w:tcPr>
            <w:tcW w:w="975" w:type="pct"/>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1400</w:t>
            </w:r>
          </w:p>
        </w:tc>
        <w:tc>
          <w:tcPr>
            <w:tcW w:w="839" w:type="pct"/>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4000</w:t>
            </w:r>
          </w:p>
        </w:tc>
        <w:tc>
          <w:tcPr>
            <w:tcW w:w="839" w:type="pct"/>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35.0</w:t>
            </w:r>
          </w:p>
        </w:tc>
        <w:tc>
          <w:tcPr>
            <w:tcW w:w="840" w:type="pct"/>
            <w:tcBorders>
              <w:right w:val="single" w:color="auto" w:sz="12" w:space="0"/>
            </w:tcBorders>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54" w:type="pct"/>
            <w:tcBorders>
              <w:left w:val="single" w:color="auto" w:sz="12" w:space="0"/>
            </w:tcBorders>
            <w:vAlign w:val="center"/>
          </w:tcPr>
          <w:p>
            <w:pPr>
              <w:adjustRightInd w:val="0"/>
              <w:snapToGrid w:val="0"/>
              <w:jc w:val="center"/>
              <w:rPr>
                <w:rFonts w:hint="default" w:ascii="Times New Roman" w:hAnsi="Times New Roman" w:cs="Times New Roman"/>
                <w:vertAlign w:val="subscript"/>
              </w:rPr>
            </w:pPr>
            <w:r>
              <w:rPr>
                <w:rFonts w:hint="default" w:ascii="Times New Roman" w:hAnsi="Times New Roman" w:cs="Times New Roman"/>
              </w:rPr>
              <w:t>O</w:t>
            </w:r>
            <w:r>
              <w:rPr>
                <w:rFonts w:hint="default" w:ascii="Times New Roman" w:hAnsi="Times New Roman" w:cs="Times New Roman"/>
                <w:vertAlign w:val="subscript"/>
              </w:rPr>
              <w:t>3</w:t>
            </w:r>
          </w:p>
        </w:tc>
        <w:tc>
          <w:tcPr>
            <w:tcW w:w="1051" w:type="pct"/>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最大八小时平均</w:t>
            </w:r>
          </w:p>
          <w:p>
            <w:pPr>
              <w:adjustRightInd w:val="0"/>
              <w:snapToGrid w:val="0"/>
              <w:jc w:val="center"/>
              <w:rPr>
                <w:rFonts w:hint="default" w:ascii="Times New Roman" w:hAnsi="Times New Roman" w:cs="Times New Roman"/>
              </w:rPr>
            </w:pPr>
            <w:r>
              <w:rPr>
                <w:rFonts w:hint="default" w:ascii="Times New Roman" w:hAnsi="Times New Roman" w:cs="Times New Roman"/>
              </w:rPr>
              <w:t>第90百分位数</w:t>
            </w:r>
          </w:p>
        </w:tc>
        <w:tc>
          <w:tcPr>
            <w:tcW w:w="975" w:type="pct"/>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164</w:t>
            </w:r>
          </w:p>
        </w:tc>
        <w:tc>
          <w:tcPr>
            <w:tcW w:w="839" w:type="pct"/>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160</w:t>
            </w:r>
          </w:p>
        </w:tc>
        <w:tc>
          <w:tcPr>
            <w:tcW w:w="839" w:type="pct"/>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102.5</w:t>
            </w:r>
          </w:p>
        </w:tc>
        <w:tc>
          <w:tcPr>
            <w:tcW w:w="840" w:type="pct"/>
            <w:tcBorders>
              <w:right w:val="single" w:color="auto" w:sz="12" w:space="0"/>
            </w:tcBorders>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rPr>
              <w:t>不达标</w:t>
            </w:r>
          </w:p>
        </w:tc>
      </w:tr>
    </w:tbl>
    <w:p>
      <w:pPr>
        <w:adjustRightInd w:val="0"/>
        <w:snapToGrid w:val="0"/>
        <w:spacing w:line="360" w:lineRule="auto"/>
        <w:ind w:firstLine="480" w:firstLineChars="200"/>
        <w:rPr>
          <w:rFonts w:hint="default" w:ascii="Times New Roman" w:hAnsi="Times New Roman" w:cs="Times New Roman"/>
          <w:sz w:val="24"/>
          <w:szCs w:val="24"/>
        </w:rPr>
      </w:pPr>
    </w:p>
    <w:p>
      <w:pPr>
        <w:adjustRightInd w:val="0"/>
        <w:snapToGrid w:val="0"/>
        <w:spacing w:line="360" w:lineRule="auto"/>
        <w:ind w:firstLine="480" w:firstLineChars="200"/>
        <w:rPr>
          <w:rFonts w:ascii="Times New Roman" w:hAnsi="Times New Roman"/>
          <w:sz w:val="24"/>
          <w:szCs w:val="24"/>
        </w:rPr>
      </w:pPr>
      <w:r>
        <w:rPr>
          <w:rFonts w:hint="default" w:ascii="Times New Roman" w:hAnsi="Times New Roman" w:cs="Times New Roman"/>
          <w:sz w:val="24"/>
          <w:szCs w:val="24"/>
        </w:rPr>
        <w:t>由上表可知，2019年岳阳市大气环境质量主要指标中SO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年均浓度、NO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年均浓度、PM</w:t>
      </w:r>
      <w:r>
        <w:rPr>
          <w:rFonts w:hint="default" w:ascii="Times New Roman" w:hAnsi="Times New Roman" w:cs="Times New Roman"/>
          <w:sz w:val="24"/>
          <w:szCs w:val="24"/>
          <w:vertAlign w:val="subscript"/>
        </w:rPr>
        <w:t>10</w:t>
      </w:r>
      <w:r>
        <w:rPr>
          <w:rFonts w:hint="default" w:ascii="Times New Roman" w:hAnsi="Times New Roman" w:cs="Times New Roman"/>
          <w:sz w:val="24"/>
          <w:szCs w:val="24"/>
        </w:rPr>
        <w:t>年平均浓度和CO 24小时平均第95百分位数浓度均能满足《环境空气质量标准》（GB3095-2012）中的二级标准限值，PM</w:t>
      </w:r>
      <w:r>
        <w:rPr>
          <w:rFonts w:hint="default" w:ascii="Times New Roman" w:hAnsi="Times New Roman" w:cs="Times New Roman"/>
          <w:sz w:val="24"/>
          <w:szCs w:val="24"/>
          <w:vertAlign w:val="subscript"/>
        </w:rPr>
        <w:t>2.5</w:t>
      </w:r>
      <w:r>
        <w:rPr>
          <w:rFonts w:hint="default" w:ascii="Times New Roman" w:hAnsi="Times New Roman" w:cs="Times New Roman"/>
          <w:sz w:val="24"/>
          <w:szCs w:val="24"/>
        </w:rPr>
        <w:t>年平均浓度和O</w:t>
      </w:r>
      <w:r>
        <w:rPr>
          <w:rFonts w:hint="default" w:ascii="Times New Roman" w:hAnsi="Times New Roman" w:cs="Times New Roman"/>
          <w:sz w:val="24"/>
          <w:szCs w:val="24"/>
          <w:vertAlign w:val="subscript"/>
        </w:rPr>
        <w:t xml:space="preserve">3 </w:t>
      </w:r>
      <w:r>
        <w:rPr>
          <w:rFonts w:hint="default" w:ascii="Times New Roman" w:hAnsi="Times New Roman" w:cs="Times New Roman"/>
          <w:sz w:val="24"/>
          <w:szCs w:val="24"/>
        </w:rPr>
        <w:t>8小时平均第90百分位数浓度均不能满足《环境空气质量标准》（GB3095-2012）中的二级标准限值，故本项目所在区域2019年为环境空气质量不达标区，</w:t>
      </w:r>
      <w:r>
        <w:rPr>
          <w:rFonts w:hint="default" w:ascii="Times New Roman" w:hAnsi="Times New Roman" w:cs="Times New Roman"/>
          <w:sz w:val="24"/>
          <w:szCs w:val="22"/>
        </w:rPr>
        <w:t>超标因子为PM</w:t>
      </w:r>
      <w:r>
        <w:rPr>
          <w:rFonts w:hint="default" w:ascii="Times New Roman" w:hAnsi="Times New Roman" w:cs="Times New Roman"/>
          <w:sz w:val="24"/>
          <w:szCs w:val="22"/>
          <w:vertAlign w:val="subscript"/>
        </w:rPr>
        <w:t>2.5</w:t>
      </w:r>
      <w:r>
        <w:rPr>
          <w:rFonts w:hint="default" w:ascii="Times New Roman" w:hAnsi="Times New Roman" w:cs="Times New Roman"/>
          <w:sz w:val="24"/>
          <w:szCs w:val="22"/>
        </w:rPr>
        <w:t>和O</w:t>
      </w:r>
      <w:r>
        <w:rPr>
          <w:rFonts w:hint="default" w:ascii="Times New Roman" w:hAnsi="Times New Roman" w:cs="Times New Roman"/>
          <w:sz w:val="24"/>
          <w:szCs w:val="22"/>
          <w:vertAlign w:val="subscript"/>
        </w:rPr>
        <w:t xml:space="preserve">3 </w:t>
      </w:r>
      <w:r>
        <w:rPr>
          <w:rFonts w:hint="default" w:ascii="Times New Roman" w:hAnsi="Times New Roman" w:cs="Times New Roman"/>
          <w:sz w:val="24"/>
          <w:szCs w:val="24"/>
        </w:rPr>
        <w:t>。</w:t>
      </w:r>
    </w:p>
    <w:p>
      <w:pPr>
        <w:pStyle w:val="4"/>
        <w:rPr>
          <w:rFonts w:eastAsiaTheme="minorEastAsia"/>
        </w:rPr>
      </w:pPr>
      <w:r>
        <w:rPr>
          <w:rFonts w:eastAsiaTheme="minorEastAsia"/>
        </w:rPr>
        <w:t>环境空气质量现状监测</w:t>
      </w:r>
    </w:p>
    <w:p>
      <w:pPr>
        <w:pStyle w:val="129"/>
        <w:adjustRightInd w:val="0"/>
        <w:snapToGrid w:val="0"/>
        <w:spacing w:line="360" w:lineRule="auto"/>
        <w:ind w:firstLine="480"/>
        <w:rPr>
          <w:rFonts w:eastAsiaTheme="minorEastAsia"/>
          <w:kern w:val="0"/>
        </w:rPr>
      </w:pPr>
      <w:r>
        <w:rPr>
          <w:rFonts w:eastAsiaTheme="minorEastAsia"/>
        </w:rPr>
        <w:t>本次评价委托长沙环院检测技术有限公司于2019年10月28日~11月3日期间针对码头位置的大气环境进行了现状监测。</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1、监测布点</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本次现状调查共布设1个环境空气监测点，G1为华能码头厂址处。</w:t>
      </w:r>
    </w:p>
    <w:p>
      <w:pPr>
        <w:adjustRightInd w:val="0"/>
        <w:snapToGrid w:val="0"/>
        <w:spacing w:line="276" w:lineRule="auto"/>
        <w:jc w:val="center"/>
        <w:rPr>
          <w:rFonts w:ascii="Times New Roman" w:hAnsi="Times New Roman" w:eastAsiaTheme="minorEastAsia"/>
          <w:b/>
          <w:bCs/>
          <w:sz w:val="24"/>
          <w:szCs w:val="24"/>
        </w:rPr>
      </w:pPr>
      <w:r>
        <w:rPr>
          <w:rFonts w:ascii="Times New Roman" w:hAnsi="Times New Roman" w:eastAsiaTheme="minorEastAsia"/>
          <w:b/>
          <w:sz w:val="24"/>
          <w:szCs w:val="24"/>
        </w:rPr>
        <w:t xml:space="preserve">表4.6-2  </w:t>
      </w:r>
      <w:r>
        <w:rPr>
          <w:rFonts w:ascii="Times New Roman" w:hAnsi="Times New Roman" w:eastAsiaTheme="minorEastAsia"/>
          <w:b/>
          <w:bCs/>
          <w:sz w:val="24"/>
          <w:szCs w:val="24"/>
        </w:rPr>
        <w:t>大气质量现状监测点一览表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140"/>
        <w:gridCol w:w="3436"/>
        <w:gridCol w:w="35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6" w:type="pct"/>
            <w:shd w:val="clear" w:color="auto" w:fill="auto"/>
            <w:vAlign w:val="center"/>
          </w:tcPr>
          <w:p>
            <w:pPr>
              <w:widowControl/>
              <w:adjustRightInd w:val="0"/>
              <w:snapToGrid w:val="0"/>
              <w:jc w:val="center"/>
              <w:rPr>
                <w:rFonts w:ascii="Times New Roman" w:hAnsi="Times New Roman" w:eastAsiaTheme="minorEastAsia"/>
                <w:b/>
                <w:bCs/>
                <w:color w:val="000000"/>
                <w:kern w:val="0"/>
                <w:lang w:bidi="ar"/>
              </w:rPr>
            </w:pPr>
            <w:r>
              <w:rPr>
                <w:rFonts w:ascii="Times New Roman" w:hAnsi="Times New Roman" w:eastAsiaTheme="minorEastAsia"/>
                <w:b/>
                <w:bCs/>
                <w:color w:val="000000"/>
                <w:kern w:val="0"/>
                <w:lang w:bidi="ar"/>
              </w:rPr>
              <w:t>序号</w:t>
            </w:r>
          </w:p>
        </w:tc>
        <w:tc>
          <w:tcPr>
            <w:tcW w:w="1888" w:type="pct"/>
            <w:shd w:val="clear" w:color="auto" w:fill="auto"/>
            <w:vAlign w:val="center"/>
          </w:tcPr>
          <w:p>
            <w:pPr>
              <w:widowControl/>
              <w:adjustRightInd w:val="0"/>
              <w:snapToGrid w:val="0"/>
              <w:jc w:val="center"/>
              <w:rPr>
                <w:rFonts w:ascii="Times New Roman" w:hAnsi="Times New Roman" w:eastAsiaTheme="minorEastAsia"/>
                <w:b/>
                <w:bCs/>
                <w:color w:val="000000"/>
                <w:kern w:val="0"/>
                <w:lang w:bidi="ar"/>
              </w:rPr>
            </w:pPr>
            <w:r>
              <w:rPr>
                <w:rFonts w:ascii="Times New Roman" w:hAnsi="Times New Roman" w:eastAsiaTheme="minorEastAsia"/>
                <w:b/>
                <w:bCs/>
                <w:color w:val="000000"/>
                <w:kern w:val="0"/>
                <w:lang w:bidi="ar"/>
              </w:rPr>
              <w:t>监测位置</w:t>
            </w:r>
          </w:p>
        </w:tc>
        <w:tc>
          <w:tcPr>
            <w:tcW w:w="1936" w:type="pct"/>
            <w:shd w:val="clear" w:color="auto" w:fill="auto"/>
            <w:vAlign w:val="center"/>
          </w:tcPr>
          <w:p>
            <w:pPr>
              <w:widowControl/>
              <w:adjustRightInd w:val="0"/>
              <w:snapToGrid w:val="0"/>
              <w:jc w:val="center"/>
              <w:rPr>
                <w:rFonts w:ascii="Times New Roman" w:hAnsi="Times New Roman" w:eastAsiaTheme="minorEastAsia"/>
                <w:b/>
                <w:bCs/>
                <w:color w:val="000000"/>
                <w:kern w:val="0"/>
                <w:lang w:bidi="ar"/>
              </w:rPr>
            </w:pPr>
            <w:r>
              <w:rPr>
                <w:rFonts w:ascii="Times New Roman" w:hAnsi="Times New Roman" w:eastAsiaTheme="minorEastAsia"/>
                <w:b/>
                <w:bCs/>
                <w:color w:val="000000"/>
                <w:kern w:val="0"/>
                <w:lang w:bidi="ar"/>
              </w:rPr>
              <w:t>经纬度坐标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6" w:type="pct"/>
            <w:shd w:val="clear" w:color="auto" w:fill="auto"/>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G1</w:t>
            </w:r>
          </w:p>
        </w:tc>
        <w:tc>
          <w:tcPr>
            <w:tcW w:w="1888" w:type="pct"/>
            <w:shd w:val="clear" w:color="auto" w:fill="auto"/>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华能码头场址</w:t>
            </w:r>
          </w:p>
        </w:tc>
        <w:tc>
          <w:tcPr>
            <w:tcW w:w="1936" w:type="pct"/>
            <w:shd w:val="clear" w:color="auto" w:fill="auto"/>
            <w:vAlign w:val="center"/>
          </w:tcPr>
          <w:p>
            <w:pPr>
              <w:widowControl/>
              <w:adjustRightInd w:val="0"/>
              <w:snapToGrid w:val="0"/>
              <w:rPr>
                <w:rFonts w:ascii="Times New Roman" w:hAnsi="Times New Roman" w:eastAsiaTheme="minorEastAsia"/>
                <w:color w:val="000000"/>
                <w:kern w:val="0"/>
                <w:lang w:bidi="ar"/>
              </w:rPr>
            </w:pPr>
            <w:r>
              <w:rPr>
                <w:rFonts w:ascii="Times New Roman" w:hAnsi="Times New Roman" w:eastAsiaTheme="minorEastAsia"/>
                <w:color w:val="000000"/>
                <w:kern w:val="0"/>
                <w:lang w:bidi="ar"/>
              </w:rPr>
              <w:t>E: 113°10'13.50"，N: 29°27'47.29"</w:t>
            </w:r>
          </w:p>
        </w:tc>
      </w:tr>
    </w:tbl>
    <w:p>
      <w:pPr>
        <w:adjustRightInd w:val="0"/>
        <w:snapToGrid w:val="0"/>
        <w:spacing w:line="360" w:lineRule="auto"/>
        <w:ind w:firstLine="482" w:firstLineChars="200"/>
        <w:rPr>
          <w:rFonts w:ascii="Times New Roman" w:hAnsi="Times New Roman" w:eastAsiaTheme="minorEastAsia"/>
          <w:b/>
          <w:bCs/>
          <w:sz w:val="24"/>
          <w:szCs w:val="24"/>
        </w:rPr>
      </w:pP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2、监测因子</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TSP。</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3、执行标准</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《环境空气质量标准》（GB3095-2012）中二级标准日均值。</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4、监测时间、频次</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2019年10月28日~11月3日连续监测7天。</w:t>
      </w:r>
    </w:p>
    <w:p>
      <w:pPr>
        <w:adjustRightInd w:val="0"/>
        <w:snapToGrid w:val="0"/>
        <w:spacing w:line="360" w:lineRule="auto"/>
        <w:ind w:firstLine="482" w:firstLineChars="200"/>
        <w:rPr>
          <w:rFonts w:ascii="Times New Roman" w:hAnsi="Times New Roman" w:eastAsiaTheme="minorEastAsia"/>
          <w:b/>
          <w:kern w:val="0"/>
          <w:sz w:val="24"/>
          <w:szCs w:val="24"/>
        </w:rPr>
      </w:pPr>
      <w:r>
        <w:rPr>
          <w:rFonts w:ascii="Times New Roman" w:hAnsi="Times New Roman" w:eastAsiaTheme="minorEastAsia"/>
          <w:b/>
          <w:sz w:val="24"/>
          <w:szCs w:val="24"/>
        </w:rPr>
        <w:t>5、</w:t>
      </w:r>
      <w:r>
        <w:rPr>
          <w:rFonts w:ascii="Times New Roman" w:hAnsi="Times New Roman" w:eastAsiaTheme="minorEastAsia"/>
          <w:b/>
          <w:kern w:val="0"/>
          <w:sz w:val="24"/>
          <w:szCs w:val="24"/>
        </w:rPr>
        <w:t>监测方法</w:t>
      </w:r>
    </w:p>
    <w:p>
      <w:pPr>
        <w:adjustRightInd w:val="0"/>
        <w:snapToGrid w:val="0"/>
        <w:spacing w:line="360" w:lineRule="auto"/>
        <w:ind w:firstLine="480" w:firstLineChars="200"/>
        <w:rPr>
          <w:rFonts w:ascii="Times New Roman" w:hAnsi="Times New Roman" w:eastAsiaTheme="minorEastAsia"/>
          <w:kern w:val="0"/>
          <w:sz w:val="20"/>
          <w:szCs w:val="20"/>
        </w:rPr>
      </w:pPr>
      <w:r>
        <w:rPr>
          <w:rFonts w:ascii="Times New Roman" w:hAnsi="Times New Roman" w:eastAsiaTheme="minorEastAsia"/>
          <w:kern w:val="0"/>
          <w:sz w:val="24"/>
          <w:szCs w:val="24"/>
        </w:rPr>
        <w:t>监测所用的采样及分析方法按照国家规范执行，见表4.6-3。</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表4.6-3  大气污染物分析方法一览表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438"/>
        <w:gridCol w:w="4112"/>
        <w:gridCol w:w="1788"/>
        <w:gridCol w:w="17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0"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b/>
                <w:bCs/>
                <w:color w:val="000000"/>
              </w:rPr>
              <w:t>分析项目</w:t>
            </w:r>
          </w:p>
        </w:tc>
        <w:tc>
          <w:tcPr>
            <w:tcW w:w="2259"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b/>
                <w:bCs/>
                <w:color w:val="000000"/>
              </w:rPr>
              <w:t>分析方法名称及来源</w:t>
            </w:r>
          </w:p>
        </w:tc>
        <w:tc>
          <w:tcPr>
            <w:tcW w:w="982"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b/>
                <w:bCs/>
                <w:color w:val="000000"/>
              </w:rPr>
              <w:t>仪器型号</w:t>
            </w:r>
          </w:p>
        </w:tc>
        <w:tc>
          <w:tcPr>
            <w:tcW w:w="968" w:type="pct"/>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b/>
                <w:bCs/>
                <w:color w:val="000000"/>
              </w:rPr>
              <w:t>最低检出限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90" w:type="pct"/>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总悬浮颗粒物</w:t>
            </w:r>
          </w:p>
        </w:tc>
        <w:tc>
          <w:tcPr>
            <w:tcW w:w="2259" w:type="pct"/>
            <w:vAlign w:val="center"/>
          </w:tcPr>
          <w:p>
            <w:pPr>
              <w:adjustRightInd w:val="0"/>
              <w:snapToGrid w:val="0"/>
              <w:jc w:val="center"/>
              <w:rPr>
                <w:rFonts w:ascii="Times New Roman" w:hAnsi="Times New Roman" w:eastAsiaTheme="minorEastAsia"/>
                <w:color w:val="000000"/>
              </w:rPr>
            </w:pPr>
            <w:r>
              <w:rPr>
                <w:rFonts w:ascii="Times New Roman" w:hAnsi="Times New Roman"/>
                <w:color w:val="000000"/>
              </w:rPr>
              <w:t>环境空气 总悬浮颗粒物的测定 重量法（GB/T 15432-1995）</w:t>
            </w:r>
          </w:p>
        </w:tc>
        <w:tc>
          <w:tcPr>
            <w:tcW w:w="982" w:type="pct"/>
            <w:vAlign w:val="center"/>
          </w:tcPr>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rPr>
              <w:t>MS105DU型</w:t>
            </w:r>
          </w:p>
          <w:p>
            <w:pPr>
              <w:widowControl/>
              <w:adjustRightInd w:val="0"/>
              <w:snapToGrid w:val="0"/>
              <w:jc w:val="center"/>
              <w:textAlignment w:val="center"/>
              <w:rPr>
                <w:rFonts w:ascii="Times New Roman" w:hAnsi="Times New Roman" w:eastAsiaTheme="minorEastAsia"/>
                <w:color w:val="000000"/>
              </w:rPr>
            </w:pPr>
            <w:r>
              <w:rPr>
                <w:rFonts w:ascii="Times New Roman" w:hAnsi="Times New Roman" w:eastAsiaTheme="minorEastAsia"/>
                <w:color w:val="000000"/>
              </w:rPr>
              <w:t>十万分之一天平</w:t>
            </w:r>
          </w:p>
        </w:tc>
        <w:tc>
          <w:tcPr>
            <w:tcW w:w="968" w:type="pct"/>
            <w:vAlign w:val="center"/>
          </w:tcPr>
          <w:p>
            <w:pPr>
              <w:widowControl/>
              <w:adjustRightInd w:val="0"/>
              <w:snapToGrid w:val="0"/>
              <w:jc w:val="center"/>
              <w:textAlignment w:val="center"/>
              <w:rPr>
                <w:rFonts w:ascii="Times New Roman" w:hAnsi="Times New Roman" w:eastAsiaTheme="minorEastAsia"/>
                <w:color w:val="000000"/>
                <w:kern w:val="0"/>
              </w:rPr>
            </w:pPr>
            <w:r>
              <w:rPr>
                <w:rFonts w:ascii="Times New Roman" w:hAnsi="Times New Roman" w:eastAsiaTheme="minorEastAsia"/>
                <w:color w:val="000000"/>
                <w:kern w:val="0"/>
              </w:rPr>
              <w:t>0.001mg/m</w:t>
            </w:r>
            <w:r>
              <w:rPr>
                <w:rFonts w:ascii="Times New Roman" w:hAnsi="Times New Roman" w:eastAsiaTheme="minorEastAsia"/>
                <w:color w:val="000000"/>
                <w:kern w:val="0"/>
                <w:vertAlign w:val="superscript"/>
              </w:rPr>
              <w:t>3</w:t>
            </w:r>
          </w:p>
        </w:tc>
      </w:tr>
    </w:tbl>
    <w:p>
      <w:pPr>
        <w:pStyle w:val="129"/>
        <w:adjustRightInd w:val="0"/>
        <w:snapToGrid w:val="0"/>
        <w:spacing w:line="360" w:lineRule="auto"/>
        <w:ind w:firstLine="482"/>
        <w:rPr>
          <w:rFonts w:eastAsiaTheme="minorEastAsia"/>
          <w:b/>
        </w:rPr>
      </w:pPr>
    </w:p>
    <w:p>
      <w:pPr>
        <w:pStyle w:val="129"/>
        <w:adjustRightInd w:val="0"/>
        <w:snapToGrid w:val="0"/>
        <w:spacing w:line="360" w:lineRule="auto"/>
        <w:ind w:firstLine="480"/>
        <w:rPr>
          <w:rFonts w:eastAsiaTheme="minorEastAsia"/>
          <w:b/>
        </w:rPr>
      </w:pPr>
      <w:r>
        <w:rPr>
          <w:rFonts w:eastAsiaTheme="minorEastAsia"/>
        </w:rPr>
        <w:t>TSP每日应有24小时采样时间；提供TSP的日平均值。同时记录气温、气压、相对湿度、风向、风速。</w:t>
      </w:r>
    </w:p>
    <w:p>
      <w:pPr>
        <w:pStyle w:val="4"/>
        <w:rPr>
          <w:rFonts w:eastAsiaTheme="minorEastAsia"/>
        </w:rPr>
      </w:pPr>
      <w:r>
        <w:rPr>
          <w:rFonts w:eastAsiaTheme="minorEastAsia"/>
        </w:rPr>
        <w:t>环境空气质量现状评价</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1、评价标准</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本次评价码头区域执行《环境空气质量标准》（GB3095-2012）二级标准。</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2、评价方法</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环境空气质量现状评价采用占标率指标进行评价，其计算公式如下：</w:t>
      </w:r>
    </w:p>
    <w:p>
      <w:pPr>
        <w:pStyle w:val="176"/>
        <w:adjustRightInd w:val="0"/>
        <w:snapToGrid w:val="0"/>
        <w:jc w:val="center"/>
        <w:rPr>
          <w:rFonts w:eastAsiaTheme="minorEastAsia"/>
          <w:szCs w:val="24"/>
        </w:rPr>
      </w:pPr>
      <w:r>
        <w:rPr>
          <w:rFonts w:eastAsiaTheme="minorEastAsia"/>
          <w:position w:val="-32"/>
          <w:szCs w:val="24"/>
        </w:rPr>
        <w:object>
          <v:shape id="_x0000_i1030" o:spt="75" type="#_x0000_t75" style="height:36pt;width:51pt;" o:ole="t" filled="f" o:preferrelative="t" stroked="f" coordsize="21600,21600">
            <v:path/>
            <v:fill on="f" focussize="0,0"/>
            <v:stroke on="f" joinstyle="miter"/>
            <v:imagedata r:id="rId51" o:title=""/>
            <o:lock v:ext="edit" aspectratio="t"/>
            <w10:wrap type="none"/>
            <w10:anchorlock/>
          </v:shape>
          <o:OLEObject Type="Embed" ProgID="Equation.DSMT4" ShapeID="_x0000_i1030" DrawAspect="Content" ObjectID="_1468075730" r:id="rId50">
            <o:LockedField>false</o:LockedField>
          </o:OLEObject>
        </w:objec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式中：P</w:t>
      </w:r>
      <w:r>
        <w:rPr>
          <w:rFonts w:ascii="Times New Roman" w:hAnsi="Times New Roman" w:eastAsiaTheme="minorEastAsia"/>
          <w:sz w:val="24"/>
          <w:szCs w:val="24"/>
          <w:vertAlign w:val="subscript"/>
        </w:rPr>
        <w:t xml:space="preserve">i </w:t>
      </w:r>
      <w:r>
        <w:rPr>
          <w:rFonts w:ascii="Times New Roman" w:hAnsi="Times New Roman" w:eastAsiaTheme="minorEastAsia"/>
          <w:sz w:val="24"/>
          <w:szCs w:val="24"/>
        </w:rPr>
        <w:t>——第 i 个污染物的最大地面浓度占标率，%；</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C</w:t>
      </w:r>
      <w:r>
        <w:rPr>
          <w:rFonts w:ascii="Times New Roman" w:hAnsi="Times New Roman" w:eastAsiaTheme="minorEastAsia"/>
          <w:sz w:val="24"/>
          <w:szCs w:val="24"/>
          <w:vertAlign w:val="subscript"/>
        </w:rPr>
        <w:t xml:space="preserve">i </w:t>
      </w:r>
      <w:r>
        <w:rPr>
          <w:rFonts w:ascii="Times New Roman" w:hAnsi="Times New Roman" w:eastAsiaTheme="minorEastAsia"/>
          <w:sz w:val="24"/>
          <w:szCs w:val="24"/>
        </w:rPr>
        <w:t>——第 i 种污染物的实测浓度均值（mg/m</w:t>
      </w:r>
      <w:r>
        <w:rPr>
          <w:rFonts w:ascii="Times New Roman" w:hAnsi="Times New Roman" w:eastAsiaTheme="minorEastAsia"/>
          <w:sz w:val="24"/>
          <w:szCs w:val="24"/>
          <w:vertAlign w:val="superscript"/>
        </w:rPr>
        <w:t>3</w:t>
      </w:r>
      <w:r>
        <w:rPr>
          <w:rFonts w:ascii="Times New Roman" w:hAnsi="Times New Roman" w:eastAsiaTheme="minorEastAsia"/>
          <w:sz w:val="24"/>
          <w:szCs w:val="24"/>
        </w:rPr>
        <w:t>）；</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C</w:t>
      </w:r>
      <w:r>
        <w:rPr>
          <w:rFonts w:ascii="Times New Roman" w:hAnsi="Times New Roman" w:eastAsiaTheme="minorEastAsia"/>
          <w:sz w:val="24"/>
          <w:szCs w:val="24"/>
          <w:vertAlign w:val="subscript"/>
        </w:rPr>
        <w:t xml:space="preserve">oi </w:t>
      </w:r>
      <w:r>
        <w:rPr>
          <w:rFonts w:ascii="Times New Roman" w:hAnsi="Times New Roman" w:eastAsiaTheme="minorEastAsia"/>
          <w:sz w:val="24"/>
          <w:szCs w:val="24"/>
        </w:rPr>
        <w:t>——第 i 种污染物的环境空气质量标准值（mg/m</w:t>
      </w:r>
      <w:r>
        <w:rPr>
          <w:rFonts w:ascii="Times New Roman" w:hAnsi="Times New Roman" w:eastAsiaTheme="minorEastAsia"/>
          <w:sz w:val="24"/>
          <w:szCs w:val="24"/>
          <w:vertAlign w:val="superscript"/>
        </w:rPr>
        <w:t>3</w:t>
      </w:r>
      <w:r>
        <w:rPr>
          <w:rFonts w:ascii="Times New Roman" w:hAnsi="Times New Roman" w:eastAsiaTheme="minorEastAsia"/>
          <w:sz w:val="24"/>
          <w:szCs w:val="24"/>
        </w:rPr>
        <w:t>）。</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Pi&gt;100%时即为超标。超标率η计算式如下：</w:t>
      </w:r>
    </w:p>
    <w:p>
      <w:pPr>
        <w:adjustRightInd w:val="0"/>
        <w:snapToGrid w:val="0"/>
        <w:spacing w:line="360" w:lineRule="auto"/>
        <w:jc w:val="center"/>
        <w:rPr>
          <w:rFonts w:ascii="Times New Roman" w:hAnsi="Times New Roman" w:eastAsiaTheme="minorEastAsia"/>
          <w:sz w:val="24"/>
          <w:szCs w:val="24"/>
        </w:rPr>
      </w:pPr>
      <w:r>
        <w:rPr>
          <w:rFonts w:ascii="Times New Roman" w:hAnsi="Times New Roman" w:eastAsiaTheme="minorEastAsia"/>
          <w:sz w:val="24"/>
          <w:szCs w:val="24"/>
        </w:rPr>
        <w:t>超标率 = （超标数据个数 / 中检测数据个数）×100%</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3、评价结果及分析</w:t>
      </w:r>
    </w:p>
    <w:p>
      <w:pPr>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本项目所在区域环境空气质量现状监测结果见表4.6-4。</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表4.6-4  特征因子监测数据统计结果汇总</w:t>
      </w:r>
    </w:p>
    <w:tbl>
      <w:tblPr>
        <w:tblStyle w:val="71"/>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127"/>
        <w:gridCol w:w="1571"/>
        <w:gridCol w:w="1875"/>
        <w:gridCol w:w="1076"/>
        <w:gridCol w:w="1302"/>
        <w:gridCol w:w="1076"/>
        <w:gridCol w:w="107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619"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监测点位</w:t>
            </w:r>
          </w:p>
        </w:tc>
        <w:tc>
          <w:tcPr>
            <w:tcW w:w="863"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监测项目</w:t>
            </w:r>
          </w:p>
        </w:tc>
        <w:tc>
          <w:tcPr>
            <w:tcW w:w="1030"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浓度范围（</w:t>
            </w:r>
            <w:r>
              <w:rPr>
                <w:rFonts w:ascii="Times New Roman" w:hAnsi="Times New Roman" w:eastAsiaTheme="minorEastAsia"/>
                <w:b/>
              </w:rPr>
              <w:t>mg/m</w:t>
            </w:r>
            <w:r>
              <w:rPr>
                <w:rFonts w:ascii="Times New Roman" w:hAnsi="Times New Roman" w:eastAsiaTheme="minorEastAsia"/>
                <w:b/>
                <w:vertAlign w:val="superscript"/>
              </w:rPr>
              <w:t>3</w:t>
            </w:r>
            <w:r>
              <w:rPr>
                <w:rFonts w:ascii="Times New Roman" w:hAnsi="Times New Roman" w:eastAsiaTheme="minorEastAsia"/>
                <w:b/>
                <w:color w:val="000000"/>
                <w:kern w:val="0"/>
              </w:rPr>
              <w:t>）</w:t>
            </w:r>
          </w:p>
        </w:tc>
        <w:tc>
          <w:tcPr>
            <w:tcW w:w="591"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标准值</w:t>
            </w:r>
          </w:p>
        </w:tc>
        <w:tc>
          <w:tcPr>
            <w:tcW w:w="715"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最大浓度占标率%</w:t>
            </w:r>
          </w:p>
        </w:tc>
        <w:tc>
          <w:tcPr>
            <w:tcW w:w="591"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超标率</w:t>
            </w:r>
          </w:p>
        </w:tc>
        <w:tc>
          <w:tcPr>
            <w:tcW w:w="589" w:type="pct"/>
            <w:vAlign w:val="center"/>
          </w:tcPr>
          <w:p>
            <w:pPr>
              <w:autoSpaceDE w:val="0"/>
              <w:autoSpaceDN w:val="0"/>
              <w:adjustRightInd w:val="0"/>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达标情况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G1</w:t>
            </w:r>
          </w:p>
        </w:tc>
        <w:tc>
          <w:tcPr>
            <w:tcW w:w="863"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TSP</w:t>
            </w:r>
          </w:p>
        </w:tc>
        <w:tc>
          <w:tcPr>
            <w:tcW w:w="1030"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0.08~0.10</w:t>
            </w:r>
          </w:p>
        </w:tc>
        <w:tc>
          <w:tcPr>
            <w:tcW w:w="59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0.3</w:t>
            </w:r>
          </w:p>
        </w:tc>
        <w:tc>
          <w:tcPr>
            <w:tcW w:w="715"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33.3</w:t>
            </w:r>
          </w:p>
        </w:tc>
        <w:tc>
          <w:tcPr>
            <w:tcW w:w="591"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w:t>
            </w:r>
          </w:p>
        </w:tc>
        <w:tc>
          <w:tcPr>
            <w:tcW w:w="589" w:type="pct"/>
            <w:vAlign w:val="center"/>
          </w:tcPr>
          <w:p>
            <w:pPr>
              <w:autoSpaceDE w:val="0"/>
              <w:autoSpaceDN w:val="0"/>
              <w:adjustRightInd w:val="0"/>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达标</w:t>
            </w:r>
          </w:p>
        </w:tc>
      </w:tr>
    </w:tbl>
    <w:p>
      <w:pPr>
        <w:adjustRightInd w:val="0"/>
        <w:snapToGrid w:val="0"/>
        <w:spacing w:before="156" w:beforeLines="50"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评价结果表明，项目所在区域监测点位的TSP满足《环境空气质量标准》（GB3095-2012）二级标准要求，评价区域内环境空气质量现状良好。</w:t>
      </w:r>
    </w:p>
    <w:p>
      <w:pPr>
        <w:pStyle w:val="3"/>
        <w:rPr>
          <w:rFonts w:ascii="Times New Roman" w:hAnsi="Times New Roman" w:eastAsiaTheme="minorEastAsia"/>
          <w:b/>
        </w:rPr>
      </w:pPr>
      <w:bookmarkStart w:id="81" w:name="_Toc25590409"/>
      <w:bookmarkStart w:id="82" w:name="_Toc19790"/>
      <w:r>
        <w:rPr>
          <w:rFonts w:ascii="Times New Roman" w:hAnsi="Times New Roman" w:eastAsiaTheme="minorEastAsia"/>
          <w:b/>
        </w:rPr>
        <w:t>声环境现状调查与评价</w:t>
      </w:r>
      <w:bookmarkEnd w:id="81"/>
      <w:bookmarkEnd w:id="82"/>
    </w:p>
    <w:p>
      <w:pPr>
        <w:pStyle w:val="4"/>
        <w:rPr>
          <w:rFonts w:eastAsiaTheme="minorEastAsia"/>
        </w:rPr>
      </w:pPr>
      <w:r>
        <w:rPr>
          <w:rFonts w:eastAsiaTheme="minorEastAsia"/>
        </w:rPr>
        <w:t>声环境现状调查</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1、评价范围声功能区划</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目前，本项目所在地区尚没有进行环境功能区划。</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2、本项目周边主要噪声污染源</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sz w:val="24"/>
          <w:szCs w:val="24"/>
        </w:rPr>
        <w:t>本项目评价范围内均为农村，主要噪声源主要为现有交通噪声和居民生活噪声，其中交通噪声为主要污染源。</w:t>
      </w:r>
    </w:p>
    <w:p>
      <w:pPr>
        <w:pStyle w:val="4"/>
        <w:rPr>
          <w:rFonts w:eastAsiaTheme="minorEastAsia"/>
        </w:rPr>
      </w:pPr>
      <w:r>
        <w:rPr>
          <w:rFonts w:eastAsiaTheme="minorEastAsia"/>
        </w:rPr>
        <w:t>声环境现状监测</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本次评价委托长沙环院检测技术有限公司于2019年10月28日~29日期间针对码头周边敏感点进行了声环境现状监测。</w:t>
      </w:r>
    </w:p>
    <w:p>
      <w:pPr>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1、监测布点</w:t>
      </w:r>
    </w:p>
    <w:p>
      <w:pPr>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华能码头厂址厂界四周，详见表4.7-1。</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表4.7-1  声环境现状监测布点一览表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84"/>
        <w:gridCol w:w="4612"/>
        <w:gridCol w:w="35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541" w:type="pct"/>
            <w:shd w:val="clear" w:color="auto" w:fill="auto"/>
            <w:tcMar>
              <w:left w:w="0" w:type="dxa"/>
              <w:right w:w="0" w:type="dxa"/>
            </w:tcMar>
            <w:vAlign w:val="center"/>
          </w:tcPr>
          <w:p>
            <w:pPr>
              <w:widowControl/>
              <w:adjustRightInd w:val="0"/>
              <w:snapToGrid w:val="0"/>
              <w:jc w:val="center"/>
              <w:rPr>
                <w:rFonts w:ascii="Times New Roman" w:hAnsi="Times New Roman" w:eastAsiaTheme="minorEastAsia"/>
                <w:b/>
                <w:bCs/>
                <w:color w:val="000000"/>
                <w:kern w:val="0"/>
                <w:lang w:bidi="ar"/>
              </w:rPr>
            </w:pPr>
            <w:r>
              <w:rPr>
                <w:rFonts w:ascii="Times New Roman" w:hAnsi="Times New Roman" w:eastAsiaTheme="minorEastAsia"/>
                <w:b/>
                <w:bCs/>
                <w:color w:val="000000"/>
                <w:kern w:val="0"/>
                <w:lang w:bidi="ar"/>
              </w:rPr>
              <w:t>序号</w:t>
            </w:r>
          </w:p>
        </w:tc>
        <w:tc>
          <w:tcPr>
            <w:tcW w:w="2534" w:type="pct"/>
            <w:shd w:val="clear" w:color="auto" w:fill="auto"/>
            <w:tcMar>
              <w:left w:w="0" w:type="dxa"/>
              <w:right w:w="0" w:type="dxa"/>
            </w:tcMar>
            <w:vAlign w:val="center"/>
          </w:tcPr>
          <w:p>
            <w:pPr>
              <w:widowControl/>
              <w:adjustRightInd w:val="0"/>
              <w:snapToGrid w:val="0"/>
              <w:jc w:val="center"/>
              <w:rPr>
                <w:rFonts w:ascii="Times New Roman" w:hAnsi="Times New Roman" w:eastAsiaTheme="minorEastAsia"/>
                <w:b/>
                <w:bCs/>
                <w:color w:val="000000"/>
                <w:kern w:val="0"/>
                <w:lang w:bidi="ar"/>
              </w:rPr>
            </w:pPr>
            <w:r>
              <w:rPr>
                <w:rFonts w:ascii="Times New Roman" w:hAnsi="Times New Roman" w:eastAsiaTheme="minorEastAsia"/>
                <w:b/>
                <w:bCs/>
                <w:color w:val="000000"/>
                <w:kern w:val="0"/>
                <w:lang w:bidi="ar"/>
              </w:rPr>
              <w:t>监测点位</w:t>
            </w:r>
          </w:p>
        </w:tc>
        <w:tc>
          <w:tcPr>
            <w:tcW w:w="1925" w:type="pct"/>
            <w:shd w:val="clear" w:color="auto" w:fill="auto"/>
            <w:tcMar>
              <w:left w:w="0" w:type="dxa"/>
              <w:right w:w="0" w:type="dxa"/>
            </w:tcMar>
            <w:vAlign w:val="center"/>
          </w:tcPr>
          <w:p>
            <w:pPr>
              <w:widowControl/>
              <w:adjustRightInd w:val="0"/>
              <w:snapToGrid w:val="0"/>
              <w:jc w:val="center"/>
              <w:rPr>
                <w:rFonts w:ascii="Times New Roman" w:hAnsi="Times New Roman" w:eastAsiaTheme="minorEastAsia"/>
                <w:b/>
                <w:bCs/>
                <w:color w:val="000000"/>
                <w:kern w:val="0"/>
                <w:lang w:bidi="ar"/>
              </w:rPr>
            </w:pPr>
            <w:r>
              <w:rPr>
                <w:rFonts w:ascii="Times New Roman" w:hAnsi="Times New Roman" w:eastAsiaTheme="minorEastAsia"/>
                <w:b/>
                <w:bCs/>
                <w:color w:val="000000"/>
                <w:kern w:val="0"/>
                <w:lang w:bidi="ar"/>
              </w:rPr>
              <w:t>经纬度坐标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1" w:type="pct"/>
            <w:shd w:val="clear" w:color="auto" w:fill="auto"/>
            <w:tcMar>
              <w:left w:w="0" w:type="dxa"/>
              <w:right w:w="0" w:type="dxa"/>
            </w:tcMar>
            <w:vAlign w:val="center"/>
          </w:tcPr>
          <w:p>
            <w:pPr>
              <w:pStyle w:val="174"/>
              <w:adjustRightInd w:val="0"/>
              <w:snapToGrid w:val="0"/>
              <w:spacing w:line="240" w:lineRule="auto"/>
              <w:rPr>
                <w:rFonts w:eastAsiaTheme="minorEastAsia"/>
                <w:color w:val="000000"/>
                <w:kern w:val="0"/>
                <w:sz w:val="21"/>
                <w:szCs w:val="21"/>
                <w:lang w:bidi="ar"/>
              </w:rPr>
            </w:pPr>
            <w:r>
              <w:rPr>
                <w:rFonts w:eastAsiaTheme="minorEastAsia"/>
                <w:color w:val="000000"/>
                <w:kern w:val="0"/>
                <w:sz w:val="21"/>
                <w:szCs w:val="21"/>
                <w:lang w:bidi="ar"/>
              </w:rPr>
              <w:t>N1</w:t>
            </w:r>
          </w:p>
        </w:tc>
        <w:tc>
          <w:tcPr>
            <w:tcW w:w="2534" w:type="pct"/>
            <w:shd w:val="clear" w:color="auto" w:fill="auto"/>
            <w:tcMar>
              <w:left w:w="0" w:type="dxa"/>
              <w:right w:w="0" w:type="dxa"/>
            </w:tcMar>
            <w:vAlign w:val="center"/>
          </w:tcPr>
          <w:p>
            <w:pPr>
              <w:pStyle w:val="174"/>
              <w:adjustRightInd w:val="0"/>
              <w:snapToGrid w:val="0"/>
              <w:spacing w:line="240" w:lineRule="auto"/>
              <w:rPr>
                <w:rFonts w:eastAsiaTheme="minorEastAsia"/>
                <w:color w:val="000000"/>
                <w:kern w:val="0"/>
                <w:sz w:val="21"/>
                <w:szCs w:val="21"/>
                <w:lang w:bidi="ar"/>
              </w:rPr>
            </w:pPr>
            <w:r>
              <w:rPr>
                <w:rFonts w:eastAsiaTheme="minorEastAsia"/>
                <w:color w:val="000000"/>
                <w:kern w:val="0"/>
                <w:sz w:val="21"/>
                <w:szCs w:val="21"/>
                <w:lang w:bidi="ar"/>
              </w:rPr>
              <w:t>华能码头T1转运站衰减断面：在开阔地带设噪声衰减断面，在断面上距T1转运站的距离分别为20m，40m，60m，80m，120m，150m，200m处各设置一个点位；各点同步监测</w:t>
            </w:r>
          </w:p>
        </w:tc>
        <w:tc>
          <w:tcPr>
            <w:tcW w:w="1925" w:type="pct"/>
            <w:shd w:val="clear" w:color="auto" w:fill="auto"/>
            <w:tcMar>
              <w:left w:w="0" w:type="dxa"/>
              <w:right w:w="0" w:type="dxa"/>
            </w:tcMar>
            <w:vAlign w:val="center"/>
          </w:tcPr>
          <w:p>
            <w:pPr>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E: 113°10'17.24"，N: 29°27'50.45"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1" w:type="pct"/>
            <w:shd w:val="clear" w:color="auto" w:fill="auto"/>
            <w:tcMar>
              <w:left w:w="0" w:type="dxa"/>
              <w:right w:w="0" w:type="dxa"/>
            </w:tcMar>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N2</w:t>
            </w:r>
          </w:p>
        </w:tc>
        <w:tc>
          <w:tcPr>
            <w:tcW w:w="2534" w:type="pct"/>
            <w:shd w:val="clear" w:color="auto" w:fill="auto"/>
            <w:tcMar>
              <w:left w:w="0" w:type="dxa"/>
              <w:right w:w="0" w:type="dxa"/>
            </w:tcMar>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长江干堤东侧居民点</w:t>
            </w:r>
          </w:p>
        </w:tc>
        <w:tc>
          <w:tcPr>
            <w:tcW w:w="1925" w:type="pct"/>
            <w:shd w:val="clear" w:color="auto" w:fill="auto"/>
            <w:tcMar>
              <w:left w:w="0" w:type="dxa"/>
              <w:right w:w="0" w:type="dxa"/>
            </w:tcMar>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E: 113°10'18.85"，N: 29°27'39.33"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1" w:type="pct"/>
            <w:shd w:val="clear" w:color="auto" w:fill="auto"/>
            <w:tcMar>
              <w:left w:w="0" w:type="dxa"/>
              <w:right w:w="0" w:type="dxa"/>
            </w:tcMar>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N3</w:t>
            </w:r>
          </w:p>
        </w:tc>
        <w:tc>
          <w:tcPr>
            <w:tcW w:w="2534" w:type="pct"/>
            <w:shd w:val="clear" w:color="auto" w:fill="auto"/>
            <w:tcMar>
              <w:left w:w="0" w:type="dxa"/>
              <w:right w:w="0" w:type="dxa"/>
            </w:tcMar>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长江村</w:t>
            </w:r>
          </w:p>
        </w:tc>
        <w:tc>
          <w:tcPr>
            <w:tcW w:w="1925" w:type="pct"/>
            <w:shd w:val="clear" w:color="auto" w:fill="auto"/>
            <w:tcMar>
              <w:left w:w="0" w:type="dxa"/>
              <w:right w:w="0" w:type="dxa"/>
            </w:tcMar>
            <w:vAlign w:val="center"/>
          </w:tcPr>
          <w:p>
            <w:pPr>
              <w:widowControl/>
              <w:adjustRightInd w:val="0"/>
              <w:snapToGrid w:val="0"/>
              <w:jc w:val="center"/>
              <w:rPr>
                <w:rFonts w:ascii="Times New Roman" w:hAnsi="Times New Roman" w:eastAsiaTheme="minorEastAsia"/>
                <w:color w:val="000000"/>
                <w:kern w:val="0"/>
                <w:lang w:bidi="ar"/>
              </w:rPr>
            </w:pPr>
            <w:r>
              <w:rPr>
                <w:rFonts w:ascii="Times New Roman" w:hAnsi="Times New Roman" w:eastAsiaTheme="minorEastAsia"/>
                <w:color w:val="000000"/>
                <w:kern w:val="0"/>
                <w:lang w:bidi="ar"/>
              </w:rPr>
              <w:t>E: 113°10'41.95"，N: 29°27'48.32"</w:t>
            </w:r>
          </w:p>
        </w:tc>
      </w:tr>
    </w:tbl>
    <w:p>
      <w:pPr>
        <w:adjustRightInd w:val="0"/>
        <w:snapToGrid w:val="0"/>
        <w:spacing w:line="360" w:lineRule="auto"/>
        <w:ind w:firstLine="480" w:firstLineChars="200"/>
        <w:rPr>
          <w:rFonts w:ascii="Times New Roman" w:hAnsi="Times New Roman" w:eastAsiaTheme="minorEastAsia"/>
          <w:color w:val="000000"/>
          <w:sz w:val="24"/>
          <w:szCs w:val="24"/>
        </w:rPr>
      </w:pPr>
    </w:p>
    <w:p>
      <w:pPr>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2、监测时间、频率</w:t>
      </w:r>
    </w:p>
    <w:p>
      <w:pPr>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监测2天，每天昼夜间各监测1次，对各个噪声监测点进行昼间和夜间监测。昼间06:00~22:00，夜间22:00~06:00（次日）。</w:t>
      </w:r>
    </w:p>
    <w:p>
      <w:pPr>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3、监测方法</w:t>
      </w:r>
    </w:p>
    <w:p>
      <w:pPr>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按《声环境质量标准》（GB3096-2008）的规定，采用符合国家计量规定的声级计进行监测。监测期间天气良好，无雨雪、无雷电天气，风速小于5m/s，传声器设置户外1m处，高度为1.2m以上。</w:t>
      </w:r>
    </w:p>
    <w:p>
      <w:pPr>
        <w:pStyle w:val="4"/>
        <w:rPr>
          <w:rFonts w:eastAsiaTheme="minorEastAsia"/>
        </w:rPr>
      </w:pPr>
      <w:r>
        <w:rPr>
          <w:rFonts w:eastAsiaTheme="minorEastAsia"/>
        </w:rPr>
        <w:t>环境噪声现状评价</w:t>
      </w:r>
    </w:p>
    <w:p>
      <w:pPr>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1、评价标准及方法</w:t>
      </w:r>
    </w:p>
    <w:p>
      <w:pPr>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采用等效声级与相应标准值比较的方法进行，本项目所在地声环境质量执行《声环境质量标准》（GB3096-2008）2类、4a类标准。</w:t>
      </w:r>
    </w:p>
    <w:p>
      <w:pPr>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2、评价结果及分析</w:t>
      </w:r>
    </w:p>
    <w:p>
      <w:pPr>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本项目各个噪声监测点声环境现状监测及评价结果见表4.7-2。</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表4.7-2  噪声监测结果一览表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554"/>
        <w:gridCol w:w="802"/>
        <w:gridCol w:w="964"/>
        <w:gridCol w:w="954"/>
        <w:gridCol w:w="971"/>
        <w:gridCol w:w="713"/>
        <w:gridCol w:w="718"/>
        <w:gridCol w:w="713"/>
        <w:gridCol w:w="7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403" w:type="pct"/>
            <w:vMerge w:val="restart"/>
            <w:tcBorders>
              <w:tl2br w:val="nil"/>
              <w:tr2bl w:val="nil"/>
            </w:tcBorders>
            <w:vAlign w:val="center"/>
          </w:tcPr>
          <w:p>
            <w:pPr>
              <w:adjustRightInd w:val="0"/>
              <w:snapToGrid w:val="0"/>
              <w:jc w:val="center"/>
              <w:rPr>
                <w:rFonts w:ascii="Times New Roman" w:hAnsi="Times New Roman"/>
                <w:b/>
                <w:color w:val="000000"/>
              </w:rPr>
            </w:pPr>
            <w:r>
              <w:rPr>
                <w:rFonts w:ascii="Times New Roman" w:hAnsi="Times New Roman"/>
                <w:b/>
                <w:color w:val="000000"/>
              </w:rPr>
              <w:t>检测点位</w:t>
            </w:r>
          </w:p>
        </w:tc>
        <w:tc>
          <w:tcPr>
            <w:tcW w:w="2028" w:type="pct"/>
            <w:gridSpan w:val="4"/>
            <w:tcBorders>
              <w:tl2br w:val="nil"/>
              <w:tr2bl w:val="nil"/>
            </w:tcBorders>
            <w:vAlign w:val="center"/>
          </w:tcPr>
          <w:p>
            <w:pPr>
              <w:adjustRightInd w:val="0"/>
              <w:snapToGrid w:val="0"/>
              <w:jc w:val="center"/>
              <w:rPr>
                <w:rFonts w:ascii="Times New Roman" w:hAnsi="Times New Roman"/>
                <w:b/>
                <w:color w:val="000000"/>
              </w:rPr>
            </w:pPr>
            <w:r>
              <w:rPr>
                <w:rFonts w:ascii="Times New Roman" w:hAnsi="Times New Roman"/>
                <w:b/>
                <w:bCs/>
                <w:color w:val="000000"/>
              </w:rPr>
              <w:t>检测结果L</w:t>
            </w:r>
            <w:r>
              <w:rPr>
                <w:rFonts w:ascii="Times New Roman" w:hAnsi="Times New Roman"/>
                <w:b/>
                <w:bCs/>
                <w:color w:val="000000"/>
                <w:vertAlign w:val="subscript"/>
              </w:rPr>
              <w:t>eq</w:t>
            </w:r>
            <w:r>
              <w:rPr>
                <w:rFonts w:ascii="Times New Roman" w:hAnsi="Times New Roman"/>
                <w:b/>
                <w:bCs/>
                <w:color w:val="000000"/>
              </w:rPr>
              <w:t>（dB（A））</w:t>
            </w:r>
          </w:p>
        </w:tc>
        <w:tc>
          <w:tcPr>
            <w:tcW w:w="787" w:type="pct"/>
            <w:gridSpan w:val="2"/>
            <w:vMerge w:val="restart"/>
            <w:tcBorders>
              <w:tl2br w:val="nil"/>
              <w:tr2bl w:val="nil"/>
            </w:tcBorders>
            <w:vAlign w:val="center"/>
          </w:tcPr>
          <w:p>
            <w:pPr>
              <w:adjustRightInd w:val="0"/>
              <w:snapToGrid w:val="0"/>
              <w:jc w:val="center"/>
              <w:rPr>
                <w:rFonts w:ascii="Times New Roman" w:hAnsi="Times New Roman"/>
                <w:b/>
                <w:bCs/>
                <w:color w:val="000000"/>
              </w:rPr>
            </w:pPr>
            <w:r>
              <w:rPr>
                <w:rFonts w:ascii="Times New Roman" w:hAnsi="Times New Roman"/>
                <w:b/>
                <w:bCs/>
                <w:color w:val="000000"/>
              </w:rPr>
              <w:t>标准值</w:t>
            </w:r>
          </w:p>
        </w:tc>
        <w:tc>
          <w:tcPr>
            <w:tcW w:w="782" w:type="pct"/>
            <w:gridSpan w:val="2"/>
            <w:vMerge w:val="restart"/>
            <w:tcBorders>
              <w:tl2br w:val="nil"/>
              <w:tr2bl w:val="nil"/>
            </w:tcBorders>
            <w:vAlign w:val="center"/>
          </w:tcPr>
          <w:p>
            <w:pPr>
              <w:adjustRightInd w:val="0"/>
              <w:snapToGrid w:val="0"/>
              <w:jc w:val="center"/>
              <w:rPr>
                <w:rFonts w:ascii="Times New Roman" w:hAnsi="Times New Roman"/>
                <w:b/>
                <w:bCs/>
                <w:color w:val="000000"/>
              </w:rPr>
            </w:pPr>
            <w:r>
              <w:rPr>
                <w:rFonts w:ascii="Times New Roman" w:hAnsi="Times New Roman"/>
                <w:b/>
                <w:bCs/>
                <w:color w:val="000000"/>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403" w:type="pct"/>
            <w:vMerge w:val="continue"/>
            <w:tcBorders>
              <w:tl2br w:val="nil"/>
              <w:tr2bl w:val="nil"/>
            </w:tcBorders>
            <w:vAlign w:val="center"/>
          </w:tcPr>
          <w:p>
            <w:pPr>
              <w:adjustRightInd w:val="0"/>
              <w:snapToGrid w:val="0"/>
              <w:jc w:val="center"/>
              <w:rPr>
                <w:rFonts w:ascii="Times New Roman" w:hAnsi="Times New Roman"/>
                <w:b/>
                <w:color w:val="000000"/>
              </w:rPr>
            </w:pPr>
          </w:p>
        </w:tc>
        <w:tc>
          <w:tcPr>
            <w:tcW w:w="970" w:type="pct"/>
            <w:gridSpan w:val="2"/>
            <w:tcBorders>
              <w:tl2br w:val="nil"/>
              <w:tr2bl w:val="nil"/>
            </w:tcBorders>
            <w:vAlign w:val="center"/>
          </w:tcPr>
          <w:p>
            <w:pPr>
              <w:adjustRightInd w:val="0"/>
              <w:snapToGrid w:val="0"/>
              <w:jc w:val="center"/>
              <w:rPr>
                <w:rFonts w:ascii="Times New Roman" w:hAnsi="Times New Roman"/>
                <w:b/>
                <w:color w:val="000000"/>
              </w:rPr>
            </w:pPr>
            <w:r>
              <w:rPr>
                <w:rFonts w:ascii="Times New Roman" w:hAnsi="Times New Roman"/>
                <w:b/>
                <w:bCs/>
                <w:color w:val="000000"/>
              </w:rPr>
              <w:t>10月28日</w:t>
            </w:r>
          </w:p>
        </w:tc>
        <w:tc>
          <w:tcPr>
            <w:tcW w:w="1058" w:type="pct"/>
            <w:gridSpan w:val="2"/>
            <w:tcBorders>
              <w:tl2br w:val="nil"/>
              <w:tr2bl w:val="nil"/>
            </w:tcBorders>
            <w:vAlign w:val="center"/>
          </w:tcPr>
          <w:p>
            <w:pPr>
              <w:adjustRightInd w:val="0"/>
              <w:snapToGrid w:val="0"/>
              <w:jc w:val="center"/>
              <w:rPr>
                <w:rFonts w:ascii="Times New Roman" w:hAnsi="Times New Roman"/>
                <w:b/>
                <w:color w:val="000000"/>
              </w:rPr>
            </w:pPr>
            <w:r>
              <w:rPr>
                <w:rFonts w:ascii="Times New Roman" w:hAnsi="Times New Roman"/>
                <w:b/>
                <w:bCs/>
                <w:color w:val="000000"/>
              </w:rPr>
              <w:t>10月29日</w:t>
            </w:r>
          </w:p>
        </w:tc>
        <w:tc>
          <w:tcPr>
            <w:tcW w:w="787" w:type="pct"/>
            <w:gridSpan w:val="2"/>
            <w:vMerge w:val="continue"/>
            <w:tcBorders>
              <w:tl2br w:val="nil"/>
              <w:tr2bl w:val="nil"/>
            </w:tcBorders>
            <w:vAlign w:val="center"/>
          </w:tcPr>
          <w:p>
            <w:pPr>
              <w:adjustRightInd w:val="0"/>
              <w:snapToGrid w:val="0"/>
              <w:jc w:val="center"/>
              <w:rPr>
                <w:rFonts w:ascii="Times New Roman" w:hAnsi="Times New Roman"/>
                <w:b/>
                <w:bCs/>
                <w:color w:val="000000"/>
              </w:rPr>
            </w:pPr>
          </w:p>
        </w:tc>
        <w:tc>
          <w:tcPr>
            <w:tcW w:w="782" w:type="pct"/>
            <w:gridSpan w:val="2"/>
            <w:vMerge w:val="continue"/>
            <w:tcBorders>
              <w:tl2br w:val="nil"/>
              <w:tr2bl w:val="nil"/>
            </w:tcBorders>
            <w:vAlign w:val="center"/>
          </w:tcPr>
          <w:p>
            <w:pPr>
              <w:adjustRightInd w:val="0"/>
              <w:snapToGrid w:val="0"/>
              <w:jc w:val="center"/>
              <w:rPr>
                <w:rFonts w:ascii="Times New Roman" w:hAnsi="Times New Roman"/>
                <w:b/>
                <w:bCs/>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403" w:type="pct"/>
            <w:vMerge w:val="continue"/>
            <w:tcBorders>
              <w:tl2br w:val="nil"/>
              <w:tr2bl w:val="nil"/>
            </w:tcBorders>
            <w:vAlign w:val="center"/>
          </w:tcPr>
          <w:p>
            <w:pPr>
              <w:adjustRightInd w:val="0"/>
              <w:snapToGrid w:val="0"/>
              <w:jc w:val="center"/>
              <w:rPr>
                <w:rFonts w:ascii="Times New Roman" w:hAnsi="Times New Roman"/>
                <w:b/>
                <w:color w:val="000000"/>
              </w:rPr>
            </w:pPr>
          </w:p>
        </w:tc>
        <w:tc>
          <w:tcPr>
            <w:tcW w:w="440" w:type="pct"/>
            <w:tcBorders>
              <w:tl2br w:val="nil"/>
              <w:tr2bl w:val="nil"/>
            </w:tcBorders>
            <w:vAlign w:val="center"/>
          </w:tcPr>
          <w:p>
            <w:pPr>
              <w:adjustRightInd w:val="0"/>
              <w:snapToGrid w:val="0"/>
              <w:jc w:val="center"/>
              <w:rPr>
                <w:rFonts w:ascii="Times New Roman" w:hAnsi="Times New Roman"/>
                <w:b/>
                <w:color w:val="000000"/>
              </w:rPr>
            </w:pPr>
            <w:r>
              <w:rPr>
                <w:rFonts w:ascii="Times New Roman" w:hAnsi="Times New Roman"/>
                <w:b/>
                <w:color w:val="000000"/>
              </w:rPr>
              <w:t>昼间</w:t>
            </w:r>
          </w:p>
        </w:tc>
        <w:tc>
          <w:tcPr>
            <w:tcW w:w="530" w:type="pct"/>
            <w:tcBorders>
              <w:tl2br w:val="nil"/>
              <w:tr2bl w:val="nil"/>
            </w:tcBorders>
            <w:vAlign w:val="center"/>
          </w:tcPr>
          <w:p>
            <w:pPr>
              <w:adjustRightInd w:val="0"/>
              <w:snapToGrid w:val="0"/>
              <w:jc w:val="center"/>
              <w:rPr>
                <w:rFonts w:ascii="Times New Roman" w:hAnsi="Times New Roman"/>
                <w:b/>
                <w:color w:val="000000"/>
              </w:rPr>
            </w:pPr>
            <w:r>
              <w:rPr>
                <w:rFonts w:ascii="Times New Roman" w:hAnsi="Times New Roman"/>
                <w:b/>
                <w:color w:val="000000"/>
              </w:rPr>
              <w:t>夜间</w:t>
            </w:r>
          </w:p>
        </w:tc>
        <w:tc>
          <w:tcPr>
            <w:tcW w:w="524" w:type="pct"/>
            <w:tcBorders>
              <w:tl2br w:val="nil"/>
              <w:tr2bl w:val="nil"/>
            </w:tcBorders>
            <w:vAlign w:val="center"/>
          </w:tcPr>
          <w:p>
            <w:pPr>
              <w:adjustRightInd w:val="0"/>
              <w:snapToGrid w:val="0"/>
              <w:jc w:val="center"/>
              <w:rPr>
                <w:rFonts w:ascii="Times New Roman" w:hAnsi="Times New Roman"/>
                <w:b/>
                <w:color w:val="000000"/>
              </w:rPr>
            </w:pPr>
            <w:r>
              <w:rPr>
                <w:rFonts w:ascii="Times New Roman" w:hAnsi="Times New Roman"/>
                <w:b/>
                <w:color w:val="000000"/>
              </w:rPr>
              <w:t>昼间</w:t>
            </w:r>
          </w:p>
        </w:tc>
        <w:tc>
          <w:tcPr>
            <w:tcW w:w="534" w:type="pct"/>
            <w:tcBorders>
              <w:tl2br w:val="nil"/>
              <w:tr2bl w:val="nil"/>
            </w:tcBorders>
            <w:vAlign w:val="center"/>
          </w:tcPr>
          <w:p>
            <w:pPr>
              <w:adjustRightInd w:val="0"/>
              <w:snapToGrid w:val="0"/>
              <w:jc w:val="center"/>
              <w:rPr>
                <w:rFonts w:ascii="Times New Roman" w:hAnsi="Times New Roman"/>
                <w:b/>
                <w:color w:val="000000"/>
              </w:rPr>
            </w:pPr>
            <w:r>
              <w:rPr>
                <w:rFonts w:ascii="Times New Roman" w:hAnsi="Times New Roman"/>
                <w:b/>
                <w:color w:val="000000"/>
              </w:rPr>
              <w:t>夜间</w:t>
            </w:r>
          </w:p>
        </w:tc>
        <w:tc>
          <w:tcPr>
            <w:tcW w:w="392" w:type="pct"/>
            <w:tcBorders>
              <w:tl2br w:val="nil"/>
              <w:tr2bl w:val="nil"/>
            </w:tcBorders>
            <w:vAlign w:val="center"/>
          </w:tcPr>
          <w:p>
            <w:pPr>
              <w:adjustRightInd w:val="0"/>
              <w:snapToGrid w:val="0"/>
              <w:jc w:val="center"/>
              <w:rPr>
                <w:rFonts w:ascii="Times New Roman" w:hAnsi="Times New Roman"/>
                <w:b/>
                <w:color w:val="000000"/>
              </w:rPr>
            </w:pPr>
            <w:r>
              <w:rPr>
                <w:rFonts w:ascii="Times New Roman" w:hAnsi="Times New Roman"/>
                <w:b/>
                <w:color w:val="000000"/>
              </w:rPr>
              <w:t>昼间</w:t>
            </w:r>
          </w:p>
        </w:tc>
        <w:tc>
          <w:tcPr>
            <w:tcW w:w="395" w:type="pct"/>
            <w:tcBorders>
              <w:tl2br w:val="nil"/>
              <w:tr2bl w:val="nil"/>
            </w:tcBorders>
            <w:vAlign w:val="center"/>
          </w:tcPr>
          <w:p>
            <w:pPr>
              <w:adjustRightInd w:val="0"/>
              <w:snapToGrid w:val="0"/>
              <w:jc w:val="center"/>
              <w:rPr>
                <w:rFonts w:ascii="Times New Roman" w:hAnsi="Times New Roman"/>
                <w:b/>
                <w:color w:val="000000"/>
              </w:rPr>
            </w:pPr>
            <w:r>
              <w:rPr>
                <w:rFonts w:ascii="Times New Roman" w:hAnsi="Times New Roman"/>
                <w:b/>
                <w:color w:val="000000"/>
              </w:rPr>
              <w:t>夜间</w:t>
            </w:r>
          </w:p>
        </w:tc>
        <w:tc>
          <w:tcPr>
            <w:tcW w:w="392" w:type="pct"/>
            <w:tcBorders>
              <w:tl2br w:val="nil"/>
              <w:tr2bl w:val="nil"/>
            </w:tcBorders>
            <w:vAlign w:val="center"/>
          </w:tcPr>
          <w:p>
            <w:pPr>
              <w:adjustRightInd w:val="0"/>
              <w:snapToGrid w:val="0"/>
              <w:jc w:val="center"/>
              <w:rPr>
                <w:rFonts w:ascii="Times New Roman" w:hAnsi="Times New Roman"/>
                <w:b/>
                <w:color w:val="000000"/>
              </w:rPr>
            </w:pPr>
            <w:r>
              <w:rPr>
                <w:rFonts w:ascii="Times New Roman" w:hAnsi="Times New Roman"/>
                <w:b/>
                <w:color w:val="000000"/>
              </w:rPr>
              <w:t>昼间</w:t>
            </w:r>
          </w:p>
        </w:tc>
        <w:tc>
          <w:tcPr>
            <w:tcW w:w="390" w:type="pct"/>
            <w:tcBorders>
              <w:tl2br w:val="nil"/>
              <w:tr2bl w:val="nil"/>
            </w:tcBorders>
            <w:vAlign w:val="center"/>
          </w:tcPr>
          <w:p>
            <w:pPr>
              <w:adjustRightInd w:val="0"/>
              <w:snapToGrid w:val="0"/>
              <w:jc w:val="center"/>
              <w:rPr>
                <w:rFonts w:ascii="Times New Roman" w:hAnsi="Times New Roman"/>
                <w:b/>
                <w:color w:val="000000"/>
              </w:rPr>
            </w:pPr>
            <w:r>
              <w:rPr>
                <w:rFonts w:ascii="Times New Roman" w:hAnsi="Times New Roman"/>
                <w:b/>
                <w:color w:val="000000"/>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03" w:type="pct"/>
            <w:tcBorders>
              <w:tl2br w:val="nil"/>
              <w:tr2bl w:val="nil"/>
            </w:tcBorders>
            <w:vAlign w:val="center"/>
          </w:tcPr>
          <w:p>
            <w:pPr>
              <w:adjustRightInd w:val="0"/>
              <w:snapToGrid w:val="0"/>
              <w:jc w:val="center"/>
              <w:rPr>
                <w:rFonts w:ascii="Times New Roman" w:hAnsi="Times New Roman"/>
                <w:kern w:val="0"/>
              </w:rPr>
            </w:pPr>
            <w:r>
              <w:rPr>
                <w:rFonts w:ascii="Times New Roman" w:hAnsi="Times New Roman"/>
              </w:rPr>
              <w:t>距离</w:t>
            </w:r>
            <w:r>
              <w:rPr>
                <w:rFonts w:ascii="Times New Roman" w:hAnsi="Times New Roman"/>
                <w:kern w:val="0"/>
              </w:rPr>
              <w:t>华能码头T1转运站</w:t>
            </w:r>
            <w:r>
              <w:rPr>
                <w:rFonts w:ascii="Times New Roman" w:hAnsi="Times New Roman"/>
              </w:rPr>
              <w:t>20m</w:t>
            </w:r>
          </w:p>
        </w:tc>
        <w:tc>
          <w:tcPr>
            <w:tcW w:w="440"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60.7</w:t>
            </w:r>
          </w:p>
        </w:tc>
        <w:tc>
          <w:tcPr>
            <w:tcW w:w="530"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49.8</w:t>
            </w:r>
          </w:p>
        </w:tc>
        <w:tc>
          <w:tcPr>
            <w:tcW w:w="524"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61.3</w:t>
            </w:r>
          </w:p>
        </w:tc>
        <w:tc>
          <w:tcPr>
            <w:tcW w:w="534"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49.4</w:t>
            </w:r>
          </w:p>
        </w:tc>
        <w:tc>
          <w:tcPr>
            <w:tcW w:w="392"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70</w:t>
            </w:r>
          </w:p>
        </w:tc>
        <w:tc>
          <w:tcPr>
            <w:tcW w:w="395"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55</w:t>
            </w:r>
          </w:p>
        </w:tc>
        <w:tc>
          <w:tcPr>
            <w:tcW w:w="392"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达标</w:t>
            </w:r>
          </w:p>
        </w:tc>
        <w:tc>
          <w:tcPr>
            <w:tcW w:w="390"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03" w:type="pct"/>
            <w:tcBorders>
              <w:tl2br w:val="nil"/>
              <w:tr2bl w:val="nil"/>
            </w:tcBorders>
            <w:vAlign w:val="center"/>
          </w:tcPr>
          <w:p>
            <w:pPr>
              <w:adjustRightInd w:val="0"/>
              <w:snapToGrid w:val="0"/>
              <w:jc w:val="center"/>
              <w:rPr>
                <w:rFonts w:ascii="Times New Roman" w:hAnsi="Times New Roman"/>
                <w:kern w:val="0"/>
              </w:rPr>
            </w:pPr>
            <w:r>
              <w:rPr>
                <w:rFonts w:ascii="Times New Roman" w:hAnsi="Times New Roman"/>
              </w:rPr>
              <w:t>距离</w:t>
            </w:r>
            <w:r>
              <w:rPr>
                <w:rFonts w:ascii="Times New Roman" w:hAnsi="Times New Roman"/>
                <w:kern w:val="0"/>
              </w:rPr>
              <w:t>华能码头T1转运站</w:t>
            </w:r>
            <w:r>
              <w:rPr>
                <w:rFonts w:ascii="Times New Roman" w:hAnsi="Times New Roman"/>
              </w:rPr>
              <w:t>40m</w:t>
            </w:r>
          </w:p>
        </w:tc>
        <w:tc>
          <w:tcPr>
            <w:tcW w:w="440"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60.0</w:t>
            </w:r>
          </w:p>
        </w:tc>
        <w:tc>
          <w:tcPr>
            <w:tcW w:w="530"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48.4</w:t>
            </w:r>
          </w:p>
        </w:tc>
        <w:tc>
          <w:tcPr>
            <w:tcW w:w="524"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60.0</w:t>
            </w:r>
          </w:p>
        </w:tc>
        <w:tc>
          <w:tcPr>
            <w:tcW w:w="534"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48.3</w:t>
            </w:r>
          </w:p>
        </w:tc>
        <w:tc>
          <w:tcPr>
            <w:tcW w:w="392"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70</w:t>
            </w:r>
          </w:p>
        </w:tc>
        <w:tc>
          <w:tcPr>
            <w:tcW w:w="395"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55</w:t>
            </w:r>
          </w:p>
        </w:tc>
        <w:tc>
          <w:tcPr>
            <w:tcW w:w="392"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达标</w:t>
            </w:r>
          </w:p>
        </w:tc>
        <w:tc>
          <w:tcPr>
            <w:tcW w:w="390"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03" w:type="pct"/>
            <w:tcBorders>
              <w:tl2br w:val="nil"/>
              <w:tr2bl w:val="nil"/>
            </w:tcBorders>
            <w:vAlign w:val="center"/>
          </w:tcPr>
          <w:p>
            <w:pPr>
              <w:adjustRightInd w:val="0"/>
              <w:snapToGrid w:val="0"/>
              <w:jc w:val="center"/>
              <w:rPr>
                <w:rFonts w:ascii="Times New Roman" w:hAnsi="Times New Roman"/>
              </w:rPr>
            </w:pPr>
            <w:r>
              <w:rPr>
                <w:rFonts w:ascii="Times New Roman" w:hAnsi="Times New Roman"/>
              </w:rPr>
              <w:t>距离</w:t>
            </w:r>
            <w:r>
              <w:rPr>
                <w:rFonts w:ascii="Times New Roman" w:hAnsi="Times New Roman"/>
                <w:kern w:val="0"/>
              </w:rPr>
              <w:t>华能码头T1转运站</w:t>
            </w:r>
            <w:r>
              <w:rPr>
                <w:rFonts w:ascii="Times New Roman" w:hAnsi="Times New Roman"/>
              </w:rPr>
              <w:t>60m</w:t>
            </w:r>
          </w:p>
        </w:tc>
        <w:tc>
          <w:tcPr>
            <w:tcW w:w="440"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59.9</w:t>
            </w:r>
          </w:p>
        </w:tc>
        <w:tc>
          <w:tcPr>
            <w:tcW w:w="530"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47.6</w:t>
            </w:r>
          </w:p>
        </w:tc>
        <w:tc>
          <w:tcPr>
            <w:tcW w:w="524"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59.2</w:t>
            </w:r>
          </w:p>
        </w:tc>
        <w:tc>
          <w:tcPr>
            <w:tcW w:w="534"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47.2</w:t>
            </w:r>
          </w:p>
        </w:tc>
        <w:tc>
          <w:tcPr>
            <w:tcW w:w="392"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70</w:t>
            </w:r>
          </w:p>
        </w:tc>
        <w:tc>
          <w:tcPr>
            <w:tcW w:w="395"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55</w:t>
            </w:r>
          </w:p>
        </w:tc>
        <w:tc>
          <w:tcPr>
            <w:tcW w:w="392"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达标</w:t>
            </w:r>
          </w:p>
        </w:tc>
        <w:tc>
          <w:tcPr>
            <w:tcW w:w="390"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03" w:type="pct"/>
            <w:tcBorders>
              <w:tl2br w:val="nil"/>
              <w:tr2bl w:val="nil"/>
            </w:tcBorders>
            <w:vAlign w:val="center"/>
          </w:tcPr>
          <w:p>
            <w:pPr>
              <w:adjustRightInd w:val="0"/>
              <w:snapToGrid w:val="0"/>
              <w:jc w:val="center"/>
              <w:rPr>
                <w:rFonts w:ascii="Times New Roman" w:hAnsi="Times New Roman"/>
              </w:rPr>
            </w:pPr>
            <w:r>
              <w:rPr>
                <w:rFonts w:ascii="Times New Roman" w:hAnsi="Times New Roman"/>
              </w:rPr>
              <w:t>距离</w:t>
            </w:r>
            <w:r>
              <w:rPr>
                <w:rFonts w:ascii="Times New Roman" w:hAnsi="Times New Roman"/>
                <w:kern w:val="0"/>
              </w:rPr>
              <w:t>华能码头T1转运站</w:t>
            </w:r>
            <w:r>
              <w:rPr>
                <w:rFonts w:ascii="Times New Roman" w:hAnsi="Times New Roman"/>
              </w:rPr>
              <w:t>80m</w:t>
            </w:r>
          </w:p>
        </w:tc>
        <w:tc>
          <w:tcPr>
            <w:tcW w:w="440"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58.9</w:t>
            </w:r>
          </w:p>
        </w:tc>
        <w:tc>
          <w:tcPr>
            <w:tcW w:w="530"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46.9</w:t>
            </w:r>
          </w:p>
        </w:tc>
        <w:tc>
          <w:tcPr>
            <w:tcW w:w="524"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58.2</w:t>
            </w:r>
          </w:p>
        </w:tc>
        <w:tc>
          <w:tcPr>
            <w:tcW w:w="534"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46.2</w:t>
            </w:r>
          </w:p>
        </w:tc>
        <w:tc>
          <w:tcPr>
            <w:tcW w:w="392"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60</w:t>
            </w:r>
          </w:p>
        </w:tc>
        <w:tc>
          <w:tcPr>
            <w:tcW w:w="395"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50</w:t>
            </w:r>
          </w:p>
        </w:tc>
        <w:tc>
          <w:tcPr>
            <w:tcW w:w="392"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达标</w:t>
            </w:r>
          </w:p>
        </w:tc>
        <w:tc>
          <w:tcPr>
            <w:tcW w:w="390"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03" w:type="pct"/>
            <w:tcBorders>
              <w:tl2br w:val="nil"/>
              <w:tr2bl w:val="nil"/>
            </w:tcBorders>
            <w:vAlign w:val="center"/>
          </w:tcPr>
          <w:p>
            <w:pPr>
              <w:adjustRightInd w:val="0"/>
              <w:snapToGrid w:val="0"/>
              <w:jc w:val="center"/>
              <w:rPr>
                <w:rFonts w:ascii="Times New Roman" w:hAnsi="Times New Roman"/>
              </w:rPr>
            </w:pPr>
            <w:r>
              <w:rPr>
                <w:rFonts w:ascii="Times New Roman" w:hAnsi="Times New Roman"/>
              </w:rPr>
              <w:t>距离</w:t>
            </w:r>
            <w:r>
              <w:rPr>
                <w:rFonts w:ascii="Times New Roman" w:hAnsi="Times New Roman"/>
                <w:kern w:val="0"/>
              </w:rPr>
              <w:t>华能码头T1转运站</w:t>
            </w:r>
            <w:r>
              <w:rPr>
                <w:rFonts w:ascii="Times New Roman" w:hAnsi="Times New Roman"/>
              </w:rPr>
              <w:t>120m</w:t>
            </w:r>
          </w:p>
        </w:tc>
        <w:tc>
          <w:tcPr>
            <w:tcW w:w="440"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57.6</w:t>
            </w:r>
          </w:p>
        </w:tc>
        <w:tc>
          <w:tcPr>
            <w:tcW w:w="530"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45.8</w:t>
            </w:r>
          </w:p>
        </w:tc>
        <w:tc>
          <w:tcPr>
            <w:tcW w:w="524"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57.3</w:t>
            </w:r>
          </w:p>
        </w:tc>
        <w:tc>
          <w:tcPr>
            <w:tcW w:w="534"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45.7</w:t>
            </w:r>
          </w:p>
        </w:tc>
        <w:tc>
          <w:tcPr>
            <w:tcW w:w="392"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60</w:t>
            </w:r>
          </w:p>
        </w:tc>
        <w:tc>
          <w:tcPr>
            <w:tcW w:w="395"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50</w:t>
            </w:r>
          </w:p>
        </w:tc>
        <w:tc>
          <w:tcPr>
            <w:tcW w:w="392"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达标</w:t>
            </w:r>
          </w:p>
        </w:tc>
        <w:tc>
          <w:tcPr>
            <w:tcW w:w="390"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03" w:type="pct"/>
            <w:tcBorders>
              <w:tl2br w:val="nil"/>
              <w:tr2bl w:val="nil"/>
            </w:tcBorders>
            <w:vAlign w:val="center"/>
          </w:tcPr>
          <w:p>
            <w:pPr>
              <w:adjustRightInd w:val="0"/>
              <w:snapToGrid w:val="0"/>
              <w:jc w:val="center"/>
              <w:rPr>
                <w:rFonts w:ascii="Times New Roman" w:hAnsi="Times New Roman"/>
              </w:rPr>
            </w:pPr>
            <w:r>
              <w:rPr>
                <w:rFonts w:ascii="Times New Roman" w:hAnsi="Times New Roman"/>
              </w:rPr>
              <w:t>距离</w:t>
            </w:r>
            <w:r>
              <w:rPr>
                <w:rFonts w:ascii="Times New Roman" w:hAnsi="Times New Roman"/>
                <w:kern w:val="0"/>
              </w:rPr>
              <w:t>华能码头T1转运站</w:t>
            </w:r>
            <w:r>
              <w:rPr>
                <w:rFonts w:ascii="Times New Roman" w:hAnsi="Times New Roman"/>
              </w:rPr>
              <w:t>150m</w:t>
            </w:r>
          </w:p>
        </w:tc>
        <w:tc>
          <w:tcPr>
            <w:tcW w:w="440"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56.4</w:t>
            </w:r>
          </w:p>
        </w:tc>
        <w:tc>
          <w:tcPr>
            <w:tcW w:w="530"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44.5</w:t>
            </w:r>
          </w:p>
        </w:tc>
        <w:tc>
          <w:tcPr>
            <w:tcW w:w="524"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56.5</w:t>
            </w:r>
          </w:p>
        </w:tc>
        <w:tc>
          <w:tcPr>
            <w:tcW w:w="534"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44.6</w:t>
            </w:r>
          </w:p>
        </w:tc>
        <w:tc>
          <w:tcPr>
            <w:tcW w:w="392"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60</w:t>
            </w:r>
          </w:p>
        </w:tc>
        <w:tc>
          <w:tcPr>
            <w:tcW w:w="395"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50</w:t>
            </w:r>
          </w:p>
        </w:tc>
        <w:tc>
          <w:tcPr>
            <w:tcW w:w="392"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达标</w:t>
            </w:r>
          </w:p>
        </w:tc>
        <w:tc>
          <w:tcPr>
            <w:tcW w:w="390"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03" w:type="pct"/>
            <w:tcBorders>
              <w:tl2br w:val="nil"/>
              <w:tr2bl w:val="nil"/>
            </w:tcBorders>
            <w:vAlign w:val="center"/>
          </w:tcPr>
          <w:p>
            <w:pPr>
              <w:adjustRightInd w:val="0"/>
              <w:snapToGrid w:val="0"/>
              <w:jc w:val="center"/>
              <w:rPr>
                <w:rFonts w:ascii="Times New Roman" w:hAnsi="Times New Roman"/>
              </w:rPr>
            </w:pPr>
            <w:r>
              <w:rPr>
                <w:rFonts w:ascii="Times New Roman" w:hAnsi="Times New Roman"/>
              </w:rPr>
              <w:t>距离</w:t>
            </w:r>
            <w:r>
              <w:rPr>
                <w:rFonts w:ascii="Times New Roman" w:hAnsi="Times New Roman"/>
                <w:kern w:val="0"/>
              </w:rPr>
              <w:t>华能码头T1转运站</w:t>
            </w:r>
            <w:r>
              <w:rPr>
                <w:rFonts w:ascii="Times New Roman" w:hAnsi="Times New Roman"/>
              </w:rPr>
              <w:t>200m</w:t>
            </w:r>
          </w:p>
        </w:tc>
        <w:tc>
          <w:tcPr>
            <w:tcW w:w="440"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55.5</w:t>
            </w:r>
          </w:p>
        </w:tc>
        <w:tc>
          <w:tcPr>
            <w:tcW w:w="530"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43.9</w:t>
            </w:r>
          </w:p>
        </w:tc>
        <w:tc>
          <w:tcPr>
            <w:tcW w:w="524"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54.9</w:t>
            </w:r>
          </w:p>
        </w:tc>
        <w:tc>
          <w:tcPr>
            <w:tcW w:w="534"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44.0</w:t>
            </w:r>
          </w:p>
        </w:tc>
        <w:tc>
          <w:tcPr>
            <w:tcW w:w="392"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60</w:t>
            </w:r>
          </w:p>
        </w:tc>
        <w:tc>
          <w:tcPr>
            <w:tcW w:w="395"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50</w:t>
            </w:r>
          </w:p>
        </w:tc>
        <w:tc>
          <w:tcPr>
            <w:tcW w:w="392"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达标</w:t>
            </w:r>
          </w:p>
        </w:tc>
        <w:tc>
          <w:tcPr>
            <w:tcW w:w="390"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03" w:type="pct"/>
            <w:tcBorders>
              <w:tl2br w:val="nil"/>
              <w:tr2bl w:val="nil"/>
            </w:tcBorders>
            <w:vAlign w:val="center"/>
          </w:tcPr>
          <w:p>
            <w:pPr>
              <w:adjustRightInd w:val="0"/>
              <w:snapToGrid w:val="0"/>
              <w:jc w:val="center"/>
              <w:rPr>
                <w:rFonts w:ascii="Times New Roman" w:hAnsi="Times New Roman"/>
              </w:rPr>
            </w:pPr>
            <w:r>
              <w:rPr>
                <w:rFonts w:ascii="Times New Roman" w:hAnsi="Times New Roman"/>
              </w:rPr>
              <w:t>长江干堤东侧居民点（E: 113°10'18.85"，N: 29°27'39.33"）</w:t>
            </w:r>
          </w:p>
        </w:tc>
        <w:tc>
          <w:tcPr>
            <w:tcW w:w="440"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53.8</w:t>
            </w:r>
          </w:p>
        </w:tc>
        <w:tc>
          <w:tcPr>
            <w:tcW w:w="530"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49.2</w:t>
            </w:r>
          </w:p>
        </w:tc>
        <w:tc>
          <w:tcPr>
            <w:tcW w:w="524"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54.4</w:t>
            </w:r>
          </w:p>
        </w:tc>
        <w:tc>
          <w:tcPr>
            <w:tcW w:w="534"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49.1</w:t>
            </w:r>
          </w:p>
        </w:tc>
        <w:tc>
          <w:tcPr>
            <w:tcW w:w="392"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60</w:t>
            </w:r>
          </w:p>
        </w:tc>
        <w:tc>
          <w:tcPr>
            <w:tcW w:w="395"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50</w:t>
            </w:r>
          </w:p>
        </w:tc>
        <w:tc>
          <w:tcPr>
            <w:tcW w:w="392"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达标</w:t>
            </w:r>
          </w:p>
        </w:tc>
        <w:tc>
          <w:tcPr>
            <w:tcW w:w="390"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03" w:type="pct"/>
            <w:tcBorders>
              <w:tl2br w:val="nil"/>
              <w:tr2bl w:val="nil"/>
            </w:tcBorders>
            <w:vAlign w:val="center"/>
          </w:tcPr>
          <w:p>
            <w:pPr>
              <w:adjustRightInd w:val="0"/>
              <w:snapToGrid w:val="0"/>
              <w:jc w:val="center"/>
              <w:rPr>
                <w:rFonts w:ascii="Times New Roman" w:hAnsi="Times New Roman"/>
              </w:rPr>
            </w:pPr>
            <w:r>
              <w:rPr>
                <w:rFonts w:ascii="Times New Roman" w:hAnsi="Times New Roman"/>
              </w:rPr>
              <w:t>长江村（E: 113°10'41.95"，N: 29°27'48.32"）</w:t>
            </w:r>
          </w:p>
        </w:tc>
        <w:tc>
          <w:tcPr>
            <w:tcW w:w="440"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45.9</w:t>
            </w:r>
          </w:p>
        </w:tc>
        <w:tc>
          <w:tcPr>
            <w:tcW w:w="530"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45.1</w:t>
            </w:r>
          </w:p>
        </w:tc>
        <w:tc>
          <w:tcPr>
            <w:tcW w:w="524"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45.8</w:t>
            </w:r>
          </w:p>
        </w:tc>
        <w:tc>
          <w:tcPr>
            <w:tcW w:w="534"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45.3</w:t>
            </w:r>
          </w:p>
        </w:tc>
        <w:tc>
          <w:tcPr>
            <w:tcW w:w="392"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60</w:t>
            </w:r>
          </w:p>
        </w:tc>
        <w:tc>
          <w:tcPr>
            <w:tcW w:w="395"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50</w:t>
            </w:r>
          </w:p>
        </w:tc>
        <w:tc>
          <w:tcPr>
            <w:tcW w:w="392"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达标</w:t>
            </w:r>
          </w:p>
        </w:tc>
        <w:tc>
          <w:tcPr>
            <w:tcW w:w="390" w:type="pct"/>
            <w:tcBorders>
              <w:tl2br w:val="nil"/>
              <w:tr2bl w:val="nil"/>
            </w:tcBorders>
            <w:vAlign w:val="center"/>
          </w:tcPr>
          <w:p>
            <w:pPr>
              <w:adjustRightInd w:val="0"/>
              <w:snapToGrid w:val="0"/>
              <w:jc w:val="center"/>
              <w:rPr>
                <w:rFonts w:ascii="Times New Roman" w:hAnsi="Times New Roman"/>
                <w:color w:val="000000"/>
              </w:rPr>
            </w:pPr>
            <w:r>
              <w:rPr>
                <w:rFonts w:ascii="Times New Roman" w:hAnsi="Times New Roman"/>
                <w:color w:val="000000"/>
              </w:rPr>
              <w:t>达标</w:t>
            </w:r>
          </w:p>
        </w:tc>
      </w:tr>
    </w:tbl>
    <w:p>
      <w:pPr>
        <w:snapToGrid w:val="0"/>
        <w:spacing w:line="360" w:lineRule="auto"/>
        <w:ind w:firstLine="480" w:firstLineChars="200"/>
        <w:rPr>
          <w:rFonts w:ascii="Times New Roman" w:hAnsi="Times New Roman" w:eastAsiaTheme="minorEastAsia"/>
          <w:sz w:val="24"/>
          <w:szCs w:val="24"/>
        </w:rPr>
      </w:pPr>
    </w:p>
    <w:p>
      <w:pPr>
        <w:pStyle w:val="129"/>
        <w:adjustRightInd w:val="0"/>
        <w:snapToGrid w:val="0"/>
        <w:spacing w:line="360" w:lineRule="auto"/>
        <w:ind w:firstLine="480"/>
        <w:rPr>
          <w:rFonts w:eastAsiaTheme="minorEastAsia"/>
        </w:rPr>
      </w:pPr>
      <w:r>
        <w:rPr>
          <w:rFonts w:eastAsiaTheme="minorEastAsia"/>
        </w:rPr>
        <w:t>现状监测结果表明，项目所在地环境质量满足《声环境质量标准》（GB3096-2008）2类、4a类标准，表明项目周边声环境质量现状良好。</w:t>
      </w:r>
    </w:p>
    <w:p>
      <w:pPr>
        <w:pStyle w:val="3"/>
        <w:rPr>
          <w:rFonts w:ascii="Times New Roman" w:hAnsi="Times New Roman" w:eastAsiaTheme="minorEastAsia"/>
          <w:b/>
        </w:rPr>
      </w:pPr>
      <w:bookmarkStart w:id="83" w:name="_Toc19246"/>
      <w:r>
        <w:rPr>
          <w:rFonts w:ascii="Times New Roman" w:hAnsi="Times New Roman" w:eastAsiaTheme="minorEastAsia"/>
          <w:b/>
        </w:rPr>
        <w:t>生态环境现状调查与评价</w:t>
      </w:r>
      <w:bookmarkEnd w:id="83"/>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本项目码头工程位于洞庭湖口铜鱼短颌鲚国家级水产种质资源保护区范围内，生态环境概况摘自于</w:t>
      </w:r>
      <w:r>
        <w:rPr>
          <w:rFonts w:ascii="Times New Roman" w:hAnsi="Times New Roman"/>
          <w:kern w:val="0"/>
          <w:sz w:val="24"/>
          <w:szCs w:val="24"/>
        </w:rPr>
        <w:t>华中师范大学编制的</w:t>
      </w:r>
      <w:r>
        <w:rPr>
          <w:rFonts w:ascii="Times New Roman" w:hAnsi="Times New Roman" w:eastAsiaTheme="minorEastAsia"/>
          <w:sz w:val="24"/>
          <w:szCs w:val="24"/>
        </w:rPr>
        <w:t>《</w:t>
      </w:r>
      <w:r>
        <w:rPr>
          <w:rFonts w:ascii="Times New Roman" w:hAnsi="Times New Roman"/>
          <w:kern w:val="0"/>
          <w:sz w:val="24"/>
          <w:szCs w:val="24"/>
        </w:rPr>
        <w:t>华能岳阳电厂码头2#泊位提质改造工程对洞庭湖口铜鱼短颌鲚水产种质资源保护区影响专题论证报告》</w:t>
      </w:r>
      <w:r>
        <w:rPr>
          <w:rFonts w:ascii="Times New Roman" w:hAnsi="Times New Roman" w:eastAsiaTheme="minorEastAsia"/>
          <w:sz w:val="24"/>
          <w:szCs w:val="24"/>
        </w:rPr>
        <w:t>相关内容。</w:t>
      </w:r>
    </w:p>
    <w:p>
      <w:pPr>
        <w:pStyle w:val="4"/>
        <w:rPr>
          <w:rFonts w:eastAsiaTheme="minorEastAsia"/>
          <w:szCs w:val="24"/>
        </w:rPr>
      </w:pPr>
      <w:r>
        <w:rPr>
          <w:rFonts w:eastAsiaTheme="minorEastAsia"/>
          <w:szCs w:val="24"/>
        </w:rPr>
        <w:t>鱼类等水生生物区系、种群结构与资源量现状与评价</w:t>
      </w:r>
    </w:p>
    <w:p>
      <w:pPr>
        <w:pStyle w:val="5"/>
        <w:rPr>
          <w:rFonts w:eastAsiaTheme="minorEastAsia"/>
        </w:rPr>
      </w:pPr>
      <w:r>
        <w:rPr>
          <w:rFonts w:eastAsiaTheme="minorEastAsia"/>
        </w:rPr>
        <w:t>鱼类资源现状</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洞庭湖口铜鱼短颌鲚国家级水产种质资源保护区位于长江中游和洞庭湖口水域，邻近水域有湖南东洞庭湖国家级自然保护区和洞庭湖口铜鱼短颌鲚国家级水产种质资源保护区。根据《湖南东洞庭湖国家级自然保护区范围和功能区调整科学考察报告》（国家林业局中南林业调查规划设计院，2016年5月）中的记录东洞庭湖有鱼类84种，隶属于7目17科。</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中国水产科学研究院长江水产研究所的研究人员在2010年~2011年在宜昌、荆州和城陵矶江段调查到鱼类58种（范振华等，2012）；2011年~2012年在长江中游道人矶至杨林岩河段也调查到鱼类58种，隶属于7目、14科、52属。其中，鲤形目42种，鲇形目7种，鲈形目5种，鲟形目、鲑形目、鲱形目、颌针鱼目各1种（游立新等，2017年）。</w:t>
      </w:r>
    </w:p>
    <w:p>
      <w:pPr>
        <w:adjustRightInd w:val="0"/>
        <w:snapToGrid w:val="0"/>
        <w:spacing w:line="360" w:lineRule="auto"/>
        <w:ind w:firstLine="480" w:firstLineChars="200"/>
        <w:rPr>
          <w:rFonts w:ascii="Times New Roman" w:hAnsi="Times New Roman"/>
          <w:sz w:val="24"/>
          <w:szCs w:val="24"/>
        </w:rPr>
      </w:pPr>
      <w:r>
        <w:rPr>
          <w:rFonts w:ascii="Times New Roman" w:hAnsi="Times New Roman"/>
          <w:kern w:val="0"/>
          <w:sz w:val="24"/>
          <w:szCs w:val="24"/>
        </w:rPr>
        <w:t>华中师范大学课题</w:t>
      </w:r>
      <w:r>
        <w:rPr>
          <w:rFonts w:ascii="Times New Roman" w:hAnsi="Times New Roman"/>
          <w:sz w:val="24"/>
          <w:szCs w:val="24"/>
        </w:rPr>
        <w:t>组2019年8~11月在岳阳段进行了鱼类资源的调查，捕获鱼类41种，综合洞庭湖区科考、长江干流调查资料及现场收集渔获物，评价区分布鱼类99种，隶属于9目20科。其中鲤形目鱼类有68种，占鱼类种数的68.68%；其次为鲈形目鱼类14种，占14.14%，鲇形目9种，占9.09%。该江段20科鱼类中，鲤科种类最多为57种，占鱼类种数的57.58%；其次为鳅科鱼类9种，占鱼类种数的9.09%；鲿科5种，占5.05%。</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sz w:val="24"/>
          <w:szCs w:val="24"/>
        </w:rPr>
        <w:t>保护区江段有国家级水生野生保护动物3种，分别为国家I级保护水生野生动物江豚、中华鲟，国家</w:t>
      </w:r>
      <w:r>
        <w:rPr>
          <w:rFonts w:hint="eastAsia" w:ascii="宋体" w:hAnsi="宋体" w:cs="宋体"/>
          <w:sz w:val="24"/>
          <w:szCs w:val="24"/>
        </w:rPr>
        <w:t>Ⅱ</w:t>
      </w:r>
      <w:r>
        <w:rPr>
          <w:rFonts w:ascii="Times New Roman" w:hAnsi="Times New Roman"/>
          <w:sz w:val="24"/>
          <w:szCs w:val="24"/>
        </w:rPr>
        <w:t>级保护水生野生动物胭脂鱼；湖南省级保护鱼类有6种，分别为太湖新银鱼、胭脂鱼、鯮、鳤、胡子鲇和月鳢。</w:t>
      </w:r>
    </w:p>
    <w:p>
      <w:pPr>
        <w:pStyle w:val="5"/>
        <w:rPr>
          <w:rFonts w:eastAsiaTheme="minorEastAsia"/>
        </w:rPr>
      </w:pPr>
      <w:r>
        <w:rPr>
          <w:rFonts w:eastAsiaTheme="minorEastAsia"/>
        </w:rPr>
        <w:t>鱼类区系组成及特点</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保护区江段99种鱼类可以划分为以下6个类群：</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东亚平原类群：包括鳅科的沙鳅亚科、副沙鳅属、薄鳅属类群，鲤科的鲌亚科、鲴亚科、鲢亚科、鮈亚科及雅罗鱼亚科的青鱼、草鱼、赤眼鳟及鳡、鳤、鯮两个东亚群。是调查江段鱼类的主要构成类群。这部分鱼很大部分产漂流性卵，一部分鱼虽产粘性卵但粘性不大，卵产出后附着在物体上，不久即脱离。顺水漂流并发育。产卵习性对水位变动敏感，许多种类在水位升高时从湖泊进入江河产卵，幼鱼及产过卵的亲鱼入湖泊育肥休养。</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sz w:val="24"/>
          <w:szCs w:val="24"/>
        </w:rPr>
        <w:t xml:space="preserve"> 南方平原类群：主要包括鲇形目鲿科种类，鲈形目鳢属种类、黄鳝、刺鳅、小黄黝鱼等。这类鱼常具拟草色，身上花纹较多，有些种类具棘和吸取游离氧的副呼吸器官。喜暖水，在较高水温的夏季繁殖，多有护卵、护幼习性。</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⑶</w:t>
      </w:r>
      <w:r>
        <w:rPr>
          <w:rFonts w:ascii="Times New Roman" w:hAnsi="Times New Roman" w:eastAsiaTheme="minorEastAsia"/>
          <w:sz w:val="24"/>
          <w:szCs w:val="24"/>
        </w:rPr>
        <w:t xml:space="preserve"> 老第三纪类群：包括鲤科的鲃亚科、鲤亚科东亚平原类群，鲇形目鲇科类群。该类群嗅觉较视觉发达，适于浑水中生活，多以底栖生物为食。</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⑷</w:t>
      </w:r>
      <w:r>
        <w:rPr>
          <w:rFonts w:ascii="Times New Roman" w:hAnsi="Times New Roman" w:eastAsiaTheme="minorEastAsia"/>
          <w:sz w:val="24"/>
          <w:szCs w:val="24"/>
        </w:rPr>
        <w:t xml:space="preserve"> 南方山地类群：包括钝头鮠科、鮡科的种类，是具有特化吸附构造，能适应激流生活的小型鱼类。</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⑸</w:t>
      </w:r>
      <w:r>
        <w:rPr>
          <w:rFonts w:ascii="Times New Roman" w:hAnsi="Times New Roman" w:eastAsiaTheme="minorEastAsia"/>
          <w:sz w:val="24"/>
          <w:szCs w:val="24"/>
        </w:rPr>
        <w:t xml:space="preserve"> 北方平原类群：起源于北半球北部亚寒带平原地区，包括鲟形目中华鲟、长江鲟、白鲟和鳅科的花鳅属等种类。</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⑹</w:t>
      </w:r>
      <w:r>
        <w:rPr>
          <w:rFonts w:ascii="Times New Roman" w:hAnsi="Times New Roman" w:eastAsiaTheme="minorEastAsia"/>
          <w:sz w:val="24"/>
          <w:szCs w:val="24"/>
        </w:rPr>
        <w:t xml:space="preserve"> 河海洄游类群：包括鳗鲡等。</w:t>
      </w:r>
    </w:p>
    <w:p>
      <w:pPr>
        <w:pStyle w:val="5"/>
        <w:rPr>
          <w:rFonts w:eastAsiaTheme="minorEastAsia"/>
        </w:rPr>
      </w:pPr>
      <w:r>
        <w:rPr>
          <w:rFonts w:eastAsiaTheme="minorEastAsia"/>
        </w:rPr>
        <w:t>食性类型</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根据保护区成鱼的摄食对象，可以将保护区鱼类划分为4类：</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植食性鱼类：包括以维管植物为食的草鱼和以周丛植物为食的鲴亚科鱼类等，如草鱼、鳊等。</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sz w:val="24"/>
          <w:szCs w:val="24"/>
        </w:rPr>
        <w:t xml:space="preserve"> 肉食性鱼类：包括以鱼类为主要捕食对象的翘嘴鲌、鳡、鲇、青鱼、鲇、南方鲇、黄颡鱼鳜、乌鳢等。</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⑶</w:t>
      </w:r>
      <w:r>
        <w:rPr>
          <w:rFonts w:ascii="Times New Roman" w:hAnsi="Times New Roman" w:eastAsiaTheme="minorEastAsia"/>
          <w:sz w:val="24"/>
          <w:szCs w:val="24"/>
        </w:rPr>
        <w:t xml:space="preserve"> 滤食性鱼类：以水生浮游动植物为主要食物的鱼类，包括：鲢、鳙等。</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⑷</w:t>
      </w:r>
      <w:r>
        <w:rPr>
          <w:rFonts w:ascii="Times New Roman" w:hAnsi="Times New Roman" w:eastAsiaTheme="minorEastAsia"/>
          <w:sz w:val="24"/>
          <w:szCs w:val="24"/>
        </w:rPr>
        <w:t xml:space="preserve"> 杂食性鱼类：该类鱼食谱广，包括小型动物、植物及其碎屑，其食性在不同环境水体和不同季节有明显变化。包括短颌鲚、铜鱼、鲤、鲫、泥鳅、鲴类、赤眼鳟、鮈类、䱗属鱼类等。</w:t>
      </w:r>
    </w:p>
    <w:p>
      <w:pPr>
        <w:pStyle w:val="5"/>
        <w:rPr>
          <w:rFonts w:eastAsiaTheme="minorEastAsia"/>
        </w:rPr>
      </w:pPr>
      <w:r>
        <w:rPr>
          <w:rFonts w:eastAsiaTheme="minorEastAsia"/>
        </w:rPr>
        <w:t>产卵类型</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调查水域分布鱼类依繁殖习性可分为4个类群。</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产粘沉性卵类群</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本水域鱼类绝大多数鱼类为产粘沉性卵类群。</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这一类群包括包括翘嘴鲌，鲇形目的光泽黄颡鱼、瓦氏黄颡鱼、鲇，鲤科的鲤、鲫、细鳞鲴，鳅科的泥鳅等；其产卵季节多为春夏间，也有部分种类晚至秋季，且对产卵水域流态底质有不同的适应性，多数种类都需要一定的流水刺激。产出的卵或粘附于石砾、水草发育，或落于石缝间在激流冲击下发育。</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少数鱼类产卵时不需要水流刺激，可在静缓流水环境下繁殖，产粘性卵，如鲤亚科、鲌亚科、鲇形目鱼类，卵一经产出即分散在水草茎、叶上发育；有的黏附于砾石，如棒花鱼、黄颡鱼、鳅科鱼类，将卵产在水底的岩石、石砾或沙砾上发育。该类型鱼类在保护区资源较丰富。</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sz w:val="24"/>
          <w:szCs w:val="24"/>
        </w:rPr>
        <w:t xml:space="preserve"> 产漂流性卵类群</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产漂流性卵鱼类鱼卵在缓流或静水中会沉入水底，但吸水后卵膜膨大，比重接近于水，产卵需要湍急的水流条件，通常在汛期洪峰发生后产卵，如铜鱼、青鱼、草鱼、鲢、鳙、鳡、赤眼鳟。受精卵顺水漂流孵化，到江河下游及湖泊中育肥。保护区饵料生物资源丰富，为该生态类型鱼类重要的索饵肥育场所。</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⑶</w:t>
      </w:r>
      <w:r>
        <w:rPr>
          <w:rFonts w:ascii="Times New Roman" w:hAnsi="Times New Roman" w:eastAsiaTheme="minorEastAsia"/>
          <w:sz w:val="24"/>
          <w:szCs w:val="24"/>
        </w:rPr>
        <w:t xml:space="preserve"> 产浮性卵类群</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短颌鲚、乌鳢、银鱼、鳜、大眼鳜等鱼类的卵具油球，在水中漂浮发育，一般产于静水中。此外，鳜、大眼鳜、斑鳜的受精卵为微粘性，在发育过程中粘性逐步消失，由于卵黄具较大油球，也可随水漂流发育。</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⑷</w:t>
      </w:r>
      <w:r>
        <w:rPr>
          <w:rFonts w:ascii="Times New Roman" w:hAnsi="Times New Roman" w:eastAsiaTheme="minorEastAsia"/>
          <w:sz w:val="24"/>
          <w:szCs w:val="24"/>
        </w:rPr>
        <w:t xml:space="preserve"> 特异性产卵类群</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中华鳑鲏等鱊亚科鱼类，在生殖季节，雌鱼具产卵管，通过产卵管，将卵产在河蚌的外套腔内发育。</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以上鱼类，总的情况是春夏季3~8月进行繁殖。粘性卵的鱼类，开始产卵时间为春未，4~5月达高潮，6~7月陆续结束，产浮性卵的鱼类在夏季生殖，鲚属为分批产卵的鱼类，繁殖期较长，可延迟到秋末。</w:t>
      </w:r>
    </w:p>
    <w:p>
      <w:pPr>
        <w:pStyle w:val="5"/>
        <w:rPr>
          <w:rFonts w:eastAsiaTheme="minorEastAsia"/>
        </w:rPr>
      </w:pPr>
      <w:r>
        <w:rPr>
          <w:rFonts w:eastAsiaTheme="minorEastAsia"/>
        </w:rPr>
        <w:t>栖息类型</w:t>
      </w:r>
    </w:p>
    <w:p>
      <w:pPr>
        <w:adjustRightInd w:val="0"/>
        <w:snapToGrid w:val="0"/>
        <w:spacing w:line="360" w:lineRule="auto"/>
        <w:ind w:firstLine="480" w:firstLineChars="200"/>
        <w:rPr>
          <w:rFonts w:ascii="Times New Roman" w:hAnsi="Times New Roman" w:eastAsiaTheme="minorEastAsia"/>
          <w:sz w:val="24"/>
          <w:szCs w:val="24"/>
        </w:rPr>
      </w:pPr>
      <w:bookmarkStart w:id="84" w:name="_Toc298933159"/>
      <w:r>
        <w:rPr>
          <w:rFonts w:ascii="Times New Roman" w:hAnsi="Times New Roman" w:eastAsiaTheme="minorEastAsia"/>
          <w:sz w:val="24"/>
          <w:szCs w:val="24"/>
        </w:rPr>
        <w:t>根据水域流态特征及鱼类的栖息特点，调查水域鱼类大致可分为以下3个类群。</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咸淡水洄游性鱼类，如中华鲟、银鱼等。该类型鱼类少见。</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sz w:val="24"/>
          <w:szCs w:val="24"/>
        </w:rPr>
        <w:t xml:space="preserve"> 江湖半洄游性鱼类，如铜鱼、鲢、鳙、草鱼、青鱼、鳡、鳊、银鲴等。该类型鱼类资源处于衰退状态。</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⑶</w:t>
      </w:r>
      <w:r>
        <w:rPr>
          <w:rFonts w:ascii="Times New Roman" w:hAnsi="Times New Roman" w:eastAsiaTheme="minorEastAsia"/>
          <w:sz w:val="24"/>
          <w:szCs w:val="24"/>
        </w:rPr>
        <w:t xml:space="preserve"> 定居性鱼类，如鲤、鲫、黄颡鱼、鲇鱼、大鳍鳠、黄尾鲴、翘嘴鲌、蒙古鲌、乌鳢、南方鲇等。该生态类型鱼类是洞庭湖的渔业主体。</w:t>
      </w:r>
      <w:bookmarkEnd w:id="84"/>
    </w:p>
    <w:p>
      <w:pPr>
        <w:pStyle w:val="5"/>
        <w:rPr>
          <w:rFonts w:eastAsiaTheme="minorEastAsia"/>
        </w:rPr>
      </w:pPr>
      <w:r>
        <w:rPr>
          <w:rFonts w:eastAsiaTheme="minorEastAsia"/>
        </w:rPr>
        <w:t>鱼类资源现场调查</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调查人员分别在2019年8月和11月在评价区的岳阳段进行鱼类资源调查，通过雇佣当地渔民采用双层流刺网（网目为4指和6指）、手洒网和拖网并结合自己放置地笼（网目1cm）的方法进行调查，采集到鱼类660尾，共41种。渔获物重量以鲢、鲤、草、鳙、铜鱼、蒙古鲌、鲫、团头鲂、短颌鲚、瓦氏黄颡鱼等为主，数量上以短颌鲚、贝氏䱗、蛇鮈、铜鱼、鲤、鲫、银鮈为主。主要保护对象铜鱼、短颌鲚在渔获物中比重分别为0~8.08%、0.59~15.86%。</w:t>
      </w:r>
    </w:p>
    <w:p>
      <w:pPr>
        <w:adjustRightInd w:val="0"/>
        <w:snapToGrid w:val="0"/>
        <w:spacing w:line="276" w:lineRule="auto"/>
        <w:jc w:val="center"/>
        <w:rPr>
          <w:rFonts w:ascii="Times New Roman" w:hAnsi="Times New Roman"/>
          <w:b/>
          <w:sz w:val="24"/>
          <w:szCs w:val="24"/>
        </w:rPr>
      </w:pPr>
      <w:r>
        <w:rPr>
          <w:rFonts w:ascii="Times New Roman" w:hAnsi="Times New Roman"/>
          <w:b/>
          <w:sz w:val="24"/>
          <w:szCs w:val="24"/>
        </w:rPr>
        <w:t>表4.8-1  2019年8月岳阳段现场渔获物调查表</w:t>
      </w:r>
    </w:p>
    <w:tbl>
      <w:tblPr>
        <w:tblStyle w:val="7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150"/>
        <w:gridCol w:w="1034"/>
        <w:gridCol w:w="1034"/>
        <w:gridCol w:w="1034"/>
        <w:gridCol w:w="10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73" w:type="pct"/>
            <w:vMerge w:val="restart"/>
            <w:shd w:val="clear" w:color="auto" w:fill="auto"/>
            <w:noWrap/>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物种</w:t>
            </w:r>
          </w:p>
        </w:tc>
        <w:tc>
          <w:tcPr>
            <w:tcW w:w="557" w:type="pct"/>
            <w:shd w:val="clear" w:color="auto" w:fill="auto"/>
            <w:noWrap/>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数量</w:t>
            </w:r>
          </w:p>
        </w:tc>
        <w:tc>
          <w:tcPr>
            <w:tcW w:w="557" w:type="pct"/>
            <w:shd w:val="clear" w:color="auto" w:fill="auto"/>
            <w:noWrap/>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数量比</w:t>
            </w:r>
          </w:p>
        </w:tc>
        <w:tc>
          <w:tcPr>
            <w:tcW w:w="557" w:type="pct"/>
            <w:shd w:val="clear" w:color="auto" w:fill="auto"/>
            <w:noWrap/>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重量</w:t>
            </w:r>
          </w:p>
        </w:tc>
        <w:tc>
          <w:tcPr>
            <w:tcW w:w="557" w:type="pct"/>
            <w:shd w:val="clear" w:color="auto" w:fill="auto"/>
            <w:noWrap/>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重量比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73" w:type="pct"/>
            <w:vMerge w:val="continue"/>
            <w:vAlign w:val="center"/>
          </w:tcPr>
          <w:p>
            <w:pPr>
              <w:widowControl/>
              <w:adjustRightInd w:val="0"/>
              <w:snapToGrid w:val="0"/>
              <w:jc w:val="left"/>
              <w:rPr>
                <w:rFonts w:ascii="Times New Roman" w:hAnsi="Times New Roman"/>
                <w:b/>
                <w:bCs/>
                <w:color w:val="000000"/>
                <w:kern w:val="0"/>
              </w:rPr>
            </w:pPr>
          </w:p>
        </w:tc>
        <w:tc>
          <w:tcPr>
            <w:tcW w:w="557" w:type="pct"/>
            <w:shd w:val="clear" w:color="auto" w:fill="auto"/>
            <w:noWrap/>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（尾）</w:t>
            </w:r>
          </w:p>
        </w:tc>
        <w:tc>
          <w:tcPr>
            <w:tcW w:w="557" w:type="pct"/>
            <w:shd w:val="clear" w:color="auto" w:fill="auto"/>
            <w:noWrap/>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w:t>
            </w:r>
          </w:p>
        </w:tc>
        <w:tc>
          <w:tcPr>
            <w:tcW w:w="557" w:type="pct"/>
            <w:shd w:val="clear" w:color="auto" w:fill="auto"/>
            <w:noWrap/>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（kg）</w:t>
            </w:r>
          </w:p>
        </w:tc>
        <w:tc>
          <w:tcPr>
            <w:tcW w:w="557" w:type="pct"/>
            <w:shd w:val="clear" w:color="auto" w:fill="auto"/>
            <w:noWrap/>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73" w:type="pct"/>
            <w:shd w:val="clear" w:color="auto" w:fill="auto"/>
            <w:noWrap/>
            <w:vAlign w:val="center"/>
          </w:tcPr>
          <w:p>
            <w:pPr>
              <w:pStyle w:val="131"/>
              <w:widowControl/>
              <w:numPr>
                <w:ilvl w:val="0"/>
                <w:numId w:val="6"/>
              </w:numPr>
              <w:snapToGrid w:val="0"/>
              <w:spacing w:line="240" w:lineRule="auto"/>
              <w:ind w:left="0" w:firstLine="0" w:firstLineChars="0"/>
              <w:jc w:val="left"/>
              <w:textAlignment w:val="auto"/>
              <w:rPr>
                <w:color w:val="000000"/>
              </w:rPr>
            </w:pPr>
            <w:r>
              <w:rPr>
                <w:color w:val="000000"/>
              </w:rPr>
              <w:t>短颌鲚</w:t>
            </w:r>
            <w:r>
              <w:rPr>
                <w:i/>
                <w:iCs/>
                <w:color w:val="000000"/>
              </w:rPr>
              <w:t>Coilia brachygnathus</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133</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44.04</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2.32</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15.86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73" w:type="pct"/>
            <w:shd w:val="clear" w:color="auto" w:fill="auto"/>
            <w:noWrap/>
            <w:vAlign w:val="center"/>
          </w:tcPr>
          <w:p>
            <w:pPr>
              <w:pStyle w:val="131"/>
              <w:widowControl/>
              <w:numPr>
                <w:ilvl w:val="0"/>
                <w:numId w:val="6"/>
              </w:numPr>
              <w:snapToGrid w:val="0"/>
              <w:spacing w:line="240" w:lineRule="auto"/>
              <w:ind w:left="0" w:firstLine="0" w:firstLineChars="0"/>
              <w:jc w:val="left"/>
              <w:textAlignment w:val="auto"/>
              <w:rPr>
                <w:color w:val="000000"/>
              </w:rPr>
            </w:pPr>
            <w:r>
              <w:rPr>
                <w:color w:val="000000"/>
              </w:rPr>
              <w:t>贝氏䱗</w:t>
            </w:r>
            <w:r>
              <w:rPr>
                <w:i/>
                <w:iCs/>
                <w:color w:val="000000"/>
              </w:rPr>
              <w:t>Hemicculter</w:t>
            </w:r>
            <w:r>
              <w:rPr>
                <w:color w:val="000000"/>
              </w:rPr>
              <w:t xml:space="preserve"> </w:t>
            </w:r>
            <w:r>
              <w:rPr>
                <w:i/>
                <w:iCs/>
                <w:color w:val="000000"/>
              </w:rPr>
              <w:t>bleekeri</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45</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14.9</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0.85</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5.81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73" w:type="pct"/>
            <w:shd w:val="clear" w:color="auto" w:fill="auto"/>
            <w:noWrap/>
            <w:vAlign w:val="center"/>
          </w:tcPr>
          <w:p>
            <w:pPr>
              <w:pStyle w:val="131"/>
              <w:widowControl/>
              <w:numPr>
                <w:ilvl w:val="0"/>
                <w:numId w:val="6"/>
              </w:numPr>
              <w:snapToGrid w:val="0"/>
              <w:spacing w:line="240" w:lineRule="auto"/>
              <w:ind w:left="0" w:firstLine="0" w:firstLineChars="0"/>
              <w:jc w:val="left"/>
              <w:textAlignment w:val="auto"/>
              <w:rPr>
                <w:color w:val="000000"/>
              </w:rPr>
            </w:pPr>
            <w:r>
              <w:rPr>
                <w:color w:val="000000"/>
              </w:rPr>
              <w:t>蛇鮈</w:t>
            </w:r>
            <w:r>
              <w:rPr>
                <w:i/>
                <w:iCs/>
                <w:color w:val="000000"/>
              </w:rPr>
              <w:t>Saurogobio</w:t>
            </w:r>
            <w:r>
              <w:rPr>
                <w:color w:val="000000"/>
              </w:rPr>
              <w:t xml:space="preserve"> </w:t>
            </w:r>
            <w:r>
              <w:rPr>
                <w:i/>
                <w:iCs/>
                <w:color w:val="000000"/>
              </w:rPr>
              <w:t>dabryi</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37</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12.25</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0.74</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5.06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73" w:type="pct"/>
            <w:shd w:val="clear" w:color="auto" w:fill="auto"/>
            <w:noWrap/>
            <w:vAlign w:val="center"/>
          </w:tcPr>
          <w:p>
            <w:pPr>
              <w:pStyle w:val="131"/>
              <w:widowControl/>
              <w:numPr>
                <w:ilvl w:val="0"/>
                <w:numId w:val="6"/>
              </w:numPr>
              <w:snapToGrid w:val="0"/>
              <w:spacing w:line="240" w:lineRule="auto"/>
              <w:ind w:left="0" w:firstLine="0" w:firstLineChars="0"/>
              <w:jc w:val="left"/>
              <w:textAlignment w:val="auto"/>
              <w:rPr>
                <w:color w:val="000000"/>
              </w:rPr>
            </w:pPr>
            <w:r>
              <w:rPr>
                <w:color w:val="000000"/>
              </w:rPr>
              <w:t>泥鳅</w:t>
            </w:r>
            <w:r>
              <w:rPr>
                <w:i/>
                <w:iCs/>
                <w:color w:val="000000"/>
              </w:rPr>
              <w:t>Misgurnus</w:t>
            </w:r>
            <w:r>
              <w:rPr>
                <w:color w:val="000000"/>
              </w:rPr>
              <w:t xml:space="preserve"> </w:t>
            </w:r>
            <w:r>
              <w:rPr>
                <w:i/>
                <w:iCs/>
                <w:color w:val="000000"/>
              </w:rPr>
              <w:t>anguillicaudatus</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21</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6.95</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0.66</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4.51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73" w:type="pct"/>
            <w:shd w:val="clear" w:color="auto" w:fill="auto"/>
            <w:noWrap/>
            <w:vAlign w:val="center"/>
          </w:tcPr>
          <w:p>
            <w:pPr>
              <w:pStyle w:val="131"/>
              <w:widowControl/>
              <w:numPr>
                <w:ilvl w:val="0"/>
                <w:numId w:val="6"/>
              </w:numPr>
              <w:snapToGrid w:val="0"/>
              <w:spacing w:line="240" w:lineRule="auto"/>
              <w:ind w:left="0" w:firstLine="0" w:firstLineChars="0"/>
              <w:jc w:val="left"/>
              <w:textAlignment w:val="auto"/>
              <w:rPr>
                <w:color w:val="000000"/>
              </w:rPr>
            </w:pPr>
            <w:r>
              <w:rPr>
                <w:color w:val="000000"/>
              </w:rPr>
              <w:t>大眼鳜</w:t>
            </w:r>
            <w:r>
              <w:rPr>
                <w:i/>
                <w:iCs/>
                <w:color w:val="000000"/>
              </w:rPr>
              <w:t>Siniperca</w:t>
            </w:r>
            <w:r>
              <w:rPr>
                <w:color w:val="000000"/>
              </w:rPr>
              <w:t xml:space="preserve"> </w:t>
            </w:r>
            <w:r>
              <w:rPr>
                <w:i/>
                <w:iCs/>
                <w:color w:val="000000"/>
              </w:rPr>
              <w:t>kneri</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18</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5.96</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3.73</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25.5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73" w:type="pct"/>
            <w:shd w:val="clear" w:color="auto" w:fill="auto"/>
            <w:noWrap/>
            <w:vAlign w:val="center"/>
          </w:tcPr>
          <w:p>
            <w:pPr>
              <w:pStyle w:val="131"/>
              <w:widowControl/>
              <w:numPr>
                <w:ilvl w:val="0"/>
                <w:numId w:val="6"/>
              </w:numPr>
              <w:snapToGrid w:val="0"/>
              <w:spacing w:line="240" w:lineRule="auto"/>
              <w:ind w:left="0" w:firstLine="0" w:firstLineChars="0"/>
              <w:jc w:val="left"/>
              <w:textAlignment w:val="auto"/>
              <w:rPr>
                <w:color w:val="000000"/>
              </w:rPr>
            </w:pPr>
            <w:r>
              <w:rPr>
                <w:color w:val="000000"/>
              </w:rPr>
              <w:t>鲫</w:t>
            </w:r>
            <w:r>
              <w:rPr>
                <w:i/>
                <w:iCs/>
                <w:color w:val="000000"/>
              </w:rPr>
              <w:t>Carassius</w:t>
            </w:r>
            <w:r>
              <w:rPr>
                <w:color w:val="000000"/>
              </w:rPr>
              <w:t xml:space="preserve"> </w:t>
            </w:r>
            <w:r>
              <w:rPr>
                <w:i/>
                <w:iCs/>
                <w:color w:val="000000"/>
              </w:rPr>
              <w:t>auratus</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17</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5.63</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2.79</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19.07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73" w:type="pct"/>
            <w:shd w:val="clear" w:color="auto" w:fill="auto"/>
            <w:noWrap/>
            <w:vAlign w:val="center"/>
          </w:tcPr>
          <w:p>
            <w:pPr>
              <w:pStyle w:val="131"/>
              <w:widowControl/>
              <w:numPr>
                <w:ilvl w:val="0"/>
                <w:numId w:val="6"/>
              </w:numPr>
              <w:snapToGrid w:val="0"/>
              <w:spacing w:line="240" w:lineRule="auto"/>
              <w:ind w:left="0" w:firstLine="0" w:firstLineChars="0"/>
              <w:jc w:val="left"/>
              <w:textAlignment w:val="auto"/>
              <w:rPr>
                <w:color w:val="000000"/>
              </w:rPr>
            </w:pPr>
            <w:r>
              <w:t>达氏鲌</w:t>
            </w:r>
            <w:r>
              <w:rPr>
                <w:i/>
                <w:iCs/>
              </w:rPr>
              <w:t xml:space="preserve">Culter </w:t>
            </w:r>
            <w:r>
              <w:rPr>
                <w:i/>
                <w:iCs/>
                <w:color w:val="000000"/>
              </w:rPr>
              <w:t>dabryi</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8</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2.65</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3.12</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21.33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73" w:type="pct"/>
            <w:shd w:val="clear" w:color="auto" w:fill="auto"/>
            <w:noWrap/>
            <w:vAlign w:val="center"/>
          </w:tcPr>
          <w:p>
            <w:pPr>
              <w:pStyle w:val="131"/>
              <w:widowControl/>
              <w:numPr>
                <w:ilvl w:val="0"/>
                <w:numId w:val="6"/>
              </w:numPr>
              <w:snapToGrid w:val="0"/>
              <w:spacing w:line="240" w:lineRule="auto"/>
              <w:ind w:left="0" w:firstLine="0" w:firstLineChars="0"/>
              <w:jc w:val="left"/>
              <w:textAlignment w:val="auto"/>
              <w:rPr>
                <w:color w:val="000000"/>
              </w:rPr>
            </w:pPr>
            <w:r>
              <w:rPr>
                <w:color w:val="000000"/>
              </w:rPr>
              <w:t>麦穗鱼</w:t>
            </w:r>
            <w:r>
              <w:rPr>
                <w:i/>
                <w:iCs/>
                <w:color w:val="000000"/>
              </w:rPr>
              <w:t>Pseudorasbora</w:t>
            </w:r>
            <w:r>
              <w:rPr>
                <w:color w:val="000000"/>
              </w:rPr>
              <w:t xml:space="preserve">  </w:t>
            </w:r>
            <w:r>
              <w:rPr>
                <w:i/>
                <w:iCs/>
                <w:color w:val="000000"/>
              </w:rPr>
              <w:t>parva</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8</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2.65</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0.09</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0.62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73" w:type="pct"/>
            <w:shd w:val="clear" w:color="auto" w:fill="auto"/>
            <w:noWrap/>
            <w:vAlign w:val="center"/>
          </w:tcPr>
          <w:p>
            <w:pPr>
              <w:pStyle w:val="131"/>
              <w:widowControl/>
              <w:numPr>
                <w:ilvl w:val="0"/>
                <w:numId w:val="6"/>
              </w:numPr>
              <w:snapToGrid w:val="0"/>
              <w:spacing w:line="240" w:lineRule="auto"/>
              <w:ind w:left="0" w:firstLine="0" w:firstLineChars="0"/>
              <w:jc w:val="left"/>
              <w:textAlignment w:val="auto"/>
              <w:rPr>
                <w:color w:val="000000"/>
              </w:rPr>
            </w:pPr>
            <w:r>
              <w:rPr>
                <w:color w:val="000000"/>
              </w:rPr>
              <w:t>大鳍鱊</w:t>
            </w:r>
            <w:r>
              <w:rPr>
                <w:i/>
                <w:iCs/>
                <w:color w:val="000000"/>
              </w:rPr>
              <w:t>Acheilognathus</w:t>
            </w:r>
            <w:r>
              <w:rPr>
                <w:color w:val="000000"/>
              </w:rPr>
              <w:t xml:space="preserve"> </w:t>
            </w:r>
            <w:r>
              <w:rPr>
                <w:i/>
                <w:iCs/>
                <w:color w:val="000000"/>
              </w:rPr>
              <w:t>macropterus</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6</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1.99</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0.03</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73" w:type="pct"/>
            <w:shd w:val="clear" w:color="auto" w:fill="auto"/>
            <w:noWrap/>
            <w:vAlign w:val="center"/>
          </w:tcPr>
          <w:p>
            <w:pPr>
              <w:pStyle w:val="131"/>
              <w:widowControl/>
              <w:numPr>
                <w:ilvl w:val="0"/>
                <w:numId w:val="6"/>
              </w:numPr>
              <w:snapToGrid w:val="0"/>
              <w:spacing w:line="240" w:lineRule="auto"/>
              <w:ind w:left="0" w:firstLine="0" w:firstLineChars="0"/>
              <w:jc w:val="left"/>
              <w:textAlignment w:val="auto"/>
              <w:rPr>
                <w:color w:val="000000"/>
              </w:rPr>
            </w:pPr>
            <w:r>
              <w:rPr>
                <w:color w:val="000000"/>
              </w:rPr>
              <w:t>瓦氏黄颡鱼</w:t>
            </w:r>
            <w:r>
              <w:rPr>
                <w:i/>
                <w:iCs/>
                <w:color w:val="000000"/>
              </w:rPr>
              <w:t>Pelteobagrus</w:t>
            </w:r>
            <w:r>
              <w:rPr>
                <w:color w:val="000000"/>
              </w:rPr>
              <w:t xml:space="preserve"> </w:t>
            </w:r>
            <w:r>
              <w:rPr>
                <w:i/>
                <w:iCs/>
                <w:color w:val="000000"/>
              </w:rPr>
              <w:t>vancelli</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5</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1.66</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0.19</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73" w:type="pct"/>
            <w:shd w:val="clear" w:color="auto" w:fill="auto"/>
            <w:noWrap/>
            <w:vAlign w:val="center"/>
          </w:tcPr>
          <w:p>
            <w:pPr>
              <w:pStyle w:val="131"/>
              <w:widowControl/>
              <w:numPr>
                <w:ilvl w:val="0"/>
                <w:numId w:val="6"/>
              </w:numPr>
              <w:snapToGrid w:val="0"/>
              <w:spacing w:line="240" w:lineRule="auto"/>
              <w:ind w:left="0" w:firstLine="0" w:firstLineChars="0"/>
              <w:jc w:val="left"/>
              <w:textAlignment w:val="auto"/>
              <w:rPr>
                <w:color w:val="000000"/>
              </w:rPr>
            </w:pPr>
            <w:r>
              <w:rPr>
                <w:color w:val="000000"/>
              </w:rPr>
              <w:t>乌鳢</w:t>
            </w:r>
            <w:r>
              <w:rPr>
                <w:i/>
                <w:iCs/>
                <w:color w:val="000000"/>
              </w:rPr>
              <w:t>Channa</w:t>
            </w:r>
            <w:r>
              <w:rPr>
                <w:color w:val="000000"/>
              </w:rPr>
              <w:t xml:space="preserve"> </w:t>
            </w:r>
            <w:r>
              <w:rPr>
                <w:i/>
                <w:iCs/>
                <w:color w:val="000000"/>
              </w:rPr>
              <w:t>argus</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2</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0.66</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0.04</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73" w:type="pct"/>
            <w:shd w:val="clear" w:color="auto" w:fill="auto"/>
            <w:noWrap/>
            <w:vAlign w:val="center"/>
          </w:tcPr>
          <w:p>
            <w:pPr>
              <w:pStyle w:val="131"/>
              <w:widowControl/>
              <w:numPr>
                <w:ilvl w:val="0"/>
                <w:numId w:val="6"/>
              </w:numPr>
              <w:snapToGrid w:val="0"/>
              <w:spacing w:line="240" w:lineRule="auto"/>
              <w:ind w:left="0" w:firstLine="0" w:firstLineChars="0"/>
              <w:jc w:val="left"/>
              <w:textAlignment w:val="auto"/>
              <w:rPr>
                <w:color w:val="000000"/>
              </w:rPr>
            </w:pPr>
            <w:r>
              <w:t>似鳊</w:t>
            </w:r>
            <w:r>
              <w:rPr>
                <w:i/>
                <w:iCs/>
                <w:color w:val="000000"/>
              </w:rPr>
              <w:t>Acanthodoram</w:t>
            </w:r>
            <w:r>
              <w:t xml:space="preserve"> </w:t>
            </w:r>
            <w:r>
              <w:rPr>
                <w:i/>
                <w:iCs/>
                <w:color w:val="000000"/>
              </w:rPr>
              <w:t>simoni</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1</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0.33</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0.03</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73" w:type="pct"/>
            <w:shd w:val="clear" w:color="auto" w:fill="auto"/>
            <w:noWrap/>
            <w:vAlign w:val="center"/>
          </w:tcPr>
          <w:p>
            <w:pPr>
              <w:pStyle w:val="131"/>
              <w:widowControl/>
              <w:numPr>
                <w:ilvl w:val="0"/>
                <w:numId w:val="6"/>
              </w:numPr>
              <w:snapToGrid w:val="0"/>
              <w:spacing w:line="240" w:lineRule="auto"/>
              <w:ind w:left="0" w:firstLine="0" w:firstLineChars="0"/>
              <w:jc w:val="left"/>
              <w:textAlignment w:val="auto"/>
              <w:rPr>
                <w:color w:val="000000"/>
              </w:rPr>
            </w:pPr>
            <w:r>
              <w:rPr>
                <w:color w:val="000000"/>
              </w:rPr>
              <w:t>飘鱼</w:t>
            </w:r>
            <w:r>
              <w:rPr>
                <w:i/>
                <w:iCs/>
                <w:color w:val="000000"/>
              </w:rPr>
              <w:t>Pseudolaubuca</w:t>
            </w:r>
            <w:r>
              <w:rPr>
                <w:color w:val="000000"/>
              </w:rPr>
              <w:t xml:space="preserve"> </w:t>
            </w:r>
            <w:r>
              <w:rPr>
                <w:i/>
                <w:iCs/>
                <w:color w:val="000000"/>
              </w:rPr>
              <w:t>sinensis</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1</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0.33</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0.04</w:t>
            </w:r>
          </w:p>
        </w:tc>
        <w:tc>
          <w:tcPr>
            <w:tcW w:w="55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73" w:type="pct"/>
            <w:shd w:val="clear" w:color="auto" w:fill="auto"/>
            <w:noWrap/>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合计</w:t>
            </w:r>
          </w:p>
        </w:tc>
        <w:tc>
          <w:tcPr>
            <w:tcW w:w="557" w:type="pct"/>
            <w:shd w:val="clear" w:color="auto" w:fill="auto"/>
            <w:noWrap/>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302</w:t>
            </w:r>
          </w:p>
        </w:tc>
        <w:tc>
          <w:tcPr>
            <w:tcW w:w="557" w:type="pct"/>
            <w:shd w:val="clear" w:color="auto" w:fill="auto"/>
            <w:noWrap/>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100</w:t>
            </w:r>
          </w:p>
        </w:tc>
        <w:tc>
          <w:tcPr>
            <w:tcW w:w="557" w:type="pct"/>
            <w:shd w:val="clear" w:color="auto" w:fill="auto"/>
            <w:noWrap/>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14.63</w:t>
            </w:r>
          </w:p>
        </w:tc>
        <w:tc>
          <w:tcPr>
            <w:tcW w:w="557" w:type="pct"/>
            <w:shd w:val="clear" w:color="auto" w:fill="auto"/>
            <w:noWrap/>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100</w:t>
            </w:r>
          </w:p>
        </w:tc>
      </w:tr>
    </w:tbl>
    <w:p>
      <w:pPr>
        <w:adjustRightInd w:val="0"/>
        <w:snapToGrid w:val="0"/>
        <w:spacing w:line="276" w:lineRule="auto"/>
        <w:jc w:val="center"/>
        <w:rPr>
          <w:rFonts w:ascii="Times New Roman" w:hAnsi="Times New Roman"/>
          <w:b/>
          <w:sz w:val="24"/>
          <w:szCs w:val="24"/>
        </w:rPr>
      </w:pPr>
    </w:p>
    <w:p>
      <w:pPr>
        <w:adjustRightInd w:val="0"/>
        <w:snapToGrid w:val="0"/>
        <w:spacing w:line="276" w:lineRule="auto"/>
        <w:jc w:val="center"/>
        <w:rPr>
          <w:rFonts w:ascii="Times New Roman" w:hAnsi="Times New Roman"/>
          <w:b/>
          <w:sz w:val="24"/>
          <w:szCs w:val="24"/>
        </w:rPr>
      </w:pPr>
      <w:r>
        <w:rPr>
          <w:rFonts w:ascii="Times New Roman" w:hAnsi="Times New Roman"/>
          <w:b/>
          <w:sz w:val="24"/>
          <w:szCs w:val="24"/>
        </w:rPr>
        <w:t>表4.8-2  2019年11月岳阳段现场渔获物调查表</w:t>
      </w:r>
    </w:p>
    <w:tbl>
      <w:tblPr>
        <w:tblStyle w:val="7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138"/>
        <w:gridCol w:w="1033"/>
        <w:gridCol w:w="1042"/>
        <w:gridCol w:w="1033"/>
        <w:gridCol w:w="10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2767" w:type="pct"/>
            <w:vMerge w:val="restart"/>
            <w:shd w:val="clear" w:color="auto" w:fill="auto"/>
            <w:noWrap/>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物种</w:t>
            </w:r>
          </w:p>
        </w:tc>
        <w:tc>
          <w:tcPr>
            <w:tcW w:w="556" w:type="pct"/>
            <w:shd w:val="clear" w:color="auto" w:fill="auto"/>
            <w:noWrap/>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数量</w:t>
            </w:r>
          </w:p>
        </w:tc>
        <w:tc>
          <w:tcPr>
            <w:tcW w:w="561" w:type="pct"/>
            <w:shd w:val="clear" w:color="auto" w:fill="auto"/>
            <w:noWrap/>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数量比</w:t>
            </w:r>
          </w:p>
        </w:tc>
        <w:tc>
          <w:tcPr>
            <w:tcW w:w="556" w:type="pct"/>
            <w:shd w:val="clear" w:color="auto" w:fill="auto"/>
            <w:noWrap/>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重量</w:t>
            </w:r>
          </w:p>
        </w:tc>
        <w:tc>
          <w:tcPr>
            <w:tcW w:w="561" w:type="pct"/>
            <w:shd w:val="clear" w:color="auto" w:fill="auto"/>
            <w:noWrap/>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重量比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2767" w:type="pct"/>
            <w:vMerge w:val="continue"/>
            <w:vAlign w:val="center"/>
          </w:tcPr>
          <w:p>
            <w:pPr>
              <w:widowControl/>
              <w:adjustRightInd w:val="0"/>
              <w:snapToGrid w:val="0"/>
              <w:jc w:val="left"/>
              <w:rPr>
                <w:rFonts w:ascii="Times New Roman" w:hAnsi="Times New Roman"/>
                <w:b/>
                <w:bCs/>
                <w:color w:val="000000"/>
                <w:kern w:val="0"/>
              </w:rPr>
            </w:pPr>
          </w:p>
        </w:tc>
        <w:tc>
          <w:tcPr>
            <w:tcW w:w="556" w:type="pct"/>
            <w:shd w:val="clear" w:color="auto" w:fill="auto"/>
            <w:noWrap/>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（尾）</w:t>
            </w:r>
          </w:p>
        </w:tc>
        <w:tc>
          <w:tcPr>
            <w:tcW w:w="561" w:type="pct"/>
            <w:shd w:val="clear" w:color="auto" w:fill="auto"/>
            <w:noWrap/>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w:t>
            </w:r>
          </w:p>
        </w:tc>
        <w:tc>
          <w:tcPr>
            <w:tcW w:w="556" w:type="pct"/>
            <w:shd w:val="clear" w:color="auto" w:fill="auto"/>
            <w:noWrap/>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（kg）</w:t>
            </w:r>
          </w:p>
        </w:tc>
        <w:tc>
          <w:tcPr>
            <w:tcW w:w="561" w:type="pct"/>
            <w:shd w:val="clear" w:color="auto" w:fill="auto"/>
            <w:noWrap/>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贝氏䱗</w:t>
            </w:r>
            <w:r>
              <w:rPr>
                <w:i/>
                <w:iCs/>
                <w:color w:val="000000"/>
              </w:rPr>
              <w:t>Hemicculter</w:t>
            </w:r>
            <w:r>
              <w:rPr>
                <w:color w:val="000000"/>
              </w:rPr>
              <w:t xml:space="preserve"> </w:t>
            </w:r>
            <w:r>
              <w:rPr>
                <w:i/>
                <w:iCs/>
                <w:color w:val="000000"/>
              </w:rPr>
              <w:t>bleekeri</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34</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9.50%</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459</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蛇鮈</w:t>
            </w:r>
            <w:r>
              <w:rPr>
                <w:i/>
                <w:iCs/>
                <w:color w:val="000000"/>
              </w:rPr>
              <w:t>Saurogobio</w:t>
            </w:r>
            <w:r>
              <w:rPr>
                <w:color w:val="000000"/>
              </w:rPr>
              <w:t xml:space="preserve"> </w:t>
            </w:r>
            <w:r>
              <w:rPr>
                <w:i/>
                <w:iCs/>
                <w:color w:val="000000"/>
              </w:rPr>
              <w:t>dabryi</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32</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8.94%</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243.2</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铜鱼</w:t>
            </w:r>
            <w:r>
              <w:rPr>
                <w:i/>
                <w:iCs/>
                <w:color w:val="000000"/>
              </w:rPr>
              <w:t>Coreius</w:t>
            </w:r>
            <w:r>
              <w:rPr>
                <w:color w:val="000000"/>
              </w:rPr>
              <w:t xml:space="preserve"> </w:t>
            </w:r>
            <w:r>
              <w:rPr>
                <w:i/>
                <w:iCs/>
                <w:color w:val="000000"/>
              </w:rPr>
              <w:t>heterodon</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29</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8.10%</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6252.4</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8.08%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子陵吻鰕虎鱼</w:t>
            </w:r>
            <w:r>
              <w:rPr>
                <w:i/>
                <w:iCs/>
                <w:color w:val="000000"/>
              </w:rPr>
              <w:t>Ctenogobius</w:t>
            </w:r>
            <w:r>
              <w:rPr>
                <w:color w:val="000000"/>
              </w:rPr>
              <w:t xml:space="preserve"> </w:t>
            </w:r>
            <w:r>
              <w:rPr>
                <w:i/>
                <w:iCs/>
                <w:color w:val="000000"/>
              </w:rPr>
              <w:t>giurinus</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26</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7.26%</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54.6</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 xml:space="preserve">短颌鲚Coilia </w:t>
            </w:r>
            <w:r>
              <w:rPr>
                <w:i/>
                <w:iCs/>
                <w:color w:val="000000"/>
              </w:rPr>
              <w:t>brachygnathus</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24</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6.70%</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453.6</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鲤</w:t>
            </w:r>
            <w:r>
              <w:rPr>
                <w:i/>
                <w:iCs/>
                <w:color w:val="000000"/>
              </w:rPr>
              <w:t>Cyprinus</w:t>
            </w:r>
            <w:r>
              <w:rPr>
                <w:color w:val="000000"/>
              </w:rPr>
              <w:t xml:space="preserve"> </w:t>
            </w:r>
            <w:r>
              <w:rPr>
                <w:i/>
                <w:iCs/>
                <w:color w:val="000000"/>
              </w:rPr>
              <w:t>carpio</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23</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6.42%</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15722.8</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20.31%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银鮈</w:t>
            </w:r>
            <w:r>
              <w:rPr>
                <w:i/>
                <w:iCs/>
                <w:color w:val="000000"/>
              </w:rPr>
              <w:t>Squalidus</w:t>
            </w:r>
            <w:r>
              <w:rPr>
                <w:color w:val="000000"/>
              </w:rPr>
              <w:t xml:space="preserve"> </w:t>
            </w:r>
            <w:r>
              <w:rPr>
                <w:i/>
                <w:iCs/>
                <w:color w:val="000000"/>
              </w:rPr>
              <w:t>argentatus</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21</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5.87%</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199.5</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鲫</w:t>
            </w:r>
            <w:r>
              <w:rPr>
                <w:i/>
                <w:iCs/>
                <w:color w:val="000000"/>
              </w:rPr>
              <w:t>Carassius</w:t>
            </w:r>
            <w:r>
              <w:rPr>
                <w:color w:val="000000"/>
              </w:rPr>
              <w:t xml:space="preserve"> </w:t>
            </w:r>
            <w:r>
              <w:rPr>
                <w:i/>
                <w:iCs/>
                <w:color w:val="000000"/>
              </w:rPr>
              <w:t>auratus</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17</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4.75%</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741.2</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飘鱼</w:t>
            </w:r>
            <w:r>
              <w:rPr>
                <w:i/>
                <w:iCs/>
                <w:color w:val="000000"/>
              </w:rPr>
              <w:t>Pseudolaubuca</w:t>
            </w:r>
            <w:r>
              <w:rPr>
                <w:color w:val="000000"/>
              </w:rPr>
              <w:t xml:space="preserve"> </w:t>
            </w:r>
            <w:r>
              <w:rPr>
                <w:i/>
                <w:iCs/>
                <w:color w:val="000000"/>
              </w:rPr>
              <w:t>sinensis</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16</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4.47%</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204.8</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瓦氏黄颡鱼</w:t>
            </w:r>
            <w:r>
              <w:rPr>
                <w:i/>
                <w:iCs/>
                <w:color w:val="000000"/>
              </w:rPr>
              <w:t>Pelteobagrus</w:t>
            </w:r>
            <w:r>
              <w:rPr>
                <w:color w:val="000000"/>
              </w:rPr>
              <w:t xml:space="preserve"> </w:t>
            </w:r>
            <w:r>
              <w:rPr>
                <w:i/>
                <w:iCs/>
                <w:color w:val="000000"/>
              </w:rPr>
              <w:t>vancelli</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13</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3.63%</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500.5</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间下鱵</w:t>
            </w:r>
            <w:r>
              <w:rPr>
                <w:i/>
                <w:iCs/>
                <w:color w:val="000000"/>
              </w:rPr>
              <w:t>Hemirhamphus</w:t>
            </w:r>
            <w:r>
              <w:rPr>
                <w:color w:val="000000"/>
              </w:rPr>
              <w:t xml:space="preserve"> </w:t>
            </w:r>
            <w:r>
              <w:rPr>
                <w:i/>
                <w:iCs/>
                <w:color w:val="000000"/>
              </w:rPr>
              <w:t>intermedius</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12</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3.35%</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37.2</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麦穗鱼</w:t>
            </w:r>
            <w:r>
              <w:rPr>
                <w:i/>
                <w:iCs/>
                <w:color w:val="000000"/>
              </w:rPr>
              <w:t>Pseudorasbora</w:t>
            </w:r>
            <w:r>
              <w:rPr>
                <w:color w:val="000000"/>
              </w:rPr>
              <w:t xml:space="preserve">  </w:t>
            </w:r>
            <w:r>
              <w:rPr>
                <w:i/>
                <w:iCs/>
                <w:color w:val="000000"/>
              </w:rPr>
              <w:t>parva</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9</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2.51%</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28.8</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 xml:space="preserve">太湖新银鱼 </w:t>
            </w:r>
            <w:r>
              <w:rPr>
                <w:i/>
                <w:iCs/>
                <w:color w:val="000000"/>
              </w:rPr>
              <w:t>Neosalanx</w:t>
            </w:r>
            <w:r>
              <w:rPr>
                <w:color w:val="000000"/>
              </w:rPr>
              <w:t xml:space="preserve"> </w:t>
            </w:r>
            <w:r>
              <w:rPr>
                <w:i/>
                <w:iCs/>
                <w:color w:val="000000"/>
              </w:rPr>
              <w:t>taihuensis</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8</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2.23%</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4</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鲢</w:t>
            </w:r>
            <w:r>
              <w:rPr>
                <w:i/>
                <w:iCs/>
                <w:color w:val="000000"/>
              </w:rPr>
              <w:t>Hypophthalnichthys</w:t>
            </w:r>
            <w:r>
              <w:rPr>
                <w:color w:val="000000"/>
              </w:rPr>
              <w:t xml:space="preserve"> </w:t>
            </w:r>
            <w:r>
              <w:rPr>
                <w:i/>
                <w:iCs/>
                <w:color w:val="000000"/>
              </w:rPr>
              <w:t>molitrix</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8</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2.23%</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22400</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28.94%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大鳍鱊</w:t>
            </w:r>
            <w:r>
              <w:rPr>
                <w:i/>
                <w:iCs/>
                <w:color w:val="000000"/>
              </w:rPr>
              <w:t>Acheilognathus</w:t>
            </w:r>
            <w:r>
              <w:rPr>
                <w:color w:val="000000"/>
              </w:rPr>
              <w:t xml:space="preserve"> </w:t>
            </w:r>
            <w:r>
              <w:rPr>
                <w:i/>
                <w:iCs/>
                <w:color w:val="000000"/>
              </w:rPr>
              <w:t>macropterus</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8</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2.23%</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84.8</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泥鳅</w:t>
            </w:r>
            <w:r>
              <w:rPr>
                <w:i/>
                <w:iCs/>
                <w:color w:val="000000"/>
              </w:rPr>
              <w:t>Misgurnus</w:t>
            </w:r>
            <w:r>
              <w:rPr>
                <w:color w:val="000000"/>
              </w:rPr>
              <w:t xml:space="preserve"> </w:t>
            </w:r>
            <w:r>
              <w:rPr>
                <w:i/>
                <w:iCs/>
                <w:color w:val="000000"/>
              </w:rPr>
              <w:t>anguillicaudatus</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8</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2.23%</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55.2</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蒙古鲌</w:t>
            </w:r>
            <w:r>
              <w:rPr>
                <w:i/>
                <w:iCs/>
                <w:color w:val="000000"/>
              </w:rPr>
              <w:t>Culter</w:t>
            </w:r>
            <w:r>
              <w:rPr>
                <w:color w:val="000000"/>
              </w:rPr>
              <w:t xml:space="preserve"> </w:t>
            </w:r>
            <w:r>
              <w:rPr>
                <w:i/>
                <w:iCs/>
                <w:color w:val="000000"/>
              </w:rPr>
              <w:t>mongolicus</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6</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1.68%</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1134</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吻鮈</w:t>
            </w:r>
            <w:r>
              <w:rPr>
                <w:i/>
                <w:iCs/>
                <w:color w:val="000000"/>
              </w:rPr>
              <w:t>Rhinogobio</w:t>
            </w:r>
            <w:r>
              <w:rPr>
                <w:color w:val="000000"/>
              </w:rPr>
              <w:t xml:space="preserve"> </w:t>
            </w:r>
            <w:r>
              <w:rPr>
                <w:i/>
                <w:iCs/>
                <w:color w:val="000000"/>
              </w:rPr>
              <w:t>typus</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6</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1.68%</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49.2</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鲇</w:t>
            </w:r>
            <w:r>
              <w:rPr>
                <w:i/>
                <w:iCs/>
                <w:color w:val="000000"/>
              </w:rPr>
              <w:t>Silurus</w:t>
            </w:r>
            <w:r>
              <w:rPr>
                <w:color w:val="000000"/>
              </w:rPr>
              <w:t xml:space="preserve"> </w:t>
            </w:r>
            <w:r>
              <w:rPr>
                <w:i/>
                <w:iCs/>
                <w:color w:val="000000"/>
              </w:rPr>
              <w:t>asotus</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6</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1.68%</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681</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黄颡鱼</w:t>
            </w:r>
            <w:r>
              <w:rPr>
                <w:i/>
                <w:iCs/>
                <w:color w:val="000000"/>
              </w:rPr>
              <w:t>Pelteobagrus</w:t>
            </w:r>
            <w:r>
              <w:rPr>
                <w:color w:val="000000"/>
              </w:rPr>
              <w:t xml:space="preserve"> </w:t>
            </w:r>
            <w:r>
              <w:rPr>
                <w:i/>
                <w:iCs/>
                <w:color w:val="000000"/>
              </w:rPr>
              <w:t>fulvidraco</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6</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1.68%</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337.8</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草鱼</w:t>
            </w:r>
            <w:r>
              <w:rPr>
                <w:i/>
                <w:iCs/>
                <w:color w:val="000000"/>
              </w:rPr>
              <w:t>Ctenopharyngodon</w:t>
            </w:r>
            <w:r>
              <w:rPr>
                <w:color w:val="000000"/>
              </w:rPr>
              <w:t xml:space="preserve"> </w:t>
            </w:r>
            <w:r>
              <w:rPr>
                <w:i/>
                <w:iCs/>
                <w:color w:val="000000"/>
              </w:rPr>
              <w:t>idellus</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4</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1.12%</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8920</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11.52%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䱗</w:t>
            </w:r>
            <w:r>
              <w:rPr>
                <w:i/>
                <w:iCs/>
                <w:color w:val="000000"/>
              </w:rPr>
              <w:t>Hemicculter</w:t>
            </w:r>
            <w:r>
              <w:rPr>
                <w:color w:val="000000"/>
              </w:rPr>
              <w:t xml:space="preserve"> </w:t>
            </w:r>
            <w:r>
              <w:rPr>
                <w:i/>
                <w:iCs/>
                <w:color w:val="000000"/>
              </w:rPr>
              <w:t>leuciclus</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4</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1.12%</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49.6</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大眼鳜</w:t>
            </w:r>
            <w:r>
              <w:rPr>
                <w:i/>
                <w:iCs/>
                <w:color w:val="000000"/>
              </w:rPr>
              <w:t>Siniperca</w:t>
            </w:r>
            <w:r>
              <w:rPr>
                <w:color w:val="000000"/>
              </w:rPr>
              <w:t xml:space="preserve"> </w:t>
            </w:r>
            <w:r>
              <w:rPr>
                <w:i/>
                <w:iCs/>
                <w:color w:val="000000"/>
              </w:rPr>
              <w:t>kneri</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4</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1.12%</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227.2</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赤眼鳟</w:t>
            </w:r>
            <w:r>
              <w:rPr>
                <w:i/>
                <w:iCs/>
                <w:color w:val="000000"/>
              </w:rPr>
              <w:t>Squaliobarbus</w:t>
            </w:r>
            <w:r>
              <w:rPr>
                <w:color w:val="000000"/>
              </w:rPr>
              <w:t xml:space="preserve"> </w:t>
            </w:r>
            <w:r>
              <w:rPr>
                <w:i/>
                <w:iCs/>
                <w:color w:val="000000"/>
              </w:rPr>
              <w:t>curriculus</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3</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0.84%</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648</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棒花鱼</w:t>
            </w:r>
            <w:r>
              <w:rPr>
                <w:i/>
                <w:iCs/>
                <w:color w:val="000000"/>
              </w:rPr>
              <w:t>Abbottina</w:t>
            </w:r>
            <w:r>
              <w:rPr>
                <w:color w:val="000000"/>
              </w:rPr>
              <w:t xml:space="preserve"> </w:t>
            </w:r>
            <w:r>
              <w:rPr>
                <w:i/>
                <w:iCs/>
                <w:color w:val="000000"/>
              </w:rPr>
              <w:t>rivularis</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3</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0.84%</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5.1</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花䱻</w:t>
            </w:r>
            <w:r>
              <w:rPr>
                <w:i/>
                <w:iCs/>
                <w:color w:val="000000"/>
              </w:rPr>
              <w:t>Hemibarbus</w:t>
            </w:r>
            <w:r>
              <w:rPr>
                <w:color w:val="000000"/>
              </w:rPr>
              <w:t xml:space="preserve"> </w:t>
            </w:r>
            <w:r>
              <w:rPr>
                <w:i/>
                <w:iCs/>
                <w:color w:val="000000"/>
              </w:rPr>
              <w:t>maculates</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3</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0.84%</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78</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高体鳑鲏</w:t>
            </w:r>
            <w:r>
              <w:rPr>
                <w:i/>
                <w:iCs/>
                <w:color w:val="000000"/>
              </w:rPr>
              <w:t>Rhodeus</w:t>
            </w:r>
            <w:r>
              <w:rPr>
                <w:color w:val="000000"/>
              </w:rPr>
              <w:t xml:space="preserve"> </w:t>
            </w:r>
            <w:r>
              <w:rPr>
                <w:i/>
                <w:iCs/>
                <w:color w:val="000000"/>
              </w:rPr>
              <w:t>ocellatus</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3</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0.84%</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12.9</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 xml:space="preserve">鳜 </w:t>
            </w:r>
            <w:r>
              <w:rPr>
                <w:i/>
                <w:iCs/>
                <w:color w:val="000000"/>
              </w:rPr>
              <w:t>Siniperca</w:t>
            </w:r>
            <w:r>
              <w:rPr>
                <w:color w:val="000000"/>
              </w:rPr>
              <w:t xml:space="preserve"> </w:t>
            </w:r>
            <w:r>
              <w:rPr>
                <w:i/>
                <w:iCs/>
                <w:color w:val="000000"/>
              </w:rPr>
              <w:t>chuatsi</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3</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0.84%</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489.6</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圆吻鲴</w:t>
            </w:r>
            <w:r>
              <w:rPr>
                <w:i/>
                <w:iCs/>
                <w:color w:val="000000"/>
              </w:rPr>
              <w:t>Distoechodon</w:t>
            </w:r>
            <w:r>
              <w:rPr>
                <w:color w:val="000000"/>
              </w:rPr>
              <w:t xml:space="preserve"> </w:t>
            </w:r>
            <w:r>
              <w:rPr>
                <w:i/>
                <w:iCs/>
                <w:color w:val="000000"/>
              </w:rPr>
              <w:t>tumirostris</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2</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0.56%</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88</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鳙</w:t>
            </w:r>
            <w:r>
              <w:rPr>
                <w:i/>
                <w:iCs/>
                <w:color w:val="000000"/>
              </w:rPr>
              <w:t>Aristichthys</w:t>
            </w:r>
            <w:r>
              <w:rPr>
                <w:color w:val="000000"/>
              </w:rPr>
              <w:t xml:space="preserve"> </w:t>
            </w:r>
            <w:r>
              <w:rPr>
                <w:i/>
                <w:iCs/>
                <w:color w:val="000000"/>
              </w:rPr>
              <w:t>nobilis</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2</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0.56%</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7160</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9.25%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团头鲂</w:t>
            </w:r>
            <w:r>
              <w:rPr>
                <w:i/>
                <w:iCs/>
                <w:color w:val="000000"/>
              </w:rPr>
              <w:t>Megalobrama</w:t>
            </w:r>
            <w:r>
              <w:rPr>
                <w:color w:val="000000"/>
              </w:rPr>
              <w:t xml:space="preserve"> </w:t>
            </w:r>
            <w:r>
              <w:rPr>
                <w:i/>
                <w:iCs/>
                <w:color w:val="000000"/>
              </w:rPr>
              <w:t>amblycephala</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2</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0.56%</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738</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鲂</w:t>
            </w:r>
            <w:r>
              <w:rPr>
                <w:i/>
                <w:iCs/>
                <w:color w:val="000000"/>
              </w:rPr>
              <w:t>Megalobrama</w:t>
            </w:r>
            <w:r>
              <w:rPr>
                <w:color w:val="000000"/>
              </w:rPr>
              <w:t xml:space="preserve"> </w:t>
            </w:r>
            <w:r>
              <w:rPr>
                <w:i/>
                <w:iCs/>
                <w:color w:val="000000"/>
              </w:rPr>
              <w:t>Tarminalis</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2</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0.56%</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690</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鳊</w:t>
            </w:r>
            <w:r>
              <w:rPr>
                <w:i/>
                <w:iCs/>
                <w:color w:val="000000"/>
              </w:rPr>
              <w:t>Parabramis</w:t>
            </w:r>
            <w:r>
              <w:rPr>
                <w:color w:val="000000"/>
              </w:rPr>
              <w:t xml:space="preserve"> </w:t>
            </w:r>
            <w:r>
              <w:rPr>
                <w:i/>
                <w:iCs/>
                <w:color w:val="000000"/>
              </w:rPr>
              <w:t>pekinensis</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2</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0.56%</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627.7</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似刺鳊鮈</w:t>
            </w:r>
            <w:r>
              <w:rPr>
                <w:i/>
                <w:iCs/>
                <w:color w:val="000000"/>
              </w:rPr>
              <w:t>Paracanthobrama</w:t>
            </w:r>
            <w:r>
              <w:rPr>
                <w:color w:val="000000"/>
              </w:rPr>
              <w:t xml:space="preserve"> </w:t>
            </w:r>
            <w:r>
              <w:rPr>
                <w:i/>
                <w:iCs/>
                <w:color w:val="000000"/>
              </w:rPr>
              <w:t>guichenoti</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2</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0.56%</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107.6</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乌鳢</w:t>
            </w:r>
            <w:r>
              <w:rPr>
                <w:i/>
                <w:iCs/>
                <w:color w:val="000000"/>
              </w:rPr>
              <w:t>Channa</w:t>
            </w:r>
            <w:r>
              <w:rPr>
                <w:color w:val="000000"/>
              </w:rPr>
              <w:t xml:space="preserve"> </w:t>
            </w:r>
            <w:r>
              <w:rPr>
                <w:i/>
                <w:iCs/>
                <w:color w:val="000000"/>
              </w:rPr>
              <w:t>argus</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2</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0.56%</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730.4</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numPr>
                <w:ilvl w:val="0"/>
                <w:numId w:val="7"/>
              </w:numPr>
              <w:snapToGrid w:val="0"/>
              <w:spacing w:line="240" w:lineRule="auto"/>
              <w:ind w:left="0" w:firstLine="0" w:firstLineChars="0"/>
              <w:jc w:val="left"/>
              <w:textAlignment w:val="auto"/>
              <w:rPr>
                <w:color w:val="000000"/>
              </w:rPr>
            </w:pPr>
            <w:r>
              <w:rPr>
                <w:color w:val="000000"/>
              </w:rPr>
              <w:t>青鱼</w:t>
            </w:r>
            <w:r>
              <w:rPr>
                <w:i/>
                <w:iCs/>
                <w:color w:val="000000"/>
              </w:rPr>
              <w:t>Mylopharyngodon</w:t>
            </w:r>
            <w:r>
              <w:rPr>
                <w:color w:val="000000"/>
              </w:rPr>
              <w:t xml:space="preserve"> </w:t>
            </w:r>
            <w:r>
              <w:rPr>
                <w:i/>
                <w:iCs/>
                <w:color w:val="000000"/>
              </w:rPr>
              <w:t>piceus</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1</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0.28%</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6980</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9.02%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67" w:type="pct"/>
            <w:shd w:val="clear" w:color="auto" w:fill="auto"/>
            <w:vAlign w:val="center"/>
          </w:tcPr>
          <w:p>
            <w:pPr>
              <w:pStyle w:val="131"/>
              <w:widowControl/>
              <w:snapToGrid w:val="0"/>
              <w:spacing w:line="240" w:lineRule="auto"/>
              <w:ind w:firstLine="0" w:firstLineChars="0"/>
              <w:jc w:val="left"/>
              <w:rPr>
                <w:color w:val="000000"/>
              </w:rPr>
            </w:pPr>
            <w:r>
              <w:rPr>
                <w:color w:val="000000"/>
              </w:rPr>
              <w:t>其他</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4</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1.12%</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183.5</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767"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合计</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358</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100.00%</w:t>
            </w:r>
          </w:p>
        </w:tc>
        <w:tc>
          <w:tcPr>
            <w:tcW w:w="556"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77379.2</w:t>
            </w:r>
          </w:p>
        </w:tc>
        <w:tc>
          <w:tcPr>
            <w:tcW w:w="561" w:type="pct"/>
            <w:shd w:val="clear" w:color="auto" w:fill="auto"/>
            <w:noWrap/>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100.00%</w:t>
            </w:r>
          </w:p>
        </w:tc>
      </w:tr>
    </w:tbl>
    <w:p>
      <w:pPr>
        <w:adjustRightInd w:val="0"/>
        <w:snapToGrid w:val="0"/>
        <w:spacing w:line="360" w:lineRule="auto"/>
        <w:ind w:firstLine="480" w:firstLineChars="200"/>
        <w:rPr>
          <w:rFonts w:ascii="Times New Roman" w:hAnsi="Times New Roman" w:eastAsiaTheme="minorEastAsia"/>
          <w:sz w:val="24"/>
          <w:szCs w:val="24"/>
        </w:rPr>
      </w:pPr>
    </w:p>
    <w:p>
      <w:pPr>
        <w:pStyle w:val="5"/>
        <w:rPr>
          <w:rFonts w:eastAsiaTheme="minorEastAsia"/>
        </w:rPr>
      </w:pPr>
      <w:r>
        <w:rPr>
          <w:rFonts w:eastAsiaTheme="minorEastAsia"/>
        </w:rPr>
        <w:t>渔业资源状况及变动趋势</w:t>
      </w:r>
    </w:p>
    <w:p>
      <w:pPr>
        <w:pStyle w:val="7"/>
        <w:adjustRightInd w:val="0"/>
        <w:snapToGrid w:val="0"/>
        <w:spacing w:after="0" w:line="360" w:lineRule="auto"/>
        <w:ind w:firstLine="480" w:firstLineChars="200"/>
        <w:rPr>
          <w:rFonts w:ascii="Times New Roman" w:hAnsi="Times New Roman"/>
          <w:sz w:val="24"/>
        </w:rPr>
      </w:pPr>
      <w:r>
        <w:rPr>
          <w:rFonts w:ascii="Times New Roman" w:hAnsi="Times New Roman"/>
          <w:sz w:val="24"/>
        </w:rPr>
        <w:t>本项目调查江段位于长江中游上段。根据走访渔民了解，近年来，由于葛洲坝及三峡水利枢纽相继建成投入运行，虽然每年都实施禁渔期制度及人工放流。但由于水利工程的阻隔，长江运输船只逐年增多，水体污染加剧，鱼类资源变动总体呈下降趋势。在捕捞的渔获物中，洄游性鱼类减少，捕捞品种趋向单一，渔获个体趋向小型化、低龄化，资源量下降，形势不容乐观。</w:t>
      </w:r>
    </w:p>
    <w:p>
      <w:pPr>
        <w:pStyle w:val="7"/>
        <w:adjustRightInd w:val="0"/>
        <w:snapToGrid w:val="0"/>
        <w:spacing w:after="0" w:line="360" w:lineRule="auto"/>
        <w:ind w:firstLine="480" w:firstLineChars="200"/>
        <w:rPr>
          <w:rFonts w:ascii="Times New Roman" w:hAnsi="Times New Roman"/>
          <w:sz w:val="24"/>
        </w:rPr>
      </w:pPr>
      <w:r>
        <w:rPr>
          <w:rFonts w:ascii="Times New Roman" w:hAnsi="Times New Roman"/>
          <w:sz w:val="24"/>
        </w:rPr>
        <w:t>以种类论，白鲟仅剩分布记录，长江水产研究所危起伟团队在国际期刊（Science of The Total Environment）发布的一篇研究论文（Extinction of one of the world`s largest freshwater fishes: Lessons for conserving the endangered Yangtze funa，2019）称，估计在2005-2010年时，白鲟就已经灭绝；中华鲟虽偶有撞网，均为小型的人工放流个体；调查江段渔民由于数十年未见鯮，大都认为鯮在调查江段已绝迹；鳤数年来也难以在渔获物中见到，保护鱼类资源状况堪忧。</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sz w:val="24"/>
        </w:rPr>
        <w:t>调査江段江湖半洄游性鱼类鯮、鳤、鱤等鱼类数量明显下降，已很难捕到，而黄颡鱼、短颌鲚等定居性鱼类已成为主要捕捞对象</w:t>
      </w:r>
      <w:r>
        <w:rPr>
          <w:rFonts w:ascii="Times New Roman" w:hAnsi="Times New Roman" w:eastAsiaTheme="minorEastAsia"/>
          <w:sz w:val="24"/>
          <w:szCs w:val="24"/>
        </w:rPr>
        <w:t>。</w:t>
      </w:r>
    </w:p>
    <w:p>
      <w:pPr>
        <w:pStyle w:val="4"/>
        <w:rPr>
          <w:rFonts w:eastAsiaTheme="minorEastAsia"/>
          <w:szCs w:val="24"/>
        </w:rPr>
      </w:pPr>
      <w:bookmarkStart w:id="85" w:name="_Toc515895867"/>
      <w:r>
        <w:rPr>
          <w:rFonts w:eastAsiaTheme="minorEastAsia"/>
          <w:szCs w:val="24"/>
        </w:rPr>
        <w:t>濒危和保护水生生物现状与评价</w:t>
      </w:r>
      <w:bookmarkEnd w:id="85"/>
    </w:p>
    <w:p>
      <w:pPr>
        <w:adjustRightInd w:val="0"/>
        <w:snapToGrid w:val="0"/>
        <w:spacing w:line="360" w:lineRule="auto"/>
        <w:ind w:firstLine="480" w:firstLineChars="200"/>
        <w:rPr>
          <w:rFonts w:ascii="Times New Roman" w:hAnsi="Times New Roman"/>
          <w:sz w:val="24"/>
        </w:rPr>
      </w:pPr>
      <w:r>
        <w:rPr>
          <w:rFonts w:ascii="Times New Roman" w:hAnsi="Times New Roman"/>
          <w:sz w:val="24"/>
        </w:rPr>
        <w:t>保护区水域记录有水生野生保护动物6目7科10种（表4.8-3），其中，属于国家重点保护野生动物名录一级种类2种为江豚和中华鲟，二级保护种类1种为胭脂鱼，列入《湖南省地方重点保护野生动植物名录》的有7种，太湖新银鱼、胭脂鱼、鯮、鳤、瓣结鱼、胡子鲇、月鳢。列入《中国濒危动物红皮书（1998）》的有中华鲟、胭脂鱼2种。</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现状调查及访问发现有江豚、中华鲟、太湖新银鱼、胭脂鱼等4种。</w:t>
      </w:r>
    </w:p>
    <w:p>
      <w:pPr>
        <w:spacing w:line="360" w:lineRule="auto"/>
        <w:jc w:val="center"/>
        <w:rPr>
          <w:rFonts w:ascii="Times New Roman" w:hAnsi="Times New Roman"/>
          <w:b/>
          <w:sz w:val="24"/>
          <w:szCs w:val="24"/>
        </w:rPr>
      </w:pPr>
      <w:r>
        <w:rPr>
          <w:rFonts w:ascii="Times New Roman" w:hAnsi="Times New Roman"/>
          <w:b/>
          <w:sz w:val="24"/>
          <w:szCs w:val="24"/>
        </w:rPr>
        <w:t xml:space="preserve">表4.8-3  </w:t>
      </w:r>
      <w:r>
        <w:rPr>
          <w:rFonts w:ascii="Times New Roman" w:hAnsi="Times New Roman"/>
          <w:b/>
          <w:sz w:val="24"/>
        </w:rPr>
        <w:t>保护区水域水生野生动物保护名录及分布</w:t>
      </w:r>
    </w:p>
    <w:tbl>
      <w:tblPr>
        <w:tblStyle w:val="7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38"/>
        <w:gridCol w:w="972"/>
        <w:gridCol w:w="3615"/>
        <w:gridCol w:w="1216"/>
        <w:gridCol w:w="23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6" w:type="pct"/>
            <w:vAlign w:val="center"/>
          </w:tcPr>
          <w:p>
            <w:pPr>
              <w:adjustRightInd w:val="0"/>
              <w:snapToGrid w:val="0"/>
              <w:jc w:val="center"/>
              <w:rPr>
                <w:rFonts w:ascii="Times New Roman" w:hAnsi="Times New Roman" w:eastAsiaTheme="minorEastAsia"/>
                <w:b/>
                <w:bCs/>
              </w:rPr>
            </w:pPr>
            <w:r>
              <w:rPr>
                <w:rFonts w:ascii="Times New Roman" w:hAnsi="Times New Roman" w:eastAsiaTheme="minorEastAsia"/>
                <w:b/>
                <w:bCs/>
              </w:rPr>
              <w:t>目</w:t>
            </w:r>
          </w:p>
        </w:tc>
        <w:tc>
          <w:tcPr>
            <w:tcW w:w="534" w:type="pct"/>
            <w:vAlign w:val="center"/>
          </w:tcPr>
          <w:p>
            <w:pPr>
              <w:adjustRightInd w:val="0"/>
              <w:snapToGrid w:val="0"/>
              <w:jc w:val="center"/>
              <w:rPr>
                <w:rFonts w:ascii="Times New Roman" w:hAnsi="Times New Roman" w:eastAsiaTheme="minorEastAsia"/>
                <w:b/>
                <w:bCs/>
              </w:rPr>
            </w:pPr>
            <w:r>
              <w:rPr>
                <w:rFonts w:ascii="Times New Roman" w:hAnsi="Times New Roman" w:eastAsiaTheme="minorEastAsia"/>
                <w:b/>
                <w:bCs/>
              </w:rPr>
              <w:t>科</w:t>
            </w:r>
          </w:p>
        </w:tc>
        <w:tc>
          <w:tcPr>
            <w:tcW w:w="1986" w:type="pct"/>
            <w:vAlign w:val="center"/>
          </w:tcPr>
          <w:p>
            <w:pPr>
              <w:adjustRightInd w:val="0"/>
              <w:snapToGrid w:val="0"/>
              <w:jc w:val="center"/>
              <w:rPr>
                <w:rFonts w:ascii="Times New Roman" w:hAnsi="Times New Roman" w:eastAsiaTheme="minorEastAsia"/>
                <w:b/>
                <w:bCs/>
              </w:rPr>
            </w:pPr>
            <w:r>
              <w:rPr>
                <w:rFonts w:ascii="Times New Roman" w:hAnsi="Times New Roman" w:eastAsiaTheme="minorEastAsia"/>
                <w:b/>
                <w:bCs/>
              </w:rPr>
              <w:t>记录种</w:t>
            </w:r>
          </w:p>
        </w:tc>
        <w:tc>
          <w:tcPr>
            <w:tcW w:w="668" w:type="pct"/>
            <w:vAlign w:val="center"/>
          </w:tcPr>
          <w:p>
            <w:pPr>
              <w:adjustRightInd w:val="0"/>
              <w:snapToGrid w:val="0"/>
              <w:jc w:val="center"/>
              <w:rPr>
                <w:rFonts w:ascii="Times New Roman" w:hAnsi="Times New Roman" w:eastAsiaTheme="minorEastAsia"/>
                <w:b/>
                <w:bCs/>
              </w:rPr>
            </w:pPr>
            <w:r>
              <w:rPr>
                <w:rFonts w:ascii="Times New Roman" w:hAnsi="Times New Roman" w:eastAsiaTheme="minorEastAsia"/>
                <w:b/>
                <w:bCs/>
              </w:rPr>
              <w:t>保护级别</w:t>
            </w:r>
          </w:p>
        </w:tc>
        <w:tc>
          <w:tcPr>
            <w:tcW w:w="1294" w:type="pct"/>
            <w:vAlign w:val="center"/>
          </w:tcPr>
          <w:p>
            <w:pPr>
              <w:adjustRightInd w:val="0"/>
              <w:snapToGrid w:val="0"/>
              <w:jc w:val="center"/>
              <w:rPr>
                <w:rFonts w:ascii="Times New Roman" w:hAnsi="Times New Roman" w:eastAsiaTheme="minorEastAsia"/>
                <w:b/>
                <w:bCs/>
              </w:rPr>
            </w:pPr>
            <w:r>
              <w:rPr>
                <w:rFonts w:ascii="Times New Roman" w:hAnsi="Times New Roman" w:eastAsiaTheme="minorEastAsia"/>
                <w:b/>
                <w:bCs/>
              </w:rPr>
              <w:t>分布情况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哺乳类</w:t>
            </w:r>
          </w:p>
        </w:tc>
        <w:tc>
          <w:tcPr>
            <w:tcW w:w="534" w:type="pct"/>
            <w:vAlign w:val="center"/>
          </w:tcPr>
          <w:p>
            <w:pPr>
              <w:adjustRightInd w:val="0"/>
              <w:snapToGrid w:val="0"/>
              <w:rPr>
                <w:rFonts w:ascii="Times New Roman" w:hAnsi="Times New Roman" w:eastAsiaTheme="minorEastAsia"/>
              </w:rPr>
            </w:pPr>
            <w:r>
              <w:rPr>
                <w:rFonts w:ascii="Times New Roman" w:hAnsi="Times New Roman" w:eastAsiaTheme="minorEastAsia"/>
              </w:rPr>
              <w:t>鼠海豚科</w:t>
            </w:r>
          </w:p>
        </w:tc>
        <w:tc>
          <w:tcPr>
            <w:tcW w:w="1986" w:type="pct"/>
            <w:vAlign w:val="center"/>
          </w:tcPr>
          <w:p>
            <w:pPr>
              <w:adjustRightInd w:val="0"/>
              <w:snapToGrid w:val="0"/>
              <w:jc w:val="left"/>
              <w:rPr>
                <w:rFonts w:ascii="Times New Roman" w:hAnsi="Times New Roman" w:eastAsiaTheme="minorEastAsia"/>
                <w:color w:val="000000"/>
              </w:rPr>
            </w:pPr>
            <w:r>
              <w:rPr>
                <w:rFonts w:ascii="Times New Roman" w:hAnsi="Times New Roman" w:eastAsiaTheme="minorEastAsia"/>
              </w:rPr>
              <w:t>长江江豚</w:t>
            </w:r>
            <w:r>
              <w:rPr>
                <w:rFonts w:ascii="Times New Roman" w:hAnsi="Times New Roman" w:eastAsiaTheme="minorEastAsia"/>
                <w:i/>
              </w:rPr>
              <w:t>Neophocaena phocaenoides asiaeorientalis</w:t>
            </w:r>
          </w:p>
        </w:tc>
        <w:tc>
          <w:tcPr>
            <w:tcW w:w="66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国家一级</w:t>
            </w:r>
          </w:p>
        </w:tc>
        <w:tc>
          <w:tcPr>
            <w:tcW w:w="1294" w:type="pct"/>
            <w:vAlign w:val="center"/>
          </w:tcPr>
          <w:p>
            <w:pPr>
              <w:adjustRightInd w:val="0"/>
              <w:snapToGrid w:val="0"/>
              <w:rPr>
                <w:rFonts w:ascii="Times New Roman" w:hAnsi="Times New Roman" w:eastAsiaTheme="minorEastAsia"/>
              </w:rPr>
            </w:pPr>
            <w:r>
              <w:rPr>
                <w:rFonts w:ascii="Times New Roman" w:hAnsi="Times New Roman" w:eastAsiaTheme="minorEastAsia"/>
              </w:rPr>
              <w:t>东洞庭湖、长江城陵矶至七弓岭江段发现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鲟形目</w:t>
            </w:r>
          </w:p>
        </w:tc>
        <w:tc>
          <w:tcPr>
            <w:tcW w:w="534" w:type="pct"/>
            <w:vAlign w:val="center"/>
          </w:tcPr>
          <w:p>
            <w:pPr>
              <w:adjustRightInd w:val="0"/>
              <w:snapToGrid w:val="0"/>
              <w:rPr>
                <w:rFonts w:ascii="Times New Roman" w:hAnsi="Times New Roman" w:eastAsiaTheme="minorEastAsia"/>
              </w:rPr>
            </w:pPr>
            <w:r>
              <w:rPr>
                <w:rFonts w:ascii="Times New Roman" w:hAnsi="Times New Roman" w:eastAsiaTheme="minorEastAsia"/>
              </w:rPr>
              <w:t>鲟科</w:t>
            </w:r>
          </w:p>
        </w:tc>
        <w:tc>
          <w:tcPr>
            <w:tcW w:w="1986" w:type="pct"/>
            <w:vAlign w:val="center"/>
          </w:tcPr>
          <w:p>
            <w:pPr>
              <w:adjustRightInd w:val="0"/>
              <w:snapToGrid w:val="0"/>
              <w:rPr>
                <w:rFonts w:ascii="Times New Roman" w:hAnsi="Times New Roman" w:eastAsiaTheme="minorEastAsia"/>
              </w:rPr>
            </w:pPr>
            <w:r>
              <w:rPr>
                <w:rFonts w:ascii="Times New Roman" w:hAnsi="Times New Roman" w:eastAsiaTheme="minorEastAsia"/>
              </w:rPr>
              <w:t>中华鲟</w:t>
            </w:r>
            <w:r>
              <w:rPr>
                <w:rFonts w:ascii="Times New Roman" w:hAnsi="Times New Roman" w:eastAsiaTheme="minorEastAsia"/>
                <w:i/>
              </w:rPr>
              <w:t>Acipenser sinensis</w:t>
            </w:r>
          </w:p>
        </w:tc>
        <w:tc>
          <w:tcPr>
            <w:tcW w:w="66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国家一级</w:t>
            </w:r>
          </w:p>
        </w:tc>
        <w:tc>
          <w:tcPr>
            <w:tcW w:w="1294" w:type="pct"/>
            <w:vAlign w:val="center"/>
          </w:tcPr>
          <w:p>
            <w:pPr>
              <w:adjustRightInd w:val="0"/>
              <w:snapToGrid w:val="0"/>
              <w:rPr>
                <w:rFonts w:ascii="Times New Roman" w:hAnsi="Times New Roman" w:eastAsiaTheme="minorEastAsia"/>
              </w:rPr>
            </w:pPr>
            <w:r>
              <w:rPr>
                <w:rFonts w:ascii="Times New Roman" w:hAnsi="Times New Roman" w:eastAsiaTheme="minorEastAsia"/>
              </w:rPr>
              <w:t>敞水深水区分布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鲑形目</w:t>
            </w:r>
          </w:p>
        </w:tc>
        <w:tc>
          <w:tcPr>
            <w:tcW w:w="534" w:type="pct"/>
            <w:vAlign w:val="center"/>
          </w:tcPr>
          <w:p>
            <w:pPr>
              <w:adjustRightInd w:val="0"/>
              <w:snapToGrid w:val="0"/>
              <w:rPr>
                <w:rFonts w:ascii="Times New Roman" w:hAnsi="Times New Roman" w:eastAsiaTheme="minorEastAsia"/>
              </w:rPr>
            </w:pPr>
            <w:r>
              <w:rPr>
                <w:rFonts w:ascii="Times New Roman" w:hAnsi="Times New Roman" w:eastAsiaTheme="minorEastAsia"/>
              </w:rPr>
              <w:t>银鱼科</w:t>
            </w:r>
          </w:p>
        </w:tc>
        <w:tc>
          <w:tcPr>
            <w:tcW w:w="1986" w:type="pct"/>
            <w:vAlign w:val="center"/>
          </w:tcPr>
          <w:p>
            <w:pPr>
              <w:adjustRightInd w:val="0"/>
              <w:snapToGrid w:val="0"/>
              <w:rPr>
                <w:rFonts w:ascii="Times New Roman" w:hAnsi="Times New Roman" w:eastAsiaTheme="minorEastAsia"/>
              </w:rPr>
            </w:pPr>
            <w:r>
              <w:rPr>
                <w:rFonts w:ascii="Times New Roman" w:hAnsi="Times New Roman" w:eastAsiaTheme="minorEastAsia"/>
              </w:rPr>
              <w:t>太湖新银鱼</w:t>
            </w:r>
            <w:r>
              <w:rPr>
                <w:rFonts w:ascii="Times New Roman" w:hAnsi="Times New Roman" w:eastAsiaTheme="minorEastAsia"/>
                <w:i/>
              </w:rPr>
              <w:t xml:space="preserve">Neosalanx taihuensis </w:t>
            </w:r>
          </w:p>
        </w:tc>
        <w:tc>
          <w:tcPr>
            <w:tcW w:w="66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省重点</w:t>
            </w:r>
          </w:p>
        </w:tc>
        <w:tc>
          <w:tcPr>
            <w:tcW w:w="1294" w:type="pct"/>
            <w:vAlign w:val="center"/>
          </w:tcPr>
          <w:p>
            <w:pPr>
              <w:adjustRightInd w:val="0"/>
              <w:snapToGrid w:val="0"/>
              <w:rPr>
                <w:rFonts w:ascii="Times New Roman" w:hAnsi="Times New Roman" w:eastAsiaTheme="minorEastAsia"/>
              </w:rPr>
            </w:pPr>
            <w:r>
              <w:rPr>
                <w:rFonts w:ascii="Times New Roman" w:hAnsi="Times New Roman" w:eastAsiaTheme="minorEastAsia"/>
              </w:rPr>
              <w:t>三江口分布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6" w:type="pct"/>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鲤形目</w:t>
            </w:r>
          </w:p>
        </w:tc>
        <w:tc>
          <w:tcPr>
            <w:tcW w:w="534" w:type="pct"/>
            <w:vAlign w:val="center"/>
          </w:tcPr>
          <w:p>
            <w:pPr>
              <w:adjustRightInd w:val="0"/>
              <w:snapToGrid w:val="0"/>
              <w:rPr>
                <w:rFonts w:ascii="Times New Roman" w:hAnsi="Times New Roman" w:eastAsiaTheme="minorEastAsia"/>
              </w:rPr>
            </w:pPr>
            <w:r>
              <w:rPr>
                <w:rFonts w:ascii="Times New Roman" w:hAnsi="Times New Roman" w:eastAsiaTheme="minorEastAsia"/>
              </w:rPr>
              <w:t>胭脂鱼科</w:t>
            </w:r>
          </w:p>
        </w:tc>
        <w:tc>
          <w:tcPr>
            <w:tcW w:w="1986" w:type="pct"/>
            <w:vAlign w:val="center"/>
          </w:tcPr>
          <w:p>
            <w:pPr>
              <w:adjustRightInd w:val="0"/>
              <w:snapToGrid w:val="0"/>
              <w:rPr>
                <w:rFonts w:ascii="Times New Roman" w:hAnsi="Times New Roman" w:eastAsiaTheme="minorEastAsia"/>
              </w:rPr>
            </w:pPr>
            <w:r>
              <w:rPr>
                <w:rFonts w:ascii="Times New Roman" w:hAnsi="Times New Roman" w:eastAsiaTheme="minorEastAsia"/>
              </w:rPr>
              <w:t>胭脂鱼</w:t>
            </w:r>
            <w:r>
              <w:rPr>
                <w:rFonts w:ascii="Times New Roman" w:hAnsi="Times New Roman" w:eastAsiaTheme="minorEastAsia"/>
                <w:i/>
              </w:rPr>
              <w:t>Myxocyprinus asiaticus</w:t>
            </w:r>
          </w:p>
        </w:tc>
        <w:tc>
          <w:tcPr>
            <w:tcW w:w="66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国家二级</w:t>
            </w:r>
          </w:p>
        </w:tc>
        <w:tc>
          <w:tcPr>
            <w:tcW w:w="1294" w:type="pct"/>
            <w:vAlign w:val="center"/>
          </w:tcPr>
          <w:p>
            <w:pPr>
              <w:adjustRightInd w:val="0"/>
              <w:snapToGrid w:val="0"/>
              <w:rPr>
                <w:rFonts w:ascii="Times New Roman" w:hAnsi="Times New Roman" w:eastAsiaTheme="minorEastAsia"/>
              </w:rPr>
            </w:pPr>
            <w:r>
              <w:rPr>
                <w:rFonts w:ascii="Times New Roman" w:hAnsi="Times New Roman" w:eastAsiaTheme="minorEastAsia"/>
              </w:rPr>
              <w:t>洞庭湖及城陵矶分布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6" w:type="pct"/>
            <w:vMerge w:val="continue"/>
            <w:vAlign w:val="center"/>
          </w:tcPr>
          <w:p>
            <w:pPr>
              <w:adjustRightInd w:val="0"/>
              <w:snapToGrid w:val="0"/>
              <w:jc w:val="center"/>
              <w:rPr>
                <w:rFonts w:ascii="Times New Roman" w:hAnsi="Times New Roman" w:eastAsiaTheme="minorEastAsia"/>
              </w:rPr>
            </w:pPr>
          </w:p>
        </w:tc>
        <w:tc>
          <w:tcPr>
            <w:tcW w:w="534" w:type="pct"/>
            <w:vMerge w:val="restart"/>
            <w:vAlign w:val="center"/>
          </w:tcPr>
          <w:p>
            <w:pPr>
              <w:adjustRightInd w:val="0"/>
              <w:snapToGrid w:val="0"/>
              <w:rPr>
                <w:rFonts w:ascii="Times New Roman" w:hAnsi="Times New Roman" w:eastAsiaTheme="minorEastAsia"/>
              </w:rPr>
            </w:pPr>
            <w:r>
              <w:rPr>
                <w:rFonts w:ascii="Times New Roman" w:hAnsi="Times New Roman" w:eastAsiaTheme="minorEastAsia"/>
              </w:rPr>
              <w:t>鲤科</w:t>
            </w:r>
          </w:p>
        </w:tc>
        <w:tc>
          <w:tcPr>
            <w:tcW w:w="1986" w:type="pct"/>
            <w:vAlign w:val="center"/>
          </w:tcPr>
          <w:p>
            <w:pPr>
              <w:adjustRightInd w:val="0"/>
              <w:snapToGrid w:val="0"/>
              <w:rPr>
                <w:rFonts w:ascii="Times New Roman" w:hAnsi="Times New Roman" w:eastAsiaTheme="minorEastAsia"/>
              </w:rPr>
            </w:pPr>
            <w:r>
              <w:rPr>
                <w:rFonts w:ascii="Times New Roman" w:hAnsi="Times New Roman" w:eastAsiaTheme="minorEastAsia"/>
                <w:spacing w:val="-20"/>
                <w:w w:val="80"/>
              </w:rPr>
              <w:t>鱼宗</w:t>
            </w:r>
            <w:r>
              <w:rPr>
                <w:rFonts w:ascii="Times New Roman" w:hAnsi="Times New Roman" w:eastAsiaTheme="minorEastAsia"/>
                <w:i/>
              </w:rPr>
              <w:t>Leuciobrama macrocephalus</w:t>
            </w:r>
          </w:p>
        </w:tc>
        <w:tc>
          <w:tcPr>
            <w:tcW w:w="66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省重点</w:t>
            </w:r>
          </w:p>
        </w:tc>
        <w:tc>
          <w:tcPr>
            <w:tcW w:w="1294" w:type="pct"/>
            <w:vAlign w:val="center"/>
          </w:tcPr>
          <w:p>
            <w:pPr>
              <w:adjustRightInd w:val="0"/>
              <w:snapToGrid w:val="0"/>
              <w:rPr>
                <w:rFonts w:ascii="Times New Roman" w:hAnsi="Times New Roman" w:eastAsiaTheme="minorEastAsia"/>
              </w:rPr>
            </w:pPr>
            <w:r>
              <w:rPr>
                <w:rFonts w:ascii="Times New Roman" w:hAnsi="Times New Roman" w:eastAsiaTheme="minorEastAsia"/>
              </w:rPr>
              <w:t>城陵矶分布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6" w:type="pct"/>
            <w:vMerge w:val="continue"/>
            <w:vAlign w:val="center"/>
          </w:tcPr>
          <w:p>
            <w:pPr>
              <w:adjustRightInd w:val="0"/>
              <w:snapToGrid w:val="0"/>
              <w:jc w:val="center"/>
              <w:rPr>
                <w:rFonts w:ascii="Times New Roman" w:hAnsi="Times New Roman" w:eastAsiaTheme="minorEastAsia"/>
              </w:rPr>
            </w:pPr>
          </w:p>
        </w:tc>
        <w:tc>
          <w:tcPr>
            <w:tcW w:w="534" w:type="pct"/>
            <w:vMerge w:val="continue"/>
            <w:vAlign w:val="center"/>
          </w:tcPr>
          <w:p>
            <w:pPr>
              <w:adjustRightInd w:val="0"/>
              <w:snapToGrid w:val="0"/>
              <w:rPr>
                <w:rFonts w:ascii="Times New Roman" w:hAnsi="Times New Roman" w:eastAsiaTheme="minorEastAsia"/>
              </w:rPr>
            </w:pPr>
          </w:p>
        </w:tc>
        <w:tc>
          <w:tcPr>
            <w:tcW w:w="1986" w:type="pct"/>
            <w:vAlign w:val="center"/>
          </w:tcPr>
          <w:p>
            <w:pPr>
              <w:adjustRightInd w:val="0"/>
              <w:snapToGrid w:val="0"/>
              <w:rPr>
                <w:rFonts w:ascii="Times New Roman" w:hAnsi="Times New Roman" w:eastAsiaTheme="minorEastAsia"/>
              </w:rPr>
            </w:pPr>
            <w:r>
              <w:rPr>
                <w:rFonts w:ascii="Times New Roman" w:hAnsi="Times New Roman" w:eastAsiaTheme="minorEastAsia"/>
                <w:spacing w:val="-20"/>
                <w:w w:val="80"/>
              </w:rPr>
              <w:t>鱼管</w:t>
            </w:r>
            <w:r>
              <w:rPr>
                <w:rFonts w:ascii="Times New Roman" w:hAnsi="Times New Roman" w:eastAsiaTheme="minorEastAsia"/>
                <w:i/>
              </w:rPr>
              <w:t>Ochetobius elongates</w:t>
            </w:r>
          </w:p>
        </w:tc>
        <w:tc>
          <w:tcPr>
            <w:tcW w:w="66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省重点</w:t>
            </w:r>
          </w:p>
        </w:tc>
        <w:tc>
          <w:tcPr>
            <w:tcW w:w="1294" w:type="pct"/>
            <w:vAlign w:val="center"/>
          </w:tcPr>
          <w:p>
            <w:pPr>
              <w:adjustRightInd w:val="0"/>
              <w:snapToGrid w:val="0"/>
              <w:rPr>
                <w:rFonts w:ascii="Times New Roman" w:hAnsi="Times New Roman" w:eastAsiaTheme="minorEastAsia"/>
              </w:rPr>
            </w:pPr>
            <w:r>
              <w:rPr>
                <w:rFonts w:ascii="Times New Roman" w:hAnsi="Times New Roman" w:eastAsiaTheme="minorEastAsia"/>
              </w:rPr>
              <w:t>城陵矶分布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6" w:type="pct"/>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鲇形目</w:t>
            </w:r>
          </w:p>
        </w:tc>
        <w:tc>
          <w:tcPr>
            <w:tcW w:w="534" w:type="pct"/>
            <w:vMerge w:val="restart"/>
            <w:vAlign w:val="center"/>
          </w:tcPr>
          <w:p>
            <w:pPr>
              <w:adjustRightInd w:val="0"/>
              <w:snapToGrid w:val="0"/>
              <w:rPr>
                <w:rFonts w:ascii="Times New Roman" w:hAnsi="Times New Roman" w:eastAsiaTheme="minorEastAsia"/>
              </w:rPr>
            </w:pPr>
            <w:r>
              <w:rPr>
                <w:rFonts w:ascii="Times New Roman" w:hAnsi="Times New Roman" w:eastAsiaTheme="minorEastAsia"/>
              </w:rPr>
              <w:t>胡子鲇科</w:t>
            </w:r>
          </w:p>
        </w:tc>
        <w:tc>
          <w:tcPr>
            <w:tcW w:w="1986" w:type="pct"/>
            <w:vAlign w:val="center"/>
          </w:tcPr>
          <w:p>
            <w:pPr>
              <w:adjustRightInd w:val="0"/>
              <w:snapToGrid w:val="0"/>
              <w:rPr>
                <w:rFonts w:ascii="Times New Roman" w:hAnsi="Times New Roman" w:eastAsiaTheme="minorEastAsia"/>
                <w:spacing w:val="-20"/>
                <w:w w:val="80"/>
              </w:rPr>
            </w:pPr>
            <w:r>
              <w:rPr>
                <w:rFonts w:ascii="Times New Roman" w:hAnsi="Times New Roman" w:eastAsiaTheme="minorEastAsia"/>
              </w:rPr>
              <w:t>瓣结鱼</w:t>
            </w:r>
            <w:r>
              <w:rPr>
                <w:rFonts w:ascii="Times New Roman" w:hAnsi="Times New Roman" w:eastAsiaTheme="minorEastAsia"/>
                <w:i/>
                <w:iCs/>
              </w:rPr>
              <w:t>Folifer revifilis</w:t>
            </w:r>
          </w:p>
        </w:tc>
        <w:tc>
          <w:tcPr>
            <w:tcW w:w="66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省重点</w:t>
            </w:r>
          </w:p>
        </w:tc>
        <w:tc>
          <w:tcPr>
            <w:tcW w:w="1294" w:type="pct"/>
            <w:vAlign w:val="center"/>
          </w:tcPr>
          <w:p>
            <w:pPr>
              <w:adjustRightInd w:val="0"/>
              <w:snapToGrid w:val="0"/>
              <w:rPr>
                <w:rFonts w:ascii="Times New Roman" w:hAnsi="Times New Roman" w:eastAsiaTheme="minorEastAsia"/>
              </w:rPr>
            </w:pPr>
            <w:r>
              <w:rPr>
                <w:rFonts w:ascii="Times New Roman" w:hAnsi="Times New Roman" w:eastAsiaTheme="minorEastAsia"/>
              </w:rPr>
              <w:t>洞庭湖湖区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6" w:type="pct"/>
            <w:vMerge w:val="continue"/>
            <w:vAlign w:val="center"/>
          </w:tcPr>
          <w:p>
            <w:pPr>
              <w:adjustRightInd w:val="0"/>
              <w:snapToGrid w:val="0"/>
              <w:jc w:val="center"/>
              <w:rPr>
                <w:rFonts w:ascii="Times New Roman" w:hAnsi="Times New Roman" w:eastAsiaTheme="minorEastAsia"/>
              </w:rPr>
            </w:pPr>
          </w:p>
        </w:tc>
        <w:tc>
          <w:tcPr>
            <w:tcW w:w="534" w:type="pct"/>
            <w:vMerge w:val="continue"/>
            <w:vAlign w:val="center"/>
          </w:tcPr>
          <w:p>
            <w:pPr>
              <w:adjustRightInd w:val="0"/>
              <w:snapToGrid w:val="0"/>
              <w:rPr>
                <w:rFonts w:ascii="Times New Roman" w:hAnsi="Times New Roman" w:eastAsiaTheme="minorEastAsia"/>
              </w:rPr>
            </w:pPr>
          </w:p>
        </w:tc>
        <w:tc>
          <w:tcPr>
            <w:tcW w:w="1986" w:type="pct"/>
            <w:vAlign w:val="center"/>
          </w:tcPr>
          <w:p>
            <w:pPr>
              <w:adjustRightInd w:val="0"/>
              <w:snapToGrid w:val="0"/>
              <w:rPr>
                <w:rFonts w:ascii="Times New Roman" w:hAnsi="Times New Roman" w:eastAsiaTheme="minorEastAsia"/>
              </w:rPr>
            </w:pPr>
            <w:r>
              <w:rPr>
                <w:rFonts w:ascii="Times New Roman" w:hAnsi="Times New Roman" w:eastAsiaTheme="minorEastAsia"/>
              </w:rPr>
              <w:t>胡子鲇</w:t>
            </w:r>
            <w:r>
              <w:rPr>
                <w:rFonts w:ascii="Times New Roman" w:hAnsi="Times New Roman" w:eastAsiaTheme="minorEastAsia"/>
                <w:i/>
                <w:iCs/>
              </w:rPr>
              <w:t>Clarias fuscus</w:t>
            </w:r>
          </w:p>
        </w:tc>
        <w:tc>
          <w:tcPr>
            <w:tcW w:w="66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省重点</w:t>
            </w:r>
          </w:p>
        </w:tc>
        <w:tc>
          <w:tcPr>
            <w:tcW w:w="1294" w:type="pct"/>
            <w:vAlign w:val="center"/>
          </w:tcPr>
          <w:p>
            <w:pPr>
              <w:adjustRightInd w:val="0"/>
              <w:snapToGrid w:val="0"/>
              <w:rPr>
                <w:rFonts w:ascii="Times New Roman" w:hAnsi="Times New Roman" w:eastAsiaTheme="minorEastAsia"/>
              </w:rPr>
            </w:pPr>
            <w:r>
              <w:rPr>
                <w:rFonts w:ascii="Times New Roman" w:hAnsi="Times New Roman" w:eastAsiaTheme="minorEastAsia"/>
              </w:rPr>
              <w:t>洞庭湖湖区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鲈形目</w:t>
            </w:r>
          </w:p>
        </w:tc>
        <w:tc>
          <w:tcPr>
            <w:tcW w:w="534" w:type="pct"/>
            <w:vAlign w:val="center"/>
          </w:tcPr>
          <w:p>
            <w:pPr>
              <w:adjustRightInd w:val="0"/>
              <w:snapToGrid w:val="0"/>
              <w:rPr>
                <w:rFonts w:ascii="Times New Roman" w:hAnsi="Times New Roman" w:eastAsiaTheme="minorEastAsia"/>
              </w:rPr>
            </w:pPr>
            <w:r>
              <w:rPr>
                <w:rFonts w:ascii="Times New Roman" w:hAnsi="Times New Roman" w:eastAsiaTheme="minorEastAsia"/>
              </w:rPr>
              <w:t>鳢科</w:t>
            </w:r>
          </w:p>
        </w:tc>
        <w:tc>
          <w:tcPr>
            <w:tcW w:w="1986" w:type="pct"/>
            <w:vAlign w:val="center"/>
          </w:tcPr>
          <w:p>
            <w:pPr>
              <w:adjustRightInd w:val="0"/>
              <w:snapToGrid w:val="0"/>
              <w:rPr>
                <w:rFonts w:ascii="Times New Roman" w:hAnsi="Times New Roman" w:eastAsiaTheme="minorEastAsia"/>
              </w:rPr>
            </w:pPr>
            <w:r>
              <w:rPr>
                <w:rFonts w:ascii="Times New Roman" w:hAnsi="Times New Roman" w:eastAsiaTheme="minorEastAsia"/>
              </w:rPr>
              <w:t>月鳢</w:t>
            </w:r>
            <w:r>
              <w:rPr>
                <w:rFonts w:ascii="Times New Roman" w:hAnsi="Times New Roman" w:eastAsiaTheme="minorEastAsia"/>
                <w:i/>
                <w:iCs/>
              </w:rPr>
              <w:t>Channa asiatica</w:t>
            </w:r>
          </w:p>
        </w:tc>
        <w:tc>
          <w:tcPr>
            <w:tcW w:w="66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省重点</w:t>
            </w:r>
          </w:p>
        </w:tc>
        <w:tc>
          <w:tcPr>
            <w:tcW w:w="1294" w:type="pct"/>
            <w:vAlign w:val="center"/>
          </w:tcPr>
          <w:p>
            <w:pPr>
              <w:adjustRightInd w:val="0"/>
              <w:snapToGrid w:val="0"/>
              <w:rPr>
                <w:rFonts w:ascii="Times New Roman" w:hAnsi="Times New Roman" w:eastAsiaTheme="minorEastAsia"/>
              </w:rPr>
            </w:pPr>
            <w:r>
              <w:rPr>
                <w:rFonts w:ascii="Times New Roman" w:hAnsi="Times New Roman" w:eastAsiaTheme="minorEastAsia"/>
              </w:rPr>
              <w:t>城陵矶</w:t>
            </w:r>
          </w:p>
        </w:tc>
      </w:tr>
    </w:tbl>
    <w:p>
      <w:pPr>
        <w:adjustRightInd w:val="0"/>
        <w:snapToGrid w:val="0"/>
        <w:spacing w:line="360" w:lineRule="auto"/>
        <w:ind w:firstLine="480" w:firstLineChars="200"/>
        <w:rPr>
          <w:rFonts w:ascii="Times New Roman" w:hAnsi="Times New Roman" w:eastAsiaTheme="minorEastAsia"/>
          <w:sz w:val="24"/>
          <w:szCs w:val="24"/>
        </w:rPr>
      </w:pPr>
    </w:p>
    <w:p>
      <w:pPr>
        <w:pStyle w:val="4"/>
        <w:rPr>
          <w:rFonts w:eastAsiaTheme="minorEastAsia"/>
          <w:szCs w:val="24"/>
        </w:rPr>
      </w:pPr>
      <w:bookmarkStart w:id="86" w:name="_Toc515895868"/>
      <w:r>
        <w:rPr>
          <w:rFonts w:eastAsiaTheme="minorEastAsia"/>
          <w:szCs w:val="24"/>
        </w:rPr>
        <w:t>鱼类等水生生物生态功能区调查与评价</w:t>
      </w:r>
      <w:bookmarkEnd w:id="86"/>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越冬场、产卵场、索饵场是鱼类周年活动的主要场所，三场调查对掌握鱼类的活动规律，促进渔业生产的有效进行，鱼类资源的合理利用和保护措施的研究具有重要意义。</w:t>
      </w:r>
    </w:p>
    <w:p>
      <w:pPr>
        <w:pStyle w:val="5"/>
        <w:rPr>
          <w:rFonts w:eastAsiaTheme="minorEastAsia"/>
        </w:rPr>
      </w:pPr>
      <w:r>
        <w:rPr>
          <w:rFonts w:eastAsiaTheme="minorEastAsia"/>
        </w:rPr>
        <w:t>产卵场</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1、产漂流性卵鱼类产卵场</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历史记载</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根据易伯鲁等1961~1966年的调查，发现从重庆至彭泽长达1695km干流江段分布有家鱼产卵场36处，其中宜昌产卵场是最大的产卵场，产卵规模占全江总规模的14%。余志堂等1986年的调查，从重庆到湖北田家镇1460km干流分布有家鱼产卵场30处，宜昌至城陵矶河段分布有长江青草鲢鳙四大家鱼产卵场11个产卵区段。产卵量占全江四大家鱼产卵量的4.5%。其中宜昌、虎牙滩时为长江两个最大的产卵场，产卵量分别占14.7%及11.0%。</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sz w:val="24"/>
          <w:szCs w:val="24"/>
        </w:rPr>
        <w:t xml:space="preserve"> 现状调查</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位于保护区内的城陵矶-大湾江段是“四大家鱼”、铜鱼等产漂流性卵鱼类较集中的产卵场。距华能岳阳电厂码头2#泊位提质改造工程最近的产漂流性卵鱼类产卵场为城陵矶-大湾产卵场，产卵场范围约13km，2014和2015年产卵规模分别为0.1×10</w:t>
      </w:r>
      <w:r>
        <w:rPr>
          <w:rFonts w:ascii="Times New Roman" w:hAnsi="Times New Roman" w:eastAsiaTheme="minorEastAsia"/>
          <w:sz w:val="24"/>
          <w:szCs w:val="24"/>
          <w:vertAlign w:val="superscript"/>
        </w:rPr>
        <w:t>8</w:t>
      </w:r>
      <w:r>
        <w:rPr>
          <w:rFonts w:ascii="Times New Roman" w:hAnsi="Times New Roman" w:eastAsiaTheme="minorEastAsia"/>
          <w:sz w:val="24"/>
          <w:szCs w:val="24"/>
        </w:rPr>
        <w:t>粒和0.3×10</w:t>
      </w:r>
      <w:r>
        <w:rPr>
          <w:rFonts w:ascii="Times New Roman" w:hAnsi="Times New Roman" w:eastAsiaTheme="minorEastAsia"/>
          <w:sz w:val="24"/>
          <w:szCs w:val="24"/>
          <w:vertAlign w:val="superscript"/>
        </w:rPr>
        <w:t>8</w:t>
      </w:r>
      <w:r>
        <w:rPr>
          <w:rFonts w:ascii="Times New Roman" w:hAnsi="Times New Roman" w:eastAsiaTheme="minorEastAsia"/>
          <w:sz w:val="24"/>
          <w:szCs w:val="24"/>
        </w:rPr>
        <w:t>粒。</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2、产浮性卵鱼类产卵场</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短颌鲚、鳜等鱼类的卵具油球，在水中漂浮发育，一般产卵于静水或微流水中，常在清浑交界、浮游动物资源丰富的水面产浮性卵，在保护区两侧河流岸线均可产卵。</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3、产沉粘性卵鱼类产卵场</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保护区部分鱼类产粘草基质卵，繁殖期在3~7月份。这些鱼类繁殖需要水草环境，鱼类产卵后，受精卵或入砾石缝中，或粘附沙砾上，或埋藏于沙砾中，或粘附于水生高等植物体上，在江水良好的溶氧环境中顺利孵化。评价区水生植物广泛分布，较为集中的区域有洞庭湖大桥、三江口沿岸，这些江段水生植物、湿生植物较为丰富，适合鲤、鲫等产粘草基质鱼类产卵繁殖。洞庭湖大桥、三江口是具有一定规模的粘草基质鱼类产卵场，总面积约100hm</w:t>
      </w:r>
      <w:r>
        <w:rPr>
          <w:rFonts w:ascii="Times New Roman" w:hAnsi="Times New Roman" w:eastAsiaTheme="minorEastAsia"/>
          <w:sz w:val="24"/>
          <w:szCs w:val="24"/>
          <w:vertAlign w:val="superscript"/>
        </w:rPr>
        <w:t>2</w:t>
      </w:r>
      <w:r>
        <w:rPr>
          <w:rFonts w:ascii="Times New Roman" w:hAnsi="Times New Roman" w:eastAsiaTheme="minorEastAsia"/>
          <w:sz w:val="24"/>
          <w:szCs w:val="24"/>
        </w:rPr>
        <w:t>。</w:t>
      </w:r>
    </w:p>
    <w:tbl>
      <w:tblPr>
        <w:tblStyle w:val="71"/>
        <w:tblW w:w="9019" w:type="dxa"/>
        <w:jc w:val="center"/>
        <w:tblLayout w:type="fixed"/>
        <w:tblCellMar>
          <w:top w:w="0" w:type="dxa"/>
          <w:left w:w="108" w:type="dxa"/>
          <w:bottom w:w="0" w:type="dxa"/>
          <w:right w:w="108" w:type="dxa"/>
        </w:tblCellMar>
      </w:tblPr>
      <w:tblGrid>
        <w:gridCol w:w="4615"/>
        <w:gridCol w:w="4404"/>
      </w:tblGrid>
      <w:tr>
        <w:tblPrEx>
          <w:tblCellMar>
            <w:top w:w="0" w:type="dxa"/>
            <w:left w:w="108" w:type="dxa"/>
            <w:bottom w:w="0" w:type="dxa"/>
            <w:right w:w="108" w:type="dxa"/>
          </w:tblCellMar>
        </w:tblPrEx>
        <w:trPr>
          <w:trHeight w:val="3692" w:hRule="atLeast"/>
          <w:jc w:val="center"/>
        </w:trPr>
        <w:tc>
          <w:tcPr>
            <w:tcW w:w="4615" w:type="dxa"/>
            <w:shd w:val="clear" w:color="auto" w:fill="auto"/>
            <w:vAlign w:val="center"/>
          </w:tcPr>
          <w:p>
            <w:pPr>
              <w:spacing w:line="360" w:lineRule="auto"/>
              <w:jc w:val="center"/>
              <w:rPr>
                <w:rFonts w:ascii="Times New Roman" w:hAnsi="Times New Roman"/>
                <w:b/>
                <w:sz w:val="24"/>
                <w:szCs w:val="24"/>
              </w:rPr>
            </w:pPr>
            <w:r>
              <w:rPr>
                <w:rFonts w:ascii="Times New Roman" w:hAnsi="Times New Roman"/>
              </w:rPr>
              <w:drawing>
                <wp:inline distT="0" distB="0" distL="0" distR="0">
                  <wp:extent cx="2689860" cy="19773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2" cstate="email"/>
                          <a:stretch>
                            <a:fillRect/>
                          </a:stretch>
                        </pic:blipFill>
                        <pic:spPr>
                          <a:xfrm>
                            <a:off x="0" y="0"/>
                            <a:ext cx="2692936" cy="1979495"/>
                          </a:xfrm>
                          <a:prstGeom prst="rect">
                            <a:avLst/>
                          </a:prstGeom>
                        </pic:spPr>
                      </pic:pic>
                    </a:graphicData>
                  </a:graphic>
                </wp:inline>
              </w:drawing>
            </w:r>
          </w:p>
        </w:tc>
        <w:tc>
          <w:tcPr>
            <w:tcW w:w="4404" w:type="dxa"/>
            <w:shd w:val="clear" w:color="auto" w:fill="auto"/>
            <w:vAlign w:val="center"/>
          </w:tcPr>
          <w:p>
            <w:pPr>
              <w:spacing w:line="360" w:lineRule="auto"/>
              <w:jc w:val="center"/>
              <w:rPr>
                <w:rFonts w:ascii="Times New Roman" w:hAnsi="Times New Roman"/>
                <w:b/>
                <w:sz w:val="24"/>
                <w:szCs w:val="24"/>
              </w:rPr>
            </w:pPr>
            <w:r>
              <w:rPr>
                <w:rFonts w:ascii="Times New Roman" w:hAnsi="Times New Roman"/>
              </w:rPr>
              <w:drawing>
                <wp:inline distT="0" distB="0" distL="0" distR="0">
                  <wp:extent cx="2576195" cy="19621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email"/>
                          <a:stretch>
                            <a:fillRect/>
                          </a:stretch>
                        </pic:blipFill>
                        <pic:spPr>
                          <a:xfrm>
                            <a:off x="0" y="0"/>
                            <a:ext cx="2584560" cy="1968335"/>
                          </a:xfrm>
                          <a:prstGeom prst="rect">
                            <a:avLst/>
                          </a:prstGeom>
                        </pic:spPr>
                      </pic:pic>
                    </a:graphicData>
                  </a:graphic>
                </wp:inline>
              </w:drawing>
            </w:r>
          </w:p>
        </w:tc>
      </w:tr>
      <w:tr>
        <w:tblPrEx>
          <w:tblCellMar>
            <w:top w:w="0" w:type="dxa"/>
            <w:left w:w="108" w:type="dxa"/>
            <w:bottom w:w="0" w:type="dxa"/>
            <w:right w:w="108" w:type="dxa"/>
          </w:tblCellMar>
        </w:tblPrEx>
        <w:trPr>
          <w:trHeight w:val="552" w:hRule="atLeast"/>
          <w:jc w:val="center"/>
        </w:trPr>
        <w:tc>
          <w:tcPr>
            <w:tcW w:w="9019" w:type="dxa"/>
            <w:gridSpan w:val="2"/>
            <w:shd w:val="clear" w:color="auto" w:fill="auto"/>
            <w:vAlign w:val="center"/>
          </w:tcPr>
          <w:p>
            <w:pPr>
              <w:spacing w:line="360" w:lineRule="auto"/>
              <w:jc w:val="center"/>
              <w:rPr>
                <w:rFonts w:ascii="Times New Roman" w:hAnsi="Times New Roman"/>
                <w:b/>
                <w:sz w:val="24"/>
                <w:szCs w:val="24"/>
              </w:rPr>
            </w:pPr>
            <w:r>
              <w:rPr>
                <w:rFonts w:ascii="Times New Roman" w:hAnsi="Times New Roman"/>
                <w:b/>
                <w:sz w:val="24"/>
                <w:szCs w:val="24"/>
              </w:rPr>
              <w:t>码头区域生境现状</w:t>
            </w:r>
          </w:p>
        </w:tc>
      </w:tr>
    </w:tbl>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黄颡鱼等鱼类产卵一般对所需环境条件要求不高。一般的砂、砾石底质，水流较缓但能保持一定流速的河滩均适宜其产卵，鱼类产卵后，受精卵或入砾石缝中，或粘附沙砾上，或埋藏于沙砾中。虽然进入产卵场前有短距离逆水洄游的习性，但其产卵活动对水位涨落、流速改变没有特别需要。</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保护区江段多洲滩、沙滩和岔流。洲头水流较为湍急，底质多为沙砾，是产粘砾石基质卵鱼类适宜的产卵场所。评价区这样的江段较为集中的区域有七洲和三江口、迈江洲等江段，总面积约60hm</w:t>
      </w:r>
      <w:r>
        <w:rPr>
          <w:rFonts w:ascii="Times New Roman" w:hAnsi="Times New Roman" w:eastAsiaTheme="minorEastAsia"/>
          <w:sz w:val="24"/>
          <w:szCs w:val="24"/>
          <w:vertAlign w:val="superscript"/>
        </w:rPr>
        <w:t>2</w:t>
      </w:r>
      <w:r>
        <w:rPr>
          <w:rFonts w:ascii="Times New Roman" w:hAnsi="Times New Roman" w:eastAsiaTheme="minorEastAsia"/>
          <w:sz w:val="24"/>
          <w:szCs w:val="24"/>
        </w:rPr>
        <w:t>。</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华能岳阳电厂码头处水生植物较少，丰水期会淹没滩地上的一些陆生或湿生植物如芦蒿、南荻等，水位变动较大，且工程区码头正在运行，来往人员和船只较多，人为干扰较大，除了少量河流岸线适合粘性卵鱼类零星产卵外，没有规模性的粘性卵鱼类产卵场。</w:t>
      </w:r>
    </w:p>
    <w:p>
      <w:pPr>
        <w:wordWrap w:val="0"/>
        <w:spacing w:line="360" w:lineRule="auto"/>
        <w:ind w:firstLine="480" w:firstLineChars="200"/>
        <w:rPr>
          <w:rFonts w:ascii="Times New Roman" w:hAnsi="Times New Roman"/>
          <w:sz w:val="24"/>
          <w:szCs w:val="24"/>
        </w:rPr>
      </w:pPr>
      <w:r>
        <w:rPr>
          <w:rFonts w:ascii="Times New Roman" w:hAnsi="Times New Roman" w:eastAsiaTheme="minorEastAsia"/>
          <w:sz w:val="24"/>
          <w:szCs w:val="24"/>
        </w:rPr>
        <w:t>综上，华能岳阳电厂码头工程区域没有成规模的粘性卵鱼类产卵场，对城陵矶产漂流性卵鱼类及产浮性卵鱼类产卵会有一定影响。产粘草基质卵鱼类产卵场均位于拟建工程上游，距离工程最近的成规模的产粘草基质鱼类产卵为位于三江口，距离工程上游约3km。距离工程最近的产粘砾石基质卵鱼类产卵场位于迈江洲，距离工程上游约2km。</w:t>
      </w:r>
    </w:p>
    <w:tbl>
      <w:tblPr>
        <w:tblStyle w:val="71"/>
        <w:tblW w:w="0" w:type="auto"/>
        <w:tblInd w:w="0" w:type="dxa"/>
        <w:tblLayout w:type="autofit"/>
        <w:tblCellMar>
          <w:top w:w="0" w:type="dxa"/>
          <w:left w:w="108" w:type="dxa"/>
          <w:bottom w:w="0" w:type="dxa"/>
          <w:right w:w="108" w:type="dxa"/>
        </w:tblCellMar>
      </w:tblPr>
      <w:tblGrid>
        <w:gridCol w:w="4581"/>
        <w:gridCol w:w="4596"/>
      </w:tblGrid>
      <w:tr>
        <w:tblPrEx>
          <w:tblCellMar>
            <w:top w:w="0" w:type="dxa"/>
            <w:left w:w="108" w:type="dxa"/>
            <w:bottom w:w="0" w:type="dxa"/>
            <w:right w:w="108" w:type="dxa"/>
          </w:tblCellMar>
        </w:tblPrEx>
        <w:tc>
          <w:tcPr>
            <w:tcW w:w="4164" w:type="dxa"/>
            <w:vAlign w:val="center"/>
          </w:tcPr>
          <w:p>
            <w:pPr>
              <w:spacing w:line="360" w:lineRule="auto"/>
              <w:rPr>
                <w:rFonts w:ascii="Times New Roman" w:hAnsi="Times New Roman"/>
              </w:rPr>
            </w:pPr>
            <w:r>
              <w:rPr>
                <w:rFonts w:ascii="Times New Roman" w:hAnsi="Times New Roman"/>
              </w:rPr>
              <w:drawing>
                <wp:inline distT="0" distB="0" distL="0" distR="0">
                  <wp:extent cx="2667000" cy="191897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4" cstate="email"/>
                          <a:stretch>
                            <a:fillRect/>
                          </a:stretch>
                        </pic:blipFill>
                        <pic:spPr>
                          <a:xfrm>
                            <a:off x="0" y="0"/>
                            <a:ext cx="2667000" cy="1919376"/>
                          </a:xfrm>
                          <a:prstGeom prst="rect">
                            <a:avLst/>
                          </a:prstGeom>
                        </pic:spPr>
                      </pic:pic>
                    </a:graphicData>
                  </a:graphic>
                </wp:inline>
              </w:drawing>
            </w:r>
          </w:p>
        </w:tc>
        <w:tc>
          <w:tcPr>
            <w:tcW w:w="4358" w:type="dxa"/>
            <w:vAlign w:val="center"/>
          </w:tcPr>
          <w:p>
            <w:pPr>
              <w:wordWrap w:val="0"/>
              <w:spacing w:line="360" w:lineRule="auto"/>
              <w:rPr>
                <w:rFonts w:ascii="Times New Roman" w:hAnsi="Times New Roman"/>
              </w:rPr>
            </w:pPr>
            <w:r>
              <w:rPr>
                <w:rFonts w:ascii="Times New Roman" w:hAnsi="Times New Roman"/>
              </w:rPr>
              <w:drawing>
                <wp:inline distT="0" distB="0" distL="0" distR="0">
                  <wp:extent cx="2676525" cy="19240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5" cstate="email"/>
                          <a:stretch>
                            <a:fillRect/>
                          </a:stretch>
                        </pic:blipFill>
                        <pic:spPr>
                          <a:xfrm>
                            <a:off x="0" y="0"/>
                            <a:ext cx="2678120" cy="1925518"/>
                          </a:xfrm>
                          <a:prstGeom prst="rect">
                            <a:avLst/>
                          </a:prstGeom>
                        </pic:spPr>
                      </pic:pic>
                    </a:graphicData>
                  </a:graphic>
                </wp:inline>
              </w:drawing>
            </w:r>
          </w:p>
        </w:tc>
      </w:tr>
      <w:tr>
        <w:tblPrEx>
          <w:tblCellMar>
            <w:top w:w="0" w:type="dxa"/>
            <w:left w:w="108" w:type="dxa"/>
            <w:bottom w:w="0" w:type="dxa"/>
            <w:right w:w="108" w:type="dxa"/>
          </w:tblCellMar>
        </w:tblPrEx>
        <w:tc>
          <w:tcPr>
            <w:tcW w:w="4164" w:type="dxa"/>
            <w:vAlign w:val="center"/>
          </w:tcPr>
          <w:p>
            <w:pPr>
              <w:spacing w:line="360" w:lineRule="auto"/>
              <w:jc w:val="center"/>
              <w:rPr>
                <w:rFonts w:ascii="Times New Roman" w:hAnsi="Times New Roman"/>
                <w:sz w:val="24"/>
                <w:szCs w:val="24"/>
              </w:rPr>
            </w:pPr>
            <w:r>
              <w:rPr>
                <w:rFonts w:ascii="Times New Roman" w:hAnsi="Times New Roman"/>
                <w:sz w:val="24"/>
                <w:szCs w:val="24"/>
              </w:rPr>
              <w:t>迈江洲生境</w:t>
            </w:r>
          </w:p>
        </w:tc>
        <w:tc>
          <w:tcPr>
            <w:tcW w:w="4358" w:type="dxa"/>
            <w:vAlign w:val="center"/>
          </w:tcPr>
          <w:p>
            <w:pPr>
              <w:spacing w:line="360" w:lineRule="auto"/>
              <w:jc w:val="center"/>
              <w:rPr>
                <w:rFonts w:ascii="Times New Roman" w:hAnsi="Times New Roman"/>
                <w:sz w:val="24"/>
                <w:szCs w:val="24"/>
              </w:rPr>
            </w:pPr>
            <w:r>
              <w:rPr>
                <w:rFonts w:ascii="Times New Roman" w:hAnsi="Times New Roman"/>
                <w:sz w:val="24"/>
                <w:szCs w:val="24"/>
              </w:rPr>
              <w:t>三江口洞庭湖南岸浅滩生境</w:t>
            </w:r>
          </w:p>
        </w:tc>
      </w:tr>
      <w:tr>
        <w:tblPrEx>
          <w:tblCellMar>
            <w:top w:w="0" w:type="dxa"/>
            <w:left w:w="108" w:type="dxa"/>
            <w:bottom w:w="0" w:type="dxa"/>
            <w:right w:w="108" w:type="dxa"/>
          </w:tblCellMar>
        </w:tblPrEx>
        <w:tc>
          <w:tcPr>
            <w:tcW w:w="4164" w:type="dxa"/>
            <w:vAlign w:val="center"/>
          </w:tcPr>
          <w:p>
            <w:pPr>
              <w:wordWrap w:val="0"/>
              <w:spacing w:line="360" w:lineRule="auto"/>
              <w:rPr>
                <w:rFonts w:ascii="Times New Roman" w:hAnsi="Times New Roman"/>
              </w:rPr>
            </w:pPr>
            <w:r>
              <w:rPr>
                <w:rFonts w:ascii="Times New Roman" w:hAnsi="Times New Roman"/>
              </w:rPr>
              <w:drawing>
                <wp:inline distT="0" distB="0" distL="0" distR="0">
                  <wp:extent cx="2771775" cy="190373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56" cstate="email"/>
                          <a:stretch>
                            <a:fillRect/>
                          </a:stretch>
                        </pic:blipFill>
                        <pic:spPr>
                          <a:xfrm>
                            <a:off x="0" y="0"/>
                            <a:ext cx="2772484" cy="1904477"/>
                          </a:xfrm>
                          <a:prstGeom prst="rect">
                            <a:avLst/>
                          </a:prstGeom>
                        </pic:spPr>
                      </pic:pic>
                    </a:graphicData>
                  </a:graphic>
                </wp:inline>
              </w:drawing>
            </w:r>
          </w:p>
        </w:tc>
        <w:tc>
          <w:tcPr>
            <w:tcW w:w="4358" w:type="dxa"/>
            <w:vAlign w:val="center"/>
          </w:tcPr>
          <w:p>
            <w:pPr>
              <w:wordWrap w:val="0"/>
              <w:spacing w:line="360" w:lineRule="auto"/>
              <w:rPr>
                <w:rFonts w:ascii="Times New Roman" w:hAnsi="Times New Roman"/>
              </w:rPr>
            </w:pPr>
            <w:r>
              <w:rPr>
                <w:rFonts w:ascii="Times New Roman" w:hAnsi="Times New Roman"/>
              </w:rPr>
              <w:drawing>
                <wp:inline distT="0" distB="0" distL="0" distR="0">
                  <wp:extent cx="2781300" cy="1870075"/>
                  <wp:effectExtent l="0" t="0" r="0" b="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pic:cNvPicPr>
                            <a:picLocks noChangeAspect="1"/>
                          </pic:cNvPicPr>
                        </pic:nvPicPr>
                        <pic:blipFill>
                          <a:blip r:embed="rId57" cstate="email"/>
                          <a:stretch>
                            <a:fillRect/>
                          </a:stretch>
                        </pic:blipFill>
                        <pic:spPr>
                          <a:xfrm>
                            <a:off x="0" y="0"/>
                            <a:ext cx="2787862" cy="1875032"/>
                          </a:xfrm>
                          <a:prstGeom prst="rect">
                            <a:avLst/>
                          </a:prstGeom>
                        </pic:spPr>
                      </pic:pic>
                    </a:graphicData>
                  </a:graphic>
                </wp:inline>
              </w:drawing>
            </w:r>
          </w:p>
        </w:tc>
      </w:tr>
      <w:tr>
        <w:tblPrEx>
          <w:tblCellMar>
            <w:top w:w="0" w:type="dxa"/>
            <w:left w:w="108" w:type="dxa"/>
            <w:bottom w:w="0" w:type="dxa"/>
            <w:right w:w="108" w:type="dxa"/>
          </w:tblCellMar>
        </w:tblPrEx>
        <w:tc>
          <w:tcPr>
            <w:tcW w:w="4164" w:type="dxa"/>
            <w:vAlign w:val="center"/>
          </w:tcPr>
          <w:p>
            <w:pPr>
              <w:spacing w:line="360" w:lineRule="auto"/>
              <w:jc w:val="center"/>
              <w:rPr>
                <w:rFonts w:ascii="Times New Roman" w:hAnsi="Times New Roman"/>
                <w:sz w:val="24"/>
                <w:szCs w:val="24"/>
              </w:rPr>
            </w:pPr>
            <w:r>
              <w:rPr>
                <w:rFonts w:ascii="Times New Roman" w:hAnsi="Times New Roman"/>
                <w:sz w:val="24"/>
                <w:szCs w:val="24"/>
              </w:rPr>
              <w:t>三江口河道生境</w:t>
            </w:r>
          </w:p>
        </w:tc>
        <w:tc>
          <w:tcPr>
            <w:tcW w:w="4358" w:type="dxa"/>
            <w:vAlign w:val="center"/>
          </w:tcPr>
          <w:p>
            <w:pPr>
              <w:spacing w:line="360" w:lineRule="auto"/>
              <w:jc w:val="center"/>
              <w:rPr>
                <w:rFonts w:ascii="Times New Roman" w:hAnsi="Times New Roman"/>
                <w:sz w:val="24"/>
                <w:szCs w:val="24"/>
              </w:rPr>
            </w:pPr>
            <w:r>
              <w:rPr>
                <w:rFonts w:ascii="Times New Roman" w:hAnsi="Times New Roman"/>
                <w:sz w:val="24"/>
                <w:szCs w:val="24"/>
              </w:rPr>
              <w:t>洞庭湖大桥湖岸生境</w:t>
            </w:r>
          </w:p>
        </w:tc>
      </w:tr>
    </w:tbl>
    <w:p>
      <w:pPr>
        <w:pStyle w:val="5"/>
        <w:rPr>
          <w:rFonts w:eastAsiaTheme="minorEastAsia"/>
        </w:rPr>
      </w:pPr>
      <w:r>
        <w:rPr>
          <w:rFonts w:eastAsiaTheme="minorEastAsia"/>
        </w:rPr>
        <w:t>索饵场</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鱼类的索饵或育幼场，常取决于其食性。摄食浮游生物的种类，如鲢、鳙等，多以水清质肥的通江湖泊作为其索饵场。摄食水生维管束植物的草鱼、团头鲂等，摄食螺蚌、水蚯蚓等底栖动物的青鱼、鲤等鱼类，水草丰盛的通江湖泊是其最主要的索饵场。刮食性鱼类多以浅水边滩的礁石或砾石滩作为索饵场。杂食性鱼类的索饵场，常零散分布，除通江湖泊外，城镇及村落沿岸，汇入长江的小支流末端，都是其重要索饵水域。鳡、乌鳢、鮊类、鲇科、鳜属鱼类等以鱼类为食的索饵场，与其生活习性及被摄食鱼群分布有关，有的在水体上层，有的在水体下层，有的在两岸及洲滩等浅水水域。鱼类幼苗多以浮游生物为食，通江湖泊、故道浮游生物丰富，鱼类育幼场主要为通江湖泊。干支流的浅水河湾也是鱼类重要的育幼场。</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保护区范围位于洞庭湖口与长江交汇处，水体流动相对平缓，水质肥沃，有利于浮游生物生长，洞庭湖大桥及三江口是鱼类较好的索饵或育幼场所。</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sz w:val="24"/>
          <w:szCs w:val="24"/>
        </w:rPr>
        <w:t>码头工程区水生植物较少，丰水期会淹没滩地上的一些陆生或湿生植物，可能会有部分鱼类在此索饵，但由于工程区现状为运行中的码头，人为干扰较大，工程区不存在大规模鱼类索饵场，距离工程最近的成规模鱼类索饵场位于工程上游约3km的洞庭湖汇口的三江口。</w:t>
      </w:r>
    </w:p>
    <w:p>
      <w:pPr>
        <w:pStyle w:val="5"/>
        <w:rPr>
          <w:rFonts w:eastAsiaTheme="minorEastAsia"/>
        </w:rPr>
      </w:pPr>
      <w:r>
        <w:rPr>
          <w:rFonts w:eastAsiaTheme="minorEastAsia"/>
        </w:rPr>
        <w:t>越冬场</w:t>
      </w:r>
    </w:p>
    <w:p>
      <w:pPr>
        <w:wordWrap w:val="0"/>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每年进入冬季，随着气温下降，水量减少，水位降低，鱼类活动减少，食量降低，鱼类从支流、湖泊等浅水水域进入温度较为稳定的深水水域越冬。鱼类越冬场主要分布于深水的河道深槽中。河道深槽与河床底质，河流走势密切相关，常分布于有矶头伸入河床的上游段洲头下端处或在弯曲型河道的凹岸区域。</w:t>
      </w:r>
    </w:p>
    <w:p>
      <w:pPr>
        <w:wordWrap w:val="0"/>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保护区处于洞庭湖与长江交汇口，</w:t>
      </w:r>
      <w:r>
        <w:rPr>
          <w:rFonts w:ascii="Times New Roman" w:hAnsi="Times New Roman"/>
          <w:sz w:val="24"/>
        </w:rPr>
        <w:t>水深在20~30m之间，</w:t>
      </w:r>
      <w:r>
        <w:rPr>
          <w:rFonts w:ascii="Times New Roman" w:hAnsi="Times New Roman"/>
          <w:sz w:val="24"/>
          <w:szCs w:val="24"/>
        </w:rPr>
        <w:t>洞庭湖汇口与长江干流是鱼类良好的越冬场所。</w:t>
      </w:r>
    </w:p>
    <w:p>
      <w:pPr>
        <w:pStyle w:val="5"/>
        <w:rPr>
          <w:rFonts w:eastAsiaTheme="minorEastAsia"/>
        </w:rPr>
      </w:pPr>
      <w:r>
        <w:rPr>
          <w:rFonts w:eastAsiaTheme="minorEastAsia"/>
        </w:rPr>
        <w:t>洄游通道</w:t>
      </w:r>
    </w:p>
    <w:p>
      <w:pPr>
        <w:adjustRightInd w:val="0"/>
        <w:snapToGrid w:val="0"/>
        <w:spacing w:line="360" w:lineRule="auto"/>
        <w:ind w:firstLine="480" w:firstLineChars="200"/>
        <w:rPr>
          <w:rFonts w:ascii="Times New Roman" w:hAnsi="Times New Roman" w:eastAsiaTheme="minorEastAsia"/>
          <w:sz w:val="24"/>
          <w:szCs w:val="24"/>
        </w:rPr>
      </w:pPr>
      <w:bookmarkStart w:id="87" w:name="_Toc515895869"/>
      <w:r>
        <w:rPr>
          <w:rFonts w:ascii="Times New Roman" w:hAnsi="Times New Roman"/>
          <w:sz w:val="24"/>
          <w:szCs w:val="24"/>
        </w:rPr>
        <w:t>保护区位于岳阳市东北15km江湖交会的右岸，为长江与洞庭湖交汇地带，隔江与湖北省监利县相望，是湖南“四水”、长江“三口”入湖，水沙经调蓄后再度入江的唯一出口，又是江湖之间洄游性鱼类来往的通道。长江内有中华鲟、鳗鲡等江海洄游鱼类，还有四大家鱼等江河洄游鱼类，施工区域所在的长江干流是长江鱼类重要的洄游通道。</w:t>
      </w:r>
      <w:r>
        <w:rPr>
          <w:rFonts w:ascii="Times New Roman" w:hAnsi="Times New Roman"/>
          <w:sz w:val="24"/>
        </w:rPr>
        <w:t>保护区鱼类索饵场、越冬场、中华鲟洄游路线与工程位置关系见下图。</w:t>
      </w:r>
    </w:p>
    <w:p>
      <w:pPr>
        <w:adjustRightInd w:val="0"/>
        <w:snapToGrid w:val="0"/>
        <w:spacing w:line="360" w:lineRule="auto"/>
        <w:rPr>
          <w:rFonts w:ascii="Times New Roman" w:hAnsi="Times New Roman" w:eastAsiaTheme="minorEastAsia"/>
          <w:sz w:val="24"/>
          <w:szCs w:val="24"/>
        </w:rPr>
      </w:pPr>
      <w:r>
        <w:rPr>
          <w:rFonts w:ascii="Times New Roman" w:hAnsi="Times New Roman"/>
        </w:rPr>
        <w:drawing>
          <wp:inline distT="0" distB="0" distL="0" distR="0">
            <wp:extent cx="5744845" cy="3641725"/>
            <wp:effectExtent l="0" t="0" r="8255"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pic:cNvPicPr>
                      <a:picLocks noChangeAspect="1"/>
                    </pic:cNvPicPr>
                  </pic:nvPicPr>
                  <pic:blipFill>
                    <a:blip r:embed="rId58"/>
                    <a:stretch>
                      <a:fillRect/>
                    </a:stretch>
                  </pic:blipFill>
                  <pic:spPr>
                    <a:xfrm>
                      <a:off x="0" y="0"/>
                      <a:ext cx="5747494" cy="3643217"/>
                    </a:xfrm>
                    <a:prstGeom prst="rect">
                      <a:avLst/>
                    </a:prstGeom>
                  </pic:spPr>
                </pic:pic>
              </a:graphicData>
            </a:graphic>
          </wp:inline>
        </w:drawing>
      </w:r>
    </w:p>
    <w:p>
      <w:pPr>
        <w:adjustRightInd w:val="0"/>
        <w:snapToGrid w:val="0"/>
        <w:spacing w:line="360" w:lineRule="auto"/>
        <w:jc w:val="center"/>
        <w:rPr>
          <w:rFonts w:ascii="Times New Roman" w:hAnsi="Times New Roman" w:eastAsiaTheme="minorEastAsia"/>
          <w:b/>
          <w:sz w:val="24"/>
          <w:szCs w:val="24"/>
        </w:rPr>
      </w:pPr>
      <w:r>
        <w:rPr>
          <w:rFonts w:ascii="Times New Roman" w:hAnsi="Times New Roman" w:eastAsiaTheme="minorEastAsia"/>
          <w:b/>
          <w:sz w:val="24"/>
          <w:szCs w:val="24"/>
        </w:rPr>
        <w:t>图4.8-1  本项目与周边鱼类三场的位置关系图</w:t>
      </w:r>
    </w:p>
    <w:p>
      <w:pPr>
        <w:pStyle w:val="4"/>
        <w:rPr>
          <w:rFonts w:eastAsiaTheme="minorEastAsia"/>
          <w:szCs w:val="24"/>
        </w:rPr>
      </w:pPr>
      <w:r>
        <w:rPr>
          <w:rFonts w:eastAsiaTheme="minorEastAsia"/>
          <w:szCs w:val="24"/>
        </w:rPr>
        <w:t>鱼类等水生生物繁殖现状与评价</w:t>
      </w:r>
      <w:bookmarkEnd w:id="87"/>
    </w:p>
    <w:p>
      <w:pPr>
        <w:pStyle w:val="5"/>
        <w:rPr>
          <w:rFonts w:eastAsiaTheme="minorEastAsia"/>
        </w:rPr>
      </w:pPr>
      <w:r>
        <w:rPr>
          <w:rFonts w:eastAsiaTheme="minorEastAsia"/>
        </w:rPr>
        <w:t>繁殖类群</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保护区水域鱼类繁殖群体包括鲤、鲫等粘性鱼类、短颌鲚等浮性卵鱼类、“四大家鱼”等典型漂流卵鱼类。依据其产卵繁殖习性的不同，主要有四个生态类型的产卵繁殖群体，其产卵本组成、早期资源、繁殖策略及其影响或制约因素分别简述如下：</w:t>
      </w:r>
    </w:p>
    <w:p>
      <w:pPr>
        <w:widowControl/>
        <w:adjustRightInd w:val="0"/>
        <w:snapToGrid w:val="0"/>
        <w:spacing w:line="360" w:lineRule="auto"/>
        <w:ind w:firstLine="482" w:firstLineChars="200"/>
        <w:rPr>
          <w:rFonts w:ascii="Times New Roman" w:hAnsi="Times New Roman"/>
          <w:b/>
          <w:kern w:val="0"/>
          <w:sz w:val="24"/>
          <w:szCs w:val="24"/>
        </w:rPr>
      </w:pPr>
      <w:r>
        <w:rPr>
          <w:rFonts w:ascii="Times New Roman" w:hAnsi="Times New Roman"/>
          <w:b/>
          <w:kern w:val="0"/>
          <w:sz w:val="24"/>
          <w:szCs w:val="24"/>
        </w:rPr>
        <w:t>1、产粘沉性卵类群</w:t>
      </w:r>
    </w:p>
    <w:p>
      <w:pPr>
        <w:widowControl/>
        <w:adjustRightInd w:val="0"/>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本水域鱼类绝大多数鱼类为产粘沉性卵类群。</w:t>
      </w:r>
    </w:p>
    <w:p>
      <w:pPr>
        <w:adjustRightInd w:val="0"/>
        <w:snapToGrid w:val="0"/>
        <w:spacing w:line="360" w:lineRule="auto"/>
        <w:ind w:firstLine="480" w:firstLineChars="200"/>
        <w:rPr>
          <w:rFonts w:ascii="Times New Roman" w:hAnsi="Times New Roman"/>
          <w:sz w:val="24"/>
        </w:rPr>
      </w:pPr>
      <w:r>
        <w:rPr>
          <w:rFonts w:ascii="Times New Roman" w:hAnsi="Times New Roman"/>
          <w:kern w:val="0"/>
          <w:sz w:val="24"/>
          <w:szCs w:val="24"/>
        </w:rPr>
        <w:t>这一类群</w:t>
      </w:r>
      <w:r>
        <w:rPr>
          <w:rFonts w:ascii="Times New Roman" w:hAnsi="Times New Roman"/>
          <w:sz w:val="24"/>
        </w:rPr>
        <w:t>在微流水或静水洲滩或岸边有水草、砂石或硬底质等有卵粘介质的浅水区产卵，微流水或静水洲滩或岸边为幼鱼生存、生长的庇护场所，对产卵繁殖条件要求不高，有洲滩岸边的浅水处均可产卵繁殖。主要有鲤、鲫、鲂、鳊、黄颡鱼、鲶鱼等种类。又可细分为草粘性卵鱼类，如鲤、鲫、鲂等，繁殖季节为3~5月，以4月为繁殖盛期；沉粘性卵鱼类，如黄颡鱼、鲶鱼等，繁殖季节为4~6月，以5月为繁殖盛期。该类型鱼类是保护区水域鱼类主体，产卵群体分布丰富，早期资源量等多。</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保护区内该生态类型鱼类产卵场主要分布在洞庭湖口河道西侧的三江口，君山区长江南岸河漫滩区。</w:t>
      </w:r>
    </w:p>
    <w:p>
      <w:pPr>
        <w:widowControl/>
        <w:adjustRightInd w:val="0"/>
        <w:snapToGrid w:val="0"/>
        <w:spacing w:line="360" w:lineRule="auto"/>
        <w:ind w:firstLine="482" w:firstLineChars="200"/>
        <w:rPr>
          <w:rFonts w:ascii="Times New Roman" w:hAnsi="Times New Roman"/>
          <w:b/>
          <w:kern w:val="0"/>
          <w:sz w:val="24"/>
          <w:szCs w:val="24"/>
        </w:rPr>
      </w:pPr>
      <w:r>
        <w:rPr>
          <w:rFonts w:ascii="Times New Roman" w:hAnsi="Times New Roman"/>
          <w:b/>
          <w:kern w:val="0"/>
          <w:sz w:val="24"/>
          <w:szCs w:val="24"/>
        </w:rPr>
        <w:t>2、产漂流性卵类群</w:t>
      </w:r>
    </w:p>
    <w:p>
      <w:pPr>
        <w:widowControl/>
        <w:adjustRightInd w:val="0"/>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产漂流性卵鱼类，产卵需要湍急的水流条件，通常在汛期洪峰发生后产卵。这一类鱼卵比重略大于水，但产出后卵膜吸水膨胀，在水流的外力作用下，鱼卵悬浮在水层中顺水漂流。孵化出的早期仔鱼，仍然要顺水漂流。从卵产出到仔鱼具备溯游能力。这类鱼有铜鱼、鲢、鳙、草鱼、青鱼、鳡等。</w:t>
      </w:r>
    </w:p>
    <w:p>
      <w:pPr>
        <w:widowControl/>
        <w:adjustRightInd w:val="0"/>
        <w:snapToGrid w:val="0"/>
        <w:spacing w:line="360" w:lineRule="auto"/>
        <w:ind w:firstLine="480" w:firstLineChars="200"/>
        <w:rPr>
          <w:rFonts w:ascii="Times New Roman" w:hAnsi="Times New Roman"/>
          <w:kern w:val="0"/>
          <w:sz w:val="24"/>
          <w:szCs w:val="24"/>
        </w:rPr>
      </w:pPr>
      <w:r>
        <w:rPr>
          <w:rFonts w:ascii="Times New Roman" w:hAnsi="Times New Roman"/>
          <w:sz w:val="24"/>
        </w:rPr>
        <w:t>保护区内该生态类型鱼类产卵场主要分布城陵矶-大湾江段。</w:t>
      </w:r>
    </w:p>
    <w:p>
      <w:pPr>
        <w:widowControl/>
        <w:adjustRightInd w:val="0"/>
        <w:snapToGrid w:val="0"/>
        <w:spacing w:line="360" w:lineRule="auto"/>
        <w:ind w:firstLine="482" w:firstLineChars="200"/>
        <w:rPr>
          <w:rFonts w:ascii="Times New Roman" w:hAnsi="Times New Roman"/>
          <w:b/>
          <w:kern w:val="0"/>
          <w:sz w:val="24"/>
          <w:szCs w:val="24"/>
        </w:rPr>
      </w:pPr>
      <w:r>
        <w:rPr>
          <w:rFonts w:ascii="Times New Roman" w:hAnsi="Times New Roman"/>
          <w:b/>
          <w:kern w:val="0"/>
          <w:sz w:val="24"/>
          <w:szCs w:val="24"/>
        </w:rPr>
        <w:t>3、产浮性卵类群</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产浮性卵鱼类，常在清浑交界、浮游动物资源丰富的水面产浮性卵，卵具油球，漂浮于水面孵化，水文条件的改变，如入湖河道拦截、干涸，来水减少等都将对其产卵繁殖造成较大的影响，由于洞庭湖上游水枢纽工程的建设，洞庭湖由洪水型湖泊初步演变成少水湖泊，水文条件发生了较大变化，导致了洞庭湖浮性卵鱼类产卵场减少，造成该生态类型鱼类资源衰退。</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保护区该生态类型鱼类的产卵繁殖群体主要有短颌鲚、鳜类及银鱼类等鱼类。其产卵场主要分布在三江口。</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该生态类型鱼类产卵繁殖季节变化较大。鳜类的繁殖季节5~7月上旬，以6月为产卵繁殖盛期；银鱼分冬季产卵型和秋节产卵型两个类型的产卵群体；短颌鲚产卵繁殖季节集中在6~7月，有时可延迟至秋节。</w:t>
      </w:r>
    </w:p>
    <w:p>
      <w:pPr>
        <w:widowControl/>
        <w:adjustRightInd w:val="0"/>
        <w:snapToGrid w:val="0"/>
        <w:spacing w:line="360" w:lineRule="auto"/>
        <w:ind w:firstLine="482" w:firstLineChars="200"/>
        <w:rPr>
          <w:rFonts w:ascii="Times New Roman" w:hAnsi="Times New Roman"/>
          <w:b/>
          <w:kern w:val="0"/>
          <w:sz w:val="24"/>
          <w:szCs w:val="24"/>
        </w:rPr>
      </w:pPr>
      <w:r>
        <w:rPr>
          <w:rFonts w:ascii="Times New Roman" w:hAnsi="Times New Roman"/>
          <w:b/>
          <w:kern w:val="0"/>
          <w:sz w:val="24"/>
          <w:szCs w:val="24"/>
        </w:rPr>
        <w:t>4、</w:t>
      </w:r>
      <w:r>
        <w:rPr>
          <w:rFonts w:ascii="Times New Roman" w:hAnsi="Times New Roman"/>
          <w:b/>
          <w:sz w:val="24"/>
        </w:rPr>
        <w:t>喜贝性产卵鱼类</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喜贝性产卵鱼类，其产卵群体为鱊亚科鱼类，在生殖季节，雌鱼具产卵管，通过产卵管，卵产在河蚌的外套腔内发育，繁殖季节为4~6月，以5月为繁殖盛期。其资源量及早期资源与河蚌资源密切相关，河蚌资源丰富的水域，该生态类型鱼类资源较丰富。</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洞庭湖口右岸浅水区螺蚌类等底栖动物资源丰富，右侧为主河道（航道）、鱼类等水生动物洄游通道，左侧为河漫滩区，高水位时为粘性卵鱼类产卵场，喜贝性产卵鱼类主要分布在右岸边水域及西侧河漫滩水域。</w:t>
      </w:r>
    </w:p>
    <w:p>
      <w:pPr>
        <w:pStyle w:val="5"/>
        <w:rPr>
          <w:rFonts w:eastAsiaTheme="minorEastAsia"/>
        </w:rPr>
      </w:pPr>
      <w:r>
        <w:rPr>
          <w:rFonts w:eastAsiaTheme="minorEastAsia"/>
        </w:rPr>
        <w:t>生态水文学需求</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sz w:val="24"/>
          <w:szCs w:val="24"/>
        </w:rPr>
        <w:t>评价区鱼类主要繁殖季节为4~6月，鲤、鲫等部分鱼类繁殖期可延续到8月中旬至8月底。</w:t>
      </w:r>
      <w:r>
        <w:rPr>
          <w:rFonts w:ascii="Times New Roman" w:hAnsi="Times New Roman" w:eastAsiaTheme="minorEastAsia"/>
          <w:sz w:val="24"/>
          <w:szCs w:val="24"/>
        </w:rPr>
        <w:t>保护区内</w:t>
      </w:r>
      <w:r>
        <w:rPr>
          <w:rFonts w:ascii="Times New Roman" w:hAnsi="Times New Roman" w:eastAsiaTheme="minorEastAsia"/>
          <w:kern w:val="0"/>
          <w:sz w:val="24"/>
          <w:szCs w:val="24"/>
        </w:rPr>
        <w:t>类绝大多数鱼类为产粘沉性卵类群，</w:t>
      </w:r>
      <w:r>
        <w:rPr>
          <w:rFonts w:ascii="Times New Roman" w:hAnsi="Times New Roman" w:eastAsiaTheme="minorEastAsia"/>
          <w:sz w:val="24"/>
          <w:szCs w:val="24"/>
        </w:rPr>
        <w:t>产出的卵或粘附于石砾、水草发育，或落于石缝间在激流冲击下发育。少数鱼类产卵时不需要水流刺激，可在静缓流水环境下繁殖，产粘性卵，其卵有的黏附于水草发育，如鲤、鲫、泥鳅等；有的黏附于砾石，如鲇等。</w:t>
      </w:r>
    </w:p>
    <w:p>
      <w:pPr>
        <w:pStyle w:val="4"/>
        <w:rPr>
          <w:szCs w:val="24"/>
        </w:rPr>
      </w:pPr>
      <w:r>
        <w:rPr>
          <w:szCs w:val="24"/>
        </w:rPr>
        <w:t>浮游动物、底栖动物及水生植物调查评价</w:t>
      </w:r>
    </w:p>
    <w:p>
      <w:pPr>
        <w:widowControl/>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为了较为全面准确地评价工程影响河段现有水生生物现状，2019年7月对本项目影响的洞庭湖口铜鱼短颌鲚国家级水产种质资源保护区进行了实地调查，对评价区水域进行水生生态调查。</w:t>
      </w:r>
    </w:p>
    <w:p>
      <w:pPr>
        <w:widowControl/>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根据工程的区域和布局，在评价区内共设4个调查点位，分别为码头上游1km，电厂码头，码头下游1km，洞庭湖大桥。各调查点位环境因子见表4.8-4所示。</w:t>
      </w:r>
    </w:p>
    <w:p>
      <w:pPr>
        <w:spacing w:line="276" w:lineRule="auto"/>
        <w:jc w:val="center"/>
        <w:rPr>
          <w:rFonts w:ascii="Times New Roman" w:hAnsi="Times New Roman"/>
          <w:b/>
          <w:sz w:val="24"/>
          <w:szCs w:val="24"/>
        </w:rPr>
      </w:pPr>
      <w:r>
        <w:rPr>
          <w:rFonts w:ascii="Times New Roman" w:hAnsi="Times New Roman"/>
          <w:b/>
          <w:sz w:val="24"/>
          <w:szCs w:val="24"/>
        </w:rPr>
        <w:t>表4.8-4 水生生物采样点位环境因子表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53"/>
        <w:gridCol w:w="1303"/>
        <w:gridCol w:w="1967"/>
        <w:gridCol w:w="710"/>
        <w:gridCol w:w="744"/>
        <w:gridCol w:w="814"/>
        <w:gridCol w:w="652"/>
        <w:gridCol w:w="737"/>
        <w:gridCol w:w="885"/>
        <w:gridCol w:w="7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04" w:type="pct"/>
            <w:shd w:val="clear" w:color="auto" w:fill="auto"/>
            <w:vAlign w:val="center"/>
          </w:tcPr>
          <w:p>
            <w:pPr>
              <w:widowControl/>
              <w:adjustRightInd w:val="0"/>
              <w:snapToGrid w:val="0"/>
              <w:jc w:val="center"/>
              <w:rPr>
                <w:rFonts w:ascii="Times New Roman" w:hAnsi="Times New Roman"/>
                <w:b/>
                <w:bCs/>
                <w:kern w:val="0"/>
              </w:rPr>
            </w:pPr>
            <w:r>
              <w:rPr>
                <w:rFonts w:ascii="Times New Roman" w:hAnsi="Times New Roman"/>
                <w:b/>
                <w:bCs/>
                <w:kern w:val="0"/>
              </w:rPr>
              <w:t>序号</w:t>
            </w:r>
          </w:p>
        </w:tc>
        <w:tc>
          <w:tcPr>
            <w:tcW w:w="716" w:type="pct"/>
            <w:shd w:val="clear" w:color="auto" w:fill="auto"/>
            <w:vAlign w:val="center"/>
          </w:tcPr>
          <w:p>
            <w:pPr>
              <w:widowControl/>
              <w:adjustRightInd w:val="0"/>
              <w:snapToGrid w:val="0"/>
              <w:jc w:val="center"/>
              <w:rPr>
                <w:rFonts w:ascii="Times New Roman" w:hAnsi="Times New Roman"/>
                <w:b/>
                <w:bCs/>
                <w:kern w:val="0"/>
              </w:rPr>
            </w:pPr>
            <w:r>
              <w:rPr>
                <w:rFonts w:ascii="Times New Roman" w:hAnsi="Times New Roman"/>
                <w:b/>
                <w:bCs/>
                <w:kern w:val="0"/>
              </w:rPr>
              <w:t>采样</w:t>
            </w:r>
          </w:p>
          <w:p>
            <w:pPr>
              <w:widowControl/>
              <w:adjustRightInd w:val="0"/>
              <w:snapToGrid w:val="0"/>
              <w:jc w:val="center"/>
              <w:rPr>
                <w:rFonts w:ascii="Times New Roman" w:hAnsi="Times New Roman"/>
                <w:b/>
                <w:bCs/>
                <w:kern w:val="0"/>
              </w:rPr>
            </w:pPr>
            <w:r>
              <w:rPr>
                <w:rFonts w:ascii="Times New Roman" w:hAnsi="Times New Roman"/>
                <w:b/>
                <w:bCs/>
                <w:kern w:val="0"/>
              </w:rPr>
              <w:t>点位</w:t>
            </w:r>
          </w:p>
        </w:tc>
        <w:tc>
          <w:tcPr>
            <w:tcW w:w="1081" w:type="pct"/>
            <w:shd w:val="clear" w:color="auto" w:fill="auto"/>
            <w:vAlign w:val="center"/>
          </w:tcPr>
          <w:p>
            <w:pPr>
              <w:widowControl/>
              <w:adjustRightInd w:val="0"/>
              <w:snapToGrid w:val="0"/>
              <w:jc w:val="center"/>
              <w:rPr>
                <w:rFonts w:ascii="Times New Roman" w:hAnsi="Times New Roman"/>
                <w:b/>
                <w:bCs/>
                <w:kern w:val="0"/>
              </w:rPr>
            </w:pPr>
            <w:r>
              <w:rPr>
                <w:rFonts w:ascii="Times New Roman" w:hAnsi="Times New Roman"/>
                <w:b/>
                <w:bCs/>
                <w:kern w:val="0"/>
              </w:rPr>
              <w:t>经纬度</w:t>
            </w:r>
          </w:p>
        </w:tc>
        <w:tc>
          <w:tcPr>
            <w:tcW w:w="390" w:type="pct"/>
            <w:shd w:val="clear" w:color="auto" w:fill="auto"/>
            <w:vAlign w:val="center"/>
          </w:tcPr>
          <w:p>
            <w:pPr>
              <w:widowControl/>
              <w:adjustRightInd w:val="0"/>
              <w:snapToGrid w:val="0"/>
              <w:jc w:val="center"/>
              <w:rPr>
                <w:rFonts w:ascii="Times New Roman" w:hAnsi="Times New Roman"/>
                <w:b/>
                <w:bCs/>
                <w:kern w:val="0"/>
              </w:rPr>
            </w:pPr>
            <w:r>
              <w:rPr>
                <w:rFonts w:ascii="Times New Roman" w:hAnsi="Times New Roman"/>
                <w:b/>
                <w:bCs/>
                <w:kern w:val="0"/>
              </w:rPr>
              <w:t>海拔（m）</w:t>
            </w:r>
          </w:p>
        </w:tc>
        <w:tc>
          <w:tcPr>
            <w:tcW w:w="409" w:type="pct"/>
            <w:shd w:val="clear" w:color="auto" w:fill="auto"/>
            <w:vAlign w:val="center"/>
          </w:tcPr>
          <w:p>
            <w:pPr>
              <w:widowControl/>
              <w:adjustRightInd w:val="0"/>
              <w:snapToGrid w:val="0"/>
              <w:jc w:val="center"/>
              <w:rPr>
                <w:rFonts w:ascii="Times New Roman" w:hAnsi="Times New Roman"/>
                <w:b/>
                <w:bCs/>
                <w:kern w:val="0"/>
              </w:rPr>
            </w:pPr>
            <w:r>
              <w:rPr>
                <w:rFonts w:ascii="Times New Roman" w:hAnsi="Times New Roman"/>
                <w:b/>
                <w:bCs/>
                <w:kern w:val="0"/>
              </w:rPr>
              <w:t>气温（</w:t>
            </w:r>
            <w:r>
              <w:rPr>
                <w:rFonts w:hint="eastAsia" w:ascii="宋体" w:hAnsi="宋体" w:cs="宋体"/>
                <w:b/>
                <w:bCs/>
                <w:kern w:val="0"/>
              </w:rPr>
              <w:t>℃</w:t>
            </w:r>
            <w:r>
              <w:rPr>
                <w:rFonts w:ascii="Times New Roman" w:hAnsi="Times New Roman"/>
                <w:b/>
                <w:bCs/>
                <w:kern w:val="0"/>
              </w:rPr>
              <w:t>）</w:t>
            </w:r>
          </w:p>
        </w:tc>
        <w:tc>
          <w:tcPr>
            <w:tcW w:w="447" w:type="pct"/>
            <w:shd w:val="clear" w:color="auto" w:fill="auto"/>
            <w:vAlign w:val="center"/>
          </w:tcPr>
          <w:p>
            <w:pPr>
              <w:widowControl/>
              <w:adjustRightInd w:val="0"/>
              <w:snapToGrid w:val="0"/>
              <w:jc w:val="center"/>
              <w:rPr>
                <w:rFonts w:ascii="Times New Roman" w:hAnsi="Times New Roman"/>
                <w:b/>
                <w:bCs/>
                <w:kern w:val="0"/>
              </w:rPr>
            </w:pPr>
            <w:r>
              <w:rPr>
                <w:rFonts w:ascii="Times New Roman" w:hAnsi="Times New Roman"/>
                <w:b/>
                <w:bCs/>
                <w:kern w:val="0"/>
              </w:rPr>
              <w:t>水温（</w:t>
            </w:r>
            <w:r>
              <w:rPr>
                <w:rFonts w:hint="eastAsia" w:ascii="宋体" w:hAnsi="宋体" w:cs="宋体"/>
                <w:b/>
                <w:bCs/>
                <w:kern w:val="0"/>
              </w:rPr>
              <w:t>℃</w:t>
            </w:r>
            <w:r>
              <w:rPr>
                <w:rFonts w:ascii="Times New Roman" w:hAnsi="Times New Roman"/>
                <w:b/>
                <w:bCs/>
                <w:kern w:val="0"/>
              </w:rPr>
              <w:t>）</w:t>
            </w:r>
          </w:p>
        </w:tc>
        <w:tc>
          <w:tcPr>
            <w:tcW w:w="358" w:type="pct"/>
            <w:shd w:val="clear" w:color="auto" w:fill="auto"/>
            <w:vAlign w:val="center"/>
          </w:tcPr>
          <w:p>
            <w:pPr>
              <w:widowControl/>
              <w:adjustRightInd w:val="0"/>
              <w:snapToGrid w:val="0"/>
              <w:jc w:val="center"/>
              <w:rPr>
                <w:rFonts w:ascii="Times New Roman" w:hAnsi="Times New Roman"/>
                <w:b/>
                <w:bCs/>
                <w:kern w:val="0"/>
              </w:rPr>
            </w:pPr>
            <w:r>
              <w:rPr>
                <w:rFonts w:ascii="Times New Roman" w:hAnsi="Times New Roman"/>
                <w:b/>
                <w:bCs/>
                <w:kern w:val="0"/>
              </w:rPr>
              <w:t>水深（m）</w:t>
            </w:r>
          </w:p>
        </w:tc>
        <w:tc>
          <w:tcPr>
            <w:tcW w:w="405" w:type="pct"/>
            <w:shd w:val="clear" w:color="auto" w:fill="auto"/>
            <w:vAlign w:val="center"/>
          </w:tcPr>
          <w:p>
            <w:pPr>
              <w:widowControl/>
              <w:adjustRightInd w:val="0"/>
              <w:snapToGrid w:val="0"/>
              <w:jc w:val="center"/>
              <w:rPr>
                <w:rFonts w:ascii="Times New Roman" w:hAnsi="Times New Roman"/>
                <w:b/>
                <w:bCs/>
                <w:kern w:val="0"/>
              </w:rPr>
            </w:pPr>
            <w:r>
              <w:rPr>
                <w:rFonts w:ascii="Times New Roman" w:hAnsi="Times New Roman"/>
                <w:b/>
                <w:bCs/>
                <w:kern w:val="0"/>
              </w:rPr>
              <w:t>底质类型</w:t>
            </w:r>
          </w:p>
        </w:tc>
        <w:tc>
          <w:tcPr>
            <w:tcW w:w="486" w:type="pct"/>
            <w:shd w:val="clear" w:color="auto" w:fill="auto"/>
            <w:vAlign w:val="center"/>
          </w:tcPr>
          <w:p>
            <w:pPr>
              <w:widowControl/>
              <w:adjustRightInd w:val="0"/>
              <w:snapToGrid w:val="0"/>
              <w:jc w:val="center"/>
              <w:rPr>
                <w:rFonts w:ascii="Times New Roman" w:hAnsi="Times New Roman"/>
                <w:b/>
                <w:bCs/>
                <w:kern w:val="0"/>
              </w:rPr>
            </w:pPr>
            <w:r>
              <w:rPr>
                <w:rFonts w:ascii="Times New Roman" w:hAnsi="Times New Roman"/>
                <w:b/>
                <w:bCs/>
                <w:kern w:val="0"/>
              </w:rPr>
              <w:t>透明度（m）</w:t>
            </w:r>
          </w:p>
        </w:tc>
        <w:tc>
          <w:tcPr>
            <w:tcW w:w="405" w:type="pct"/>
            <w:shd w:val="clear" w:color="auto" w:fill="auto"/>
            <w:vAlign w:val="center"/>
          </w:tcPr>
          <w:p>
            <w:pPr>
              <w:widowControl/>
              <w:adjustRightInd w:val="0"/>
              <w:snapToGrid w:val="0"/>
              <w:jc w:val="center"/>
              <w:rPr>
                <w:rFonts w:ascii="Times New Roman" w:hAnsi="Times New Roman"/>
                <w:b/>
                <w:bCs/>
                <w:kern w:val="0"/>
              </w:rPr>
            </w:pPr>
            <w:r>
              <w:rPr>
                <w:rFonts w:ascii="Times New Roman" w:hAnsi="Times New Roman"/>
                <w:b/>
                <w:bCs/>
                <w:kern w:val="0"/>
              </w:rPr>
              <w:t>流速(m/s)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04"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1</w:t>
            </w:r>
          </w:p>
        </w:tc>
        <w:tc>
          <w:tcPr>
            <w:tcW w:w="716"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码头上游1km</w:t>
            </w:r>
          </w:p>
        </w:tc>
        <w:tc>
          <w:tcPr>
            <w:tcW w:w="1081"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113° 9'28.54" E</w:t>
            </w:r>
          </w:p>
          <w:p>
            <w:pPr>
              <w:widowControl/>
              <w:adjustRightInd w:val="0"/>
              <w:snapToGrid w:val="0"/>
              <w:jc w:val="center"/>
              <w:rPr>
                <w:rFonts w:ascii="Times New Roman" w:hAnsi="Times New Roman"/>
                <w:bCs/>
                <w:kern w:val="0"/>
              </w:rPr>
            </w:pPr>
            <w:r>
              <w:rPr>
                <w:rFonts w:ascii="Times New Roman" w:hAnsi="Times New Roman"/>
                <w:bCs/>
                <w:kern w:val="0"/>
              </w:rPr>
              <w:t>29°27'36.09" N</w:t>
            </w:r>
          </w:p>
        </w:tc>
        <w:tc>
          <w:tcPr>
            <w:tcW w:w="390"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19</w:t>
            </w:r>
          </w:p>
        </w:tc>
        <w:tc>
          <w:tcPr>
            <w:tcW w:w="409"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20</w:t>
            </w:r>
          </w:p>
        </w:tc>
        <w:tc>
          <w:tcPr>
            <w:tcW w:w="447"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19</w:t>
            </w:r>
          </w:p>
        </w:tc>
        <w:tc>
          <w:tcPr>
            <w:tcW w:w="358"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11</w:t>
            </w:r>
          </w:p>
        </w:tc>
        <w:tc>
          <w:tcPr>
            <w:tcW w:w="405"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泥沙</w:t>
            </w:r>
          </w:p>
        </w:tc>
        <w:tc>
          <w:tcPr>
            <w:tcW w:w="486"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0.3</w:t>
            </w:r>
          </w:p>
        </w:tc>
        <w:tc>
          <w:tcPr>
            <w:tcW w:w="405"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04"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2</w:t>
            </w:r>
          </w:p>
        </w:tc>
        <w:tc>
          <w:tcPr>
            <w:tcW w:w="716"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电厂码头</w:t>
            </w:r>
          </w:p>
        </w:tc>
        <w:tc>
          <w:tcPr>
            <w:tcW w:w="1081"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113° 9'54.57" E</w:t>
            </w:r>
          </w:p>
          <w:p>
            <w:pPr>
              <w:widowControl/>
              <w:adjustRightInd w:val="0"/>
              <w:snapToGrid w:val="0"/>
              <w:jc w:val="center"/>
              <w:rPr>
                <w:rFonts w:ascii="Times New Roman" w:hAnsi="Times New Roman"/>
                <w:bCs/>
                <w:kern w:val="0"/>
              </w:rPr>
            </w:pPr>
            <w:r>
              <w:rPr>
                <w:rFonts w:ascii="Times New Roman" w:hAnsi="Times New Roman"/>
                <w:bCs/>
                <w:kern w:val="0"/>
              </w:rPr>
              <w:t>29°28'2.46" N</w:t>
            </w:r>
          </w:p>
        </w:tc>
        <w:tc>
          <w:tcPr>
            <w:tcW w:w="390"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19</w:t>
            </w:r>
          </w:p>
        </w:tc>
        <w:tc>
          <w:tcPr>
            <w:tcW w:w="409"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20</w:t>
            </w:r>
          </w:p>
        </w:tc>
        <w:tc>
          <w:tcPr>
            <w:tcW w:w="447"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19</w:t>
            </w:r>
          </w:p>
        </w:tc>
        <w:tc>
          <w:tcPr>
            <w:tcW w:w="358"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11</w:t>
            </w:r>
          </w:p>
        </w:tc>
        <w:tc>
          <w:tcPr>
            <w:tcW w:w="405"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泥沙</w:t>
            </w:r>
          </w:p>
        </w:tc>
        <w:tc>
          <w:tcPr>
            <w:tcW w:w="486"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0.3</w:t>
            </w:r>
          </w:p>
        </w:tc>
        <w:tc>
          <w:tcPr>
            <w:tcW w:w="405"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04"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3</w:t>
            </w:r>
          </w:p>
        </w:tc>
        <w:tc>
          <w:tcPr>
            <w:tcW w:w="716"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码头下游1km</w:t>
            </w:r>
          </w:p>
        </w:tc>
        <w:tc>
          <w:tcPr>
            <w:tcW w:w="1081"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113°10'21.09" E</w:t>
            </w:r>
          </w:p>
          <w:p>
            <w:pPr>
              <w:widowControl/>
              <w:adjustRightInd w:val="0"/>
              <w:snapToGrid w:val="0"/>
              <w:jc w:val="center"/>
              <w:rPr>
                <w:rFonts w:ascii="Times New Roman" w:hAnsi="Times New Roman"/>
                <w:bCs/>
                <w:kern w:val="0"/>
              </w:rPr>
            </w:pPr>
            <w:r>
              <w:rPr>
                <w:rFonts w:ascii="Times New Roman" w:hAnsi="Times New Roman"/>
                <w:bCs/>
                <w:kern w:val="0"/>
              </w:rPr>
              <w:t>29°28'22.44" N</w:t>
            </w:r>
          </w:p>
        </w:tc>
        <w:tc>
          <w:tcPr>
            <w:tcW w:w="390"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19</w:t>
            </w:r>
          </w:p>
        </w:tc>
        <w:tc>
          <w:tcPr>
            <w:tcW w:w="409"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20</w:t>
            </w:r>
          </w:p>
        </w:tc>
        <w:tc>
          <w:tcPr>
            <w:tcW w:w="447"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19</w:t>
            </w:r>
          </w:p>
        </w:tc>
        <w:tc>
          <w:tcPr>
            <w:tcW w:w="358"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12</w:t>
            </w:r>
          </w:p>
        </w:tc>
        <w:tc>
          <w:tcPr>
            <w:tcW w:w="405"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泥沙</w:t>
            </w:r>
          </w:p>
        </w:tc>
        <w:tc>
          <w:tcPr>
            <w:tcW w:w="486"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0.3</w:t>
            </w:r>
          </w:p>
        </w:tc>
        <w:tc>
          <w:tcPr>
            <w:tcW w:w="405"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04"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4</w:t>
            </w:r>
          </w:p>
        </w:tc>
        <w:tc>
          <w:tcPr>
            <w:tcW w:w="716"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洞庭湖大桥</w:t>
            </w:r>
          </w:p>
        </w:tc>
        <w:tc>
          <w:tcPr>
            <w:tcW w:w="1081"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113° 8'8.21" E 29°25'46.93" N</w:t>
            </w:r>
          </w:p>
        </w:tc>
        <w:tc>
          <w:tcPr>
            <w:tcW w:w="390"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20</w:t>
            </w:r>
          </w:p>
        </w:tc>
        <w:tc>
          <w:tcPr>
            <w:tcW w:w="409"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21</w:t>
            </w:r>
          </w:p>
        </w:tc>
        <w:tc>
          <w:tcPr>
            <w:tcW w:w="447"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19</w:t>
            </w:r>
          </w:p>
        </w:tc>
        <w:tc>
          <w:tcPr>
            <w:tcW w:w="358"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15</w:t>
            </w:r>
          </w:p>
        </w:tc>
        <w:tc>
          <w:tcPr>
            <w:tcW w:w="405"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泥沙</w:t>
            </w:r>
          </w:p>
        </w:tc>
        <w:tc>
          <w:tcPr>
            <w:tcW w:w="486"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0.3</w:t>
            </w:r>
          </w:p>
        </w:tc>
        <w:tc>
          <w:tcPr>
            <w:tcW w:w="405" w:type="pct"/>
            <w:shd w:val="clear" w:color="auto" w:fill="auto"/>
            <w:vAlign w:val="center"/>
          </w:tcPr>
          <w:p>
            <w:pPr>
              <w:widowControl/>
              <w:adjustRightInd w:val="0"/>
              <w:snapToGrid w:val="0"/>
              <w:jc w:val="center"/>
              <w:rPr>
                <w:rFonts w:ascii="Times New Roman" w:hAnsi="Times New Roman"/>
                <w:bCs/>
                <w:kern w:val="0"/>
              </w:rPr>
            </w:pPr>
            <w:r>
              <w:rPr>
                <w:rFonts w:ascii="Times New Roman" w:hAnsi="Times New Roman"/>
                <w:bCs/>
                <w:kern w:val="0"/>
              </w:rPr>
              <w:t>0.3</w:t>
            </w:r>
          </w:p>
        </w:tc>
      </w:tr>
    </w:tbl>
    <w:p>
      <w:pPr>
        <w:spacing w:line="276" w:lineRule="auto"/>
        <w:jc w:val="center"/>
        <w:rPr>
          <w:rFonts w:ascii="Times New Roman" w:hAnsi="Times New Roman"/>
          <w:b/>
          <w:sz w:val="24"/>
          <w:szCs w:val="24"/>
        </w:rPr>
      </w:pPr>
    </w:p>
    <w:tbl>
      <w:tblPr>
        <w:tblStyle w:val="71"/>
        <w:tblW w:w="4994" w:type="pct"/>
        <w:jc w:val="center"/>
        <w:tblLayout w:type="autofit"/>
        <w:tblCellMar>
          <w:top w:w="0" w:type="dxa"/>
          <w:left w:w="0" w:type="dxa"/>
          <w:bottom w:w="0" w:type="dxa"/>
          <w:right w:w="0" w:type="dxa"/>
        </w:tblCellMar>
      </w:tblPr>
      <w:tblGrid>
        <w:gridCol w:w="4575"/>
        <w:gridCol w:w="4484"/>
      </w:tblGrid>
      <w:tr>
        <w:tblPrEx>
          <w:tblCellMar>
            <w:top w:w="0" w:type="dxa"/>
            <w:left w:w="0" w:type="dxa"/>
            <w:bottom w:w="0" w:type="dxa"/>
            <w:right w:w="0" w:type="dxa"/>
          </w:tblCellMar>
        </w:tblPrEx>
        <w:trPr>
          <w:jc w:val="center"/>
        </w:trPr>
        <w:tc>
          <w:tcPr>
            <w:tcW w:w="2525" w:type="pct"/>
          </w:tcPr>
          <w:p>
            <w:pPr>
              <w:adjustRightInd w:val="0"/>
              <w:snapToGrid w:val="0"/>
              <w:jc w:val="center"/>
              <w:rPr>
                <w:rFonts w:ascii="Times New Roman" w:hAnsi="Times New Roman"/>
                <w:sz w:val="24"/>
                <w:szCs w:val="24"/>
              </w:rPr>
            </w:pPr>
            <w:r>
              <w:rPr>
                <w:rFonts w:ascii="Times New Roman" w:hAnsi="Times New Roman"/>
              </w:rPr>
              <w:drawing>
                <wp:inline distT="0" distB="0" distL="0" distR="0">
                  <wp:extent cx="2560955" cy="1799590"/>
                  <wp:effectExtent l="0" t="0" r="0" b="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pic:cNvPicPr>
                            <a:picLocks noChangeAspect="1"/>
                          </pic:cNvPicPr>
                        </pic:nvPicPr>
                        <pic:blipFill>
                          <a:blip r:embed="rId59" cstate="email"/>
                          <a:stretch>
                            <a:fillRect/>
                          </a:stretch>
                        </pic:blipFill>
                        <pic:spPr>
                          <a:xfrm>
                            <a:off x="0" y="0"/>
                            <a:ext cx="2561265" cy="1800000"/>
                          </a:xfrm>
                          <a:prstGeom prst="rect">
                            <a:avLst/>
                          </a:prstGeom>
                        </pic:spPr>
                      </pic:pic>
                    </a:graphicData>
                  </a:graphic>
                </wp:inline>
              </w:drawing>
            </w:r>
          </w:p>
        </w:tc>
        <w:tc>
          <w:tcPr>
            <w:tcW w:w="2475" w:type="pct"/>
          </w:tcPr>
          <w:p>
            <w:pPr>
              <w:adjustRightInd w:val="0"/>
              <w:snapToGrid w:val="0"/>
              <w:jc w:val="center"/>
              <w:rPr>
                <w:rFonts w:ascii="Times New Roman" w:hAnsi="Times New Roman"/>
                <w:sz w:val="24"/>
                <w:szCs w:val="24"/>
              </w:rPr>
            </w:pPr>
            <w:r>
              <w:rPr>
                <w:rFonts w:ascii="Times New Roman" w:hAnsi="Times New Roman"/>
              </w:rPr>
              <w:drawing>
                <wp:inline distT="0" distB="0" distL="0" distR="0">
                  <wp:extent cx="2494915" cy="1799590"/>
                  <wp:effectExtent l="0" t="0" r="0" b="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pic:cNvPicPr>
                            <a:picLocks noChangeAspect="1"/>
                          </pic:cNvPicPr>
                        </pic:nvPicPr>
                        <pic:blipFill>
                          <a:blip r:embed="rId60" cstate="email"/>
                          <a:stretch>
                            <a:fillRect/>
                          </a:stretch>
                        </pic:blipFill>
                        <pic:spPr>
                          <a:xfrm>
                            <a:off x="0" y="0"/>
                            <a:ext cx="2495106" cy="1800000"/>
                          </a:xfrm>
                          <a:prstGeom prst="rect">
                            <a:avLst/>
                          </a:prstGeom>
                        </pic:spPr>
                      </pic:pic>
                    </a:graphicData>
                  </a:graphic>
                </wp:inline>
              </w:drawing>
            </w:r>
          </w:p>
        </w:tc>
      </w:tr>
      <w:tr>
        <w:tblPrEx>
          <w:tblCellMar>
            <w:top w:w="0" w:type="dxa"/>
            <w:left w:w="0" w:type="dxa"/>
            <w:bottom w:w="0" w:type="dxa"/>
            <w:right w:w="0" w:type="dxa"/>
          </w:tblCellMar>
        </w:tblPrEx>
        <w:trPr>
          <w:jc w:val="center"/>
        </w:trPr>
        <w:tc>
          <w:tcPr>
            <w:tcW w:w="2525" w:type="pct"/>
          </w:tcPr>
          <w:p>
            <w:pPr>
              <w:adjustRightInd w:val="0"/>
              <w:snapToGrid w:val="0"/>
              <w:jc w:val="center"/>
              <w:rPr>
                <w:rFonts w:ascii="Times New Roman" w:hAnsi="Times New Roman"/>
                <w:sz w:val="24"/>
                <w:szCs w:val="24"/>
              </w:rPr>
            </w:pPr>
            <w:r>
              <w:rPr>
                <w:rFonts w:ascii="Times New Roman" w:hAnsi="Times New Roman"/>
                <w:bCs/>
                <w:kern w:val="0"/>
                <w:sz w:val="24"/>
                <w:szCs w:val="24"/>
              </w:rPr>
              <w:t>码头上游1km</w:t>
            </w:r>
          </w:p>
        </w:tc>
        <w:tc>
          <w:tcPr>
            <w:tcW w:w="2475" w:type="pct"/>
          </w:tcPr>
          <w:p>
            <w:pPr>
              <w:adjustRightInd w:val="0"/>
              <w:snapToGrid w:val="0"/>
              <w:jc w:val="center"/>
              <w:rPr>
                <w:rFonts w:ascii="Times New Roman" w:hAnsi="Times New Roman"/>
                <w:sz w:val="24"/>
                <w:szCs w:val="24"/>
              </w:rPr>
            </w:pPr>
            <w:r>
              <w:rPr>
                <w:rFonts w:ascii="Times New Roman" w:hAnsi="Times New Roman"/>
                <w:bCs/>
                <w:kern w:val="0"/>
                <w:sz w:val="24"/>
                <w:szCs w:val="24"/>
              </w:rPr>
              <w:t>电厂码头</w:t>
            </w:r>
          </w:p>
        </w:tc>
      </w:tr>
      <w:tr>
        <w:tblPrEx>
          <w:tblCellMar>
            <w:top w:w="0" w:type="dxa"/>
            <w:left w:w="0" w:type="dxa"/>
            <w:bottom w:w="0" w:type="dxa"/>
            <w:right w:w="0" w:type="dxa"/>
          </w:tblCellMar>
        </w:tblPrEx>
        <w:trPr>
          <w:jc w:val="center"/>
        </w:trPr>
        <w:tc>
          <w:tcPr>
            <w:tcW w:w="2525" w:type="pct"/>
          </w:tcPr>
          <w:p>
            <w:pPr>
              <w:adjustRightInd w:val="0"/>
              <w:snapToGrid w:val="0"/>
              <w:jc w:val="center"/>
              <w:rPr>
                <w:rFonts w:ascii="Times New Roman" w:hAnsi="Times New Roman"/>
                <w:sz w:val="24"/>
                <w:szCs w:val="24"/>
              </w:rPr>
            </w:pPr>
            <w:r>
              <w:rPr>
                <w:rFonts w:ascii="Times New Roman" w:hAnsi="Times New Roman"/>
              </w:rPr>
              <w:drawing>
                <wp:inline distT="0" distB="0" distL="0" distR="0">
                  <wp:extent cx="2558415" cy="1799590"/>
                  <wp:effectExtent l="0" t="0" r="0" b="0"/>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pic:cNvPicPr>
                            <a:picLocks noChangeAspect="1"/>
                          </pic:cNvPicPr>
                        </pic:nvPicPr>
                        <pic:blipFill>
                          <a:blip r:embed="rId61" cstate="email"/>
                          <a:stretch>
                            <a:fillRect/>
                          </a:stretch>
                        </pic:blipFill>
                        <pic:spPr>
                          <a:xfrm>
                            <a:off x="0" y="0"/>
                            <a:ext cx="2558736" cy="1800000"/>
                          </a:xfrm>
                          <a:prstGeom prst="rect">
                            <a:avLst/>
                          </a:prstGeom>
                        </pic:spPr>
                      </pic:pic>
                    </a:graphicData>
                  </a:graphic>
                </wp:inline>
              </w:drawing>
            </w:r>
          </w:p>
        </w:tc>
        <w:tc>
          <w:tcPr>
            <w:tcW w:w="2475" w:type="pct"/>
          </w:tcPr>
          <w:p>
            <w:pPr>
              <w:adjustRightInd w:val="0"/>
              <w:snapToGrid w:val="0"/>
              <w:jc w:val="center"/>
              <w:rPr>
                <w:rFonts w:ascii="Times New Roman" w:hAnsi="Times New Roman"/>
                <w:sz w:val="24"/>
                <w:szCs w:val="24"/>
              </w:rPr>
            </w:pPr>
            <w:r>
              <w:rPr>
                <w:rFonts w:ascii="Times New Roman" w:hAnsi="Times New Roman"/>
              </w:rPr>
              <w:drawing>
                <wp:inline distT="0" distB="0" distL="0" distR="0">
                  <wp:extent cx="2550795" cy="1799590"/>
                  <wp:effectExtent l="0" t="0" r="0" b="0"/>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pic:cNvPicPr>
                            <a:picLocks noChangeAspect="1"/>
                          </pic:cNvPicPr>
                        </pic:nvPicPr>
                        <pic:blipFill>
                          <a:blip r:embed="rId62" cstate="email"/>
                          <a:stretch>
                            <a:fillRect/>
                          </a:stretch>
                        </pic:blipFill>
                        <pic:spPr>
                          <a:xfrm>
                            <a:off x="0" y="0"/>
                            <a:ext cx="2551181" cy="1800000"/>
                          </a:xfrm>
                          <a:prstGeom prst="rect">
                            <a:avLst/>
                          </a:prstGeom>
                        </pic:spPr>
                      </pic:pic>
                    </a:graphicData>
                  </a:graphic>
                </wp:inline>
              </w:drawing>
            </w:r>
          </w:p>
        </w:tc>
      </w:tr>
      <w:tr>
        <w:tblPrEx>
          <w:tblCellMar>
            <w:top w:w="0" w:type="dxa"/>
            <w:left w:w="0" w:type="dxa"/>
            <w:bottom w:w="0" w:type="dxa"/>
            <w:right w:w="0" w:type="dxa"/>
          </w:tblCellMar>
        </w:tblPrEx>
        <w:trPr>
          <w:jc w:val="center"/>
        </w:trPr>
        <w:tc>
          <w:tcPr>
            <w:tcW w:w="2525" w:type="pct"/>
          </w:tcPr>
          <w:p>
            <w:pPr>
              <w:adjustRightInd w:val="0"/>
              <w:snapToGrid w:val="0"/>
              <w:jc w:val="center"/>
              <w:rPr>
                <w:rFonts w:ascii="Times New Roman" w:hAnsi="Times New Roman"/>
                <w:sz w:val="24"/>
                <w:szCs w:val="24"/>
              </w:rPr>
            </w:pPr>
            <w:r>
              <w:rPr>
                <w:rFonts w:ascii="Times New Roman" w:hAnsi="Times New Roman"/>
                <w:bCs/>
                <w:kern w:val="0"/>
                <w:sz w:val="24"/>
                <w:szCs w:val="24"/>
              </w:rPr>
              <w:t>码头下游1km</w:t>
            </w:r>
          </w:p>
        </w:tc>
        <w:tc>
          <w:tcPr>
            <w:tcW w:w="2475" w:type="pct"/>
          </w:tcPr>
          <w:p>
            <w:pPr>
              <w:adjustRightInd w:val="0"/>
              <w:snapToGrid w:val="0"/>
              <w:jc w:val="center"/>
              <w:rPr>
                <w:rFonts w:ascii="Times New Roman" w:hAnsi="Times New Roman"/>
                <w:sz w:val="24"/>
                <w:szCs w:val="24"/>
              </w:rPr>
            </w:pPr>
            <w:r>
              <w:rPr>
                <w:rFonts w:ascii="Times New Roman" w:hAnsi="Times New Roman"/>
                <w:sz w:val="24"/>
                <w:szCs w:val="24"/>
              </w:rPr>
              <w:t>洞庭湖大桥</w:t>
            </w:r>
          </w:p>
        </w:tc>
      </w:tr>
    </w:tbl>
    <w:p>
      <w:pPr>
        <w:pStyle w:val="5"/>
        <w:spacing w:before="156" w:beforeLines="50"/>
        <w:ind w:left="862" w:hanging="862"/>
        <w:rPr>
          <w:rFonts w:eastAsiaTheme="minorEastAsia"/>
        </w:rPr>
      </w:pPr>
      <w:r>
        <w:rPr>
          <w:rFonts w:eastAsiaTheme="minorEastAsia"/>
        </w:rPr>
        <w:t>浮游植物</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rPr>
        <w:t>⑴</w:t>
      </w:r>
      <w:r>
        <w:rPr>
          <w:rFonts w:ascii="Times New Roman" w:hAnsi="Times New Roman"/>
          <w:sz w:val="24"/>
          <w:szCs w:val="24"/>
        </w:rPr>
        <w:t xml:space="preserve"> 种类组成</w:t>
      </w:r>
    </w:p>
    <w:p>
      <w:pPr>
        <w:adjustRightInd w:val="0"/>
        <w:snapToGrid w:val="0"/>
        <w:spacing w:line="360" w:lineRule="auto"/>
        <w:ind w:firstLine="480" w:firstLineChars="200"/>
        <w:rPr>
          <w:rStyle w:val="648"/>
          <w:rFonts w:hint="default" w:ascii="Times New Roman" w:hAnsi="Times New Roman" w:cs="Times New Roman"/>
          <w:sz w:val="24"/>
          <w:szCs w:val="24"/>
          <w:lang w:bidi="ar"/>
        </w:rPr>
      </w:pPr>
      <w:r>
        <w:rPr>
          <w:rFonts w:ascii="Times New Roman" w:hAnsi="Times New Roman"/>
          <w:sz w:val="24"/>
          <w:szCs w:val="24"/>
        </w:rPr>
        <w:t>2019</w:t>
      </w:r>
      <w:r>
        <w:rPr>
          <w:rFonts w:ascii="Times New Roman" w:hAnsi="Times New Roman" w:eastAsiaTheme="minorEastAsia"/>
          <w:sz w:val="24"/>
          <w:szCs w:val="24"/>
        </w:rPr>
        <w:t>年11月，</w:t>
      </w:r>
      <w:r>
        <w:rPr>
          <w:rFonts w:ascii="Times New Roman" w:hAnsi="Times New Roman"/>
          <w:bCs/>
          <w:kern w:val="0"/>
          <w:sz w:val="24"/>
          <w:szCs w:val="24"/>
        </w:rPr>
        <w:t>对评价区水域进行水生生态调查，4个调查点位共检出浮游藻类6门，77种（属）。藻类中硅藻门藻类种（属）数最多，为41种（属），占53.25%；绿藻门24种（属），占31.17%；蓝藻门9种（属），占11.69%；裸藻门、甲藻门和黄藻门各1种（属），各占1.30%，详见表4.8-5。调查河段浮游植物以硅藻为主，绿藻次之。评价区常见类群有美丽星杆藻（</w:t>
      </w:r>
      <w:r>
        <w:rPr>
          <w:rFonts w:ascii="Times New Roman" w:hAnsi="Times New Roman" w:eastAsiaTheme="minorEastAsia"/>
          <w:i/>
          <w:iCs/>
          <w:color w:val="000000"/>
          <w:kern w:val="0"/>
          <w:sz w:val="24"/>
          <w:szCs w:val="24"/>
        </w:rPr>
        <w:t>Asterionella formosa</w:t>
      </w:r>
      <w:r>
        <w:rPr>
          <w:rFonts w:ascii="Times New Roman" w:hAnsi="Times New Roman"/>
          <w:bCs/>
          <w:kern w:val="0"/>
          <w:sz w:val="24"/>
          <w:szCs w:val="24"/>
        </w:rPr>
        <w:t>）、</w:t>
      </w:r>
      <w:r>
        <w:rPr>
          <w:rFonts w:ascii="Times New Roman" w:hAnsi="Times New Roman" w:eastAsiaTheme="minorEastAsia"/>
          <w:color w:val="000000"/>
          <w:kern w:val="0"/>
          <w:sz w:val="24"/>
          <w:szCs w:val="24"/>
        </w:rPr>
        <w:t>颗粒直链藻</w:t>
      </w:r>
      <w:r>
        <w:rPr>
          <w:rStyle w:val="637"/>
          <w:rFonts w:hint="default" w:ascii="Times New Roman" w:hAnsi="Times New Roman" w:cs="Times New Roman"/>
          <w:color w:val="auto"/>
        </w:rPr>
        <w:t>（</w:t>
      </w:r>
      <w:r>
        <w:rPr>
          <w:rFonts w:ascii="Times New Roman" w:hAnsi="Times New Roman" w:eastAsiaTheme="minorEastAsia"/>
          <w:i/>
          <w:iCs/>
          <w:color w:val="000000"/>
          <w:kern w:val="0"/>
          <w:sz w:val="24"/>
          <w:szCs w:val="24"/>
        </w:rPr>
        <w:t>Melosira granulata</w:t>
      </w:r>
      <w:r>
        <w:rPr>
          <w:rStyle w:val="319"/>
          <w:rFonts w:hint="default" w:ascii="Times New Roman" w:hAnsi="Times New Roman"/>
          <w:sz w:val="24"/>
          <w:szCs w:val="24"/>
        </w:rPr>
        <w:t>）、</w:t>
      </w:r>
      <w:r>
        <w:rPr>
          <w:rFonts w:ascii="Times New Roman" w:hAnsi="Times New Roman" w:eastAsiaTheme="minorEastAsia"/>
          <w:color w:val="000000"/>
          <w:kern w:val="0"/>
          <w:sz w:val="24"/>
          <w:szCs w:val="24"/>
        </w:rPr>
        <w:t>二角盘星藻</w:t>
      </w:r>
      <w:r>
        <w:rPr>
          <w:rStyle w:val="648"/>
          <w:rFonts w:hint="default" w:ascii="Times New Roman" w:hAnsi="Times New Roman" w:cs="Times New Roman"/>
          <w:sz w:val="24"/>
          <w:szCs w:val="24"/>
          <w:lang w:bidi="ar"/>
        </w:rPr>
        <w:t>（</w:t>
      </w:r>
      <w:r>
        <w:rPr>
          <w:rFonts w:ascii="Times New Roman" w:hAnsi="Times New Roman" w:eastAsiaTheme="minorEastAsia"/>
          <w:i/>
          <w:iCs/>
          <w:color w:val="000000"/>
          <w:kern w:val="0"/>
          <w:sz w:val="24"/>
          <w:szCs w:val="24"/>
        </w:rPr>
        <w:t>Pediastrum duplex</w:t>
      </w:r>
      <w:r>
        <w:rPr>
          <w:rStyle w:val="648"/>
          <w:rFonts w:hint="default" w:ascii="Times New Roman" w:hAnsi="Times New Roman" w:cs="Times New Roman"/>
          <w:sz w:val="24"/>
          <w:szCs w:val="24"/>
          <w:lang w:bidi="ar"/>
        </w:rPr>
        <w:t>）、</w:t>
      </w:r>
      <w:r>
        <w:rPr>
          <w:rFonts w:ascii="Times New Roman" w:hAnsi="Times New Roman" w:eastAsiaTheme="minorEastAsia"/>
          <w:color w:val="000000"/>
          <w:kern w:val="0"/>
          <w:sz w:val="24"/>
          <w:szCs w:val="24"/>
        </w:rPr>
        <w:t>单角盘星藻</w:t>
      </w:r>
      <w:r>
        <w:rPr>
          <w:rStyle w:val="648"/>
          <w:rFonts w:hint="default" w:ascii="Times New Roman" w:hAnsi="Times New Roman" w:cs="Times New Roman"/>
          <w:sz w:val="24"/>
          <w:szCs w:val="24"/>
          <w:lang w:bidi="ar"/>
        </w:rPr>
        <w:t>（</w:t>
      </w:r>
      <w:r>
        <w:rPr>
          <w:rFonts w:ascii="Times New Roman" w:hAnsi="Times New Roman" w:eastAsiaTheme="minorEastAsia"/>
          <w:i/>
          <w:iCs/>
          <w:color w:val="000000"/>
          <w:kern w:val="0"/>
          <w:sz w:val="24"/>
          <w:szCs w:val="24"/>
        </w:rPr>
        <w:t>Pediastrum simplex</w:t>
      </w:r>
      <w:r>
        <w:rPr>
          <w:rStyle w:val="648"/>
          <w:rFonts w:hint="default" w:ascii="Times New Roman" w:hAnsi="Times New Roman" w:cs="Times New Roman"/>
          <w:sz w:val="24"/>
          <w:szCs w:val="24"/>
          <w:lang w:bidi="ar"/>
        </w:rPr>
        <w:t>）、</w:t>
      </w:r>
      <w:r>
        <w:rPr>
          <w:rFonts w:ascii="Times New Roman" w:hAnsi="Times New Roman" w:eastAsiaTheme="minorEastAsia"/>
          <w:color w:val="000000"/>
          <w:kern w:val="0"/>
          <w:sz w:val="24"/>
          <w:szCs w:val="24"/>
        </w:rPr>
        <w:t>集星藻（</w:t>
      </w:r>
      <w:r>
        <w:rPr>
          <w:rFonts w:ascii="Times New Roman" w:hAnsi="Times New Roman" w:eastAsiaTheme="minorEastAsia"/>
          <w:i/>
          <w:iCs/>
          <w:color w:val="000000"/>
          <w:kern w:val="0"/>
          <w:sz w:val="24"/>
          <w:szCs w:val="24"/>
        </w:rPr>
        <w:t>Actinastrum hantzschii</w:t>
      </w:r>
      <w:r>
        <w:rPr>
          <w:rFonts w:ascii="Times New Roman" w:hAnsi="Times New Roman" w:eastAsiaTheme="minorEastAsia"/>
          <w:color w:val="000000"/>
          <w:kern w:val="0"/>
          <w:sz w:val="24"/>
          <w:szCs w:val="24"/>
        </w:rPr>
        <w:t>）</w:t>
      </w:r>
      <w:r>
        <w:rPr>
          <w:rStyle w:val="648"/>
          <w:rFonts w:hint="default" w:ascii="Times New Roman" w:hAnsi="Times New Roman" w:cs="Times New Roman"/>
          <w:sz w:val="24"/>
          <w:szCs w:val="24"/>
          <w:lang w:bidi="ar"/>
        </w:rPr>
        <w:t>等。</w:t>
      </w:r>
    </w:p>
    <w:p>
      <w:pPr>
        <w:spacing w:line="276" w:lineRule="auto"/>
        <w:jc w:val="center"/>
        <w:rPr>
          <w:rFonts w:ascii="Times New Roman" w:hAnsi="Times New Roman"/>
          <w:b/>
          <w:sz w:val="24"/>
          <w:szCs w:val="24"/>
        </w:rPr>
      </w:pPr>
      <w:r>
        <w:rPr>
          <w:rFonts w:ascii="Times New Roman" w:hAnsi="Times New Roman"/>
          <w:b/>
          <w:sz w:val="24"/>
          <w:szCs w:val="24"/>
        </w:rPr>
        <w:t>表4.8-5  各门藻类种数及比例</w:t>
      </w:r>
    </w:p>
    <w:tbl>
      <w:tblPr>
        <w:tblStyle w:val="71"/>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268"/>
        <w:gridCol w:w="1005"/>
        <w:gridCol w:w="1137"/>
        <w:gridCol w:w="1138"/>
        <w:gridCol w:w="1138"/>
        <w:gridCol w:w="1138"/>
        <w:gridCol w:w="1138"/>
        <w:gridCol w:w="113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pct"/>
            <w:shd w:val="clear" w:color="auto" w:fill="auto"/>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b/>
                <w:bCs/>
                <w:color w:val="000000"/>
              </w:rPr>
              <w:t>类别</w:t>
            </w:r>
          </w:p>
        </w:tc>
        <w:tc>
          <w:tcPr>
            <w:tcW w:w="553" w:type="pct"/>
            <w:shd w:val="clear" w:color="auto" w:fill="auto"/>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b/>
                <w:bCs/>
                <w:color w:val="000000"/>
              </w:rPr>
              <w:t>硅藻门</w:t>
            </w:r>
          </w:p>
        </w:tc>
        <w:tc>
          <w:tcPr>
            <w:tcW w:w="625" w:type="pct"/>
            <w:shd w:val="clear" w:color="auto" w:fill="auto"/>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b/>
                <w:bCs/>
                <w:color w:val="000000"/>
              </w:rPr>
              <w:t>蓝藻门</w:t>
            </w:r>
          </w:p>
        </w:tc>
        <w:tc>
          <w:tcPr>
            <w:tcW w:w="625" w:type="pct"/>
            <w:shd w:val="clear" w:color="auto" w:fill="auto"/>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b/>
                <w:bCs/>
                <w:color w:val="000000"/>
              </w:rPr>
              <w:t>绿藻门</w:t>
            </w:r>
          </w:p>
        </w:tc>
        <w:tc>
          <w:tcPr>
            <w:tcW w:w="625" w:type="pct"/>
            <w:shd w:val="clear" w:color="auto" w:fill="auto"/>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b/>
                <w:bCs/>
                <w:color w:val="000000"/>
              </w:rPr>
              <w:t>裸藻门</w:t>
            </w:r>
          </w:p>
        </w:tc>
        <w:tc>
          <w:tcPr>
            <w:tcW w:w="625" w:type="pct"/>
            <w:shd w:val="clear" w:color="auto" w:fill="auto"/>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b/>
                <w:bCs/>
                <w:color w:val="000000"/>
              </w:rPr>
              <w:t>甲藻门</w:t>
            </w:r>
          </w:p>
        </w:tc>
        <w:tc>
          <w:tcPr>
            <w:tcW w:w="625" w:type="pct"/>
            <w:shd w:val="clear" w:color="auto" w:fill="auto"/>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b/>
                <w:bCs/>
                <w:color w:val="000000"/>
              </w:rPr>
              <w:t>隐藻门</w:t>
            </w:r>
          </w:p>
        </w:tc>
        <w:tc>
          <w:tcPr>
            <w:tcW w:w="625" w:type="pct"/>
            <w:shd w:val="clear" w:color="auto" w:fill="auto"/>
            <w:vAlign w:val="center"/>
          </w:tcPr>
          <w:p>
            <w:pPr>
              <w:adjustRightInd w:val="0"/>
              <w:snapToGrid w:val="0"/>
              <w:jc w:val="center"/>
              <w:rPr>
                <w:rFonts w:ascii="Times New Roman" w:hAnsi="Times New Roman" w:eastAsiaTheme="minorEastAsia"/>
                <w:b/>
                <w:bCs/>
                <w:color w:val="000000"/>
              </w:rPr>
            </w:pPr>
            <w:r>
              <w:rPr>
                <w:rFonts w:ascii="Times New Roman" w:hAnsi="Times New Roman" w:eastAsiaTheme="minorEastAsia"/>
                <w:b/>
                <w:bCs/>
                <w:color w:val="000000"/>
              </w:rPr>
              <w:t>合计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pct"/>
            <w:shd w:val="clear" w:color="auto" w:fill="auto"/>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种类数</w:t>
            </w:r>
          </w:p>
        </w:tc>
        <w:tc>
          <w:tcPr>
            <w:tcW w:w="553" w:type="pct"/>
            <w:shd w:val="clear" w:color="auto" w:fill="auto"/>
            <w:vAlign w:val="center"/>
          </w:tcPr>
          <w:p>
            <w:pPr>
              <w:adjustRightInd w:val="0"/>
              <w:snapToGrid w:val="0"/>
              <w:jc w:val="center"/>
              <w:rPr>
                <w:rFonts w:ascii="Times New Roman" w:hAnsi="Times New Roman" w:eastAsiaTheme="minorEastAsia"/>
                <w:color w:val="000000"/>
              </w:rPr>
            </w:pPr>
            <w:r>
              <w:rPr>
                <w:rFonts w:ascii="Times New Roman" w:hAnsi="Times New Roman"/>
                <w:color w:val="000000"/>
                <w:sz w:val="22"/>
              </w:rPr>
              <w:t>41</w:t>
            </w:r>
          </w:p>
        </w:tc>
        <w:tc>
          <w:tcPr>
            <w:tcW w:w="625" w:type="pct"/>
            <w:shd w:val="clear" w:color="auto" w:fill="auto"/>
            <w:vAlign w:val="center"/>
          </w:tcPr>
          <w:p>
            <w:pPr>
              <w:adjustRightInd w:val="0"/>
              <w:snapToGrid w:val="0"/>
              <w:jc w:val="center"/>
              <w:rPr>
                <w:rFonts w:ascii="Times New Roman" w:hAnsi="Times New Roman" w:eastAsiaTheme="minorEastAsia"/>
                <w:color w:val="000000"/>
              </w:rPr>
            </w:pPr>
            <w:r>
              <w:rPr>
                <w:rFonts w:ascii="Times New Roman" w:hAnsi="Times New Roman"/>
                <w:color w:val="000000"/>
                <w:sz w:val="22"/>
              </w:rPr>
              <w:t>9</w:t>
            </w:r>
          </w:p>
        </w:tc>
        <w:tc>
          <w:tcPr>
            <w:tcW w:w="625" w:type="pct"/>
            <w:shd w:val="clear" w:color="auto" w:fill="auto"/>
            <w:vAlign w:val="center"/>
          </w:tcPr>
          <w:p>
            <w:pPr>
              <w:adjustRightInd w:val="0"/>
              <w:snapToGrid w:val="0"/>
              <w:jc w:val="center"/>
              <w:rPr>
                <w:rFonts w:ascii="Times New Roman" w:hAnsi="Times New Roman" w:eastAsiaTheme="minorEastAsia"/>
                <w:color w:val="000000"/>
              </w:rPr>
            </w:pPr>
            <w:r>
              <w:rPr>
                <w:rFonts w:ascii="Times New Roman" w:hAnsi="Times New Roman"/>
                <w:color w:val="000000"/>
                <w:sz w:val="22"/>
              </w:rPr>
              <w:t>24</w:t>
            </w:r>
          </w:p>
        </w:tc>
        <w:tc>
          <w:tcPr>
            <w:tcW w:w="625" w:type="pct"/>
            <w:shd w:val="clear" w:color="auto" w:fill="auto"/>
            <w:vAlign w:val="center"/>
          </w:tcPr>
          <w:p>
            <w:pPr>
              <w:adjustRightInd w:val="0"/>
              <w:snapToGrid w:val="0"/>
              <w:jc w:val="center"/>
              <w:rPr>
                <w:rFonts w:ascii="Times New Roman" w:hAnsi="Times New Roman" w:eastAsiaTheme="minorEastAsia"/>
                <w:color w:val="000000"/>
              </w:rPr>
            </w:pPr>
            <w:r>
              <w:rPr>
                <w:rFonts w:ascii="Times New Roman" w:hAnsi="Times New Roman"/>
                <w:color w:val="000000"/>
                <w:sz w:val="22"/>
              </w:rPr>
              <w:t>1</w:t>
            </w:r>
          </w:p>
        </w:tc>
        <w:tc>
          <w:tcPr>
            <w:tcW w:w="625" w:type="pct"/>
            <w:shd w:val="clear" w:color="auto" w:fill="auto"/>
            <w:vAlign w:val="center"/>
          </w:tcPr>
          <w:p>
            <w:pPr>
              <w:adjustRightInd w:val="0"/>
              <w:snapToGrid w:val="0"/>
              <w:jc w:val="center"/>
              <w:rPr>
                <w:rFonts w:ascii="Times New Roman" w:hAnsi="Times New Roman" w:eastAsiaTheme="minorEastAsia"/>
                <w:color w:val="000000"/>
              </w:rPr>
            </w:pPr>
            <w:r>
              <w:rPr>
                <w:rFonts w:ascii="Times New Roman" w:hAnsi="Times New Roman"/>
                <w:color w:val="000000"/>
                <w:sz w:val="22"/>
              </w:rPr>
              <w:t>1</w:t>
            </w:r>
          </w:p>
        </w:tc>
        <w:tc>
          <w:tcPr>
            <w:tcW w:w="625" w:type="pct"/>
            <w:shd w:val="clear" w:color="auto" w:fill="auto"/>
            <w:vAlign w:val="center"/>
          </w:tcPr>
          <w:p>
            <w:pPr>
              <w:adjustRightInd w:val="0"/>
              <w:snapToGrid w:val="0"/>
              <w:jc w:val="center"/>
              <w:rPr>
                <w:rFonts w:ascii="Times New Roman" w:hAnsi="Times New Roman" w:eastAsiaTheme="minorEastAsia"/>
                <w:color w:val="000000"/>
              </w:rPr>
            </w:pPr>
            <w:r>
              <w:rPr>
                <w:rFonts w:ascii="Times New Roman" w:hAnsi="Times New Roman"/>
                <w:color w:val="000000"/>
                <w:sz w:val="22"/>
              </w:rPr>
              <w:t>1</w:t>
            </w:r>
          </w:p>
        </w:tc>
        <w:tc>
          <w:tcPr>
            <w:tcW w:w="625" w:type="pct"/>
            <w:shd w:val="clear" w:color="auto" w:fill="auto"/>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77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97" w:type="pct"/>
            <w:shd w:val="clear" w:color="auto" w:fill="auto"/>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百分比（%）</w:t>
            </w:r>
          </w:p>
        </w:tc>
        <w:tc>
          <w:tcPr>
            <w:tcW w:w="553" w:type="pct"/>
            <w:shd w:val="clear" w:color="auto" w:fill="auto"/>
            <w:vAlign w:val="center"/>
          </w:tcPr>
          <w:p>
            <w:pPr>
              <w:adjustRightInd w:val="0"/>
              <w:snapToGrid w:val="0"/>
              <w:jc w:val="center"/>
              <w:rPr>
                <w:rFonts w:ascii="Times New Roman" w:hAnsi="Times New Roman" w:eastAsiaTheme="minorEastAsia"/>
                <w:color w:val="000000"/>
              </w:rPr>
            </w:pPr>
            <w:r>
              <w:rPr>
                <w:rFonts w:ascii="Times New Roman" w:hAnsi="Times New Roman"/>
                <w:color w:val="000000"/>
                <w:sz w:val="22"/>
              </w:rPr>
              <w:t>53.25</w:t>
            </w:r>
          </w:p>
        </w:tc>
        <w:tc>
          <w:tcPr>
            <w:tcW w:w="625" w:type="pct"/>
            <w:shd w:val="clear" w:color="auto" w:fill="auto"/>
            <w:vAlign w:val="center"/>
          </w:tcPr>
          <w:p>
            <w:pPr>
              <w:adjustRightInd w:val="0"/>
              <w:snapToGrid w:val="0"/>
              <w:jc w:val="center"/>
              <w:rPr>
                <w:rFonts w:ascii="Times New Roman" w:hAnsi="Times New Roman" w:eastAsiaTheme="minorEastAsia"/>
                <w:color w:val="000000"/>
              </w:rPr>
            </w:pPr>
            <w:r>
              <w:rPr>
                <w:rFonts w:ascii="Times New Roman" w:hAnsi="Times New Roman"/>
                <w:color w:val="000000"/>
                <w:sz w:val="22"/>
              </w:rPr>
              <w:t>11.69</w:t>
            </w:r>
          </w:p>
        </w:tc>
        <w:tc>
          <w:tcPr>
            <w:tcW w:w="625" w:type="pct"/>
            <w:shd w:val="clear" w:color="auto" w:fill="auto"/>
            <w:vAlign w:val="center"/>
          </w:tcPr>
          <w:p>
            <w:pPr>
              <w:adjustRightInd w:val="0"/>
              <w:snapToGrid w:val="0"/>
              <w:jc w:val="center"/>
              <w:rPr>
                <w:rFonts w:ascii="Times New Roman" w:hAnsi="Times New Roman" w:eastAsiaTheme="minorEastAsia"/>
                <w:color w:val="000000"/>
              </w:rPr>
            </w:pPr>
            <w:r>
              <w:rPr>
                <w:rFonts w:ascii="Times New Roman" w:hAnsi="Times New Roman"/>
                <w:color w:val="000000"/>
                <w:sz w:val="22"/>
              </w:rPr>
              <w:t>31.17</w:t>
            </w:r>
          </w:p>
        </w:tc>
        <w:tc>
          <w:tcPr>
            <w:tcW w:w="625" w:type="pct"/>
            <w:shd w:val="clear" w:color="auto" w:fill="auto"/>
            <w:vAlign w:val="center"/>
          </w:tcPr>
          <w:p>
            <w:pPr>
              <w:adjustRightInd w:val="0"/>
              <w:snapToGrid w:val="0"/>
              <w:jc w:val="center"/>
              <w:rPr>
                <w:rFonts w:ascii="Times New Roman" w:hAnsi="Times New Roman" w:eastAsiaTheme="minorEastAsia"/>
                <w:color w:val="000000"/>
              </w:rPr>
            </w:pPr>
            <w:r>
              <w:rPr>
                <w:rFonts w:ascii="Times New Roman" w:hAnsi="Times New Roman"/>
                <w:color w:val="000000"/>
                <w:sz w:val="22"/>
              </w:rPr>
              <w:t>1.30</w:t>
            </w:r>
          </w:p>
        </w:tc>
        <w:tc>
          <w:tcPr>
            <w:tcW w:w="625" w:type="pct"/>
            <w:shd w:val="clear" w:color="auto" w:fill="auto"/>
            <w:vAlign w:val="center"/>
          </w:tcPr>
          <w:p>
            <w:pPr>
              <w:adjustRightInd w:val="0"/>
              <w:snapToGrid w:val="0"/>
              <w:jc w:val="center"/>
              <w:rPr>
                <w:rFonts w:ascii="Times New Roman" w:hAnsi="Times New Roman" w:eastAsiaTheme="minorEastAsia"/>
                <w:color w:val="000000"/>
              </w:rPr>
            </w:pPr>
            <w:r>
              <w:rPr>
                <w:rFonts w:ascii="Times New Roman" w:hAnsi="Times New Roman"/>
                <w:color w:val="000000"/>
                <w:sz w:val="22"/>
              </w:rPr>
              <w:t>1.30</w:t>
            </w:r>
          </w:p>
        </w:tc>
        <w:tc>
          <w:tcPr>
            <w:tcW w:w="625" w:type="pct"/>
            <w:shd w:val="clear" w:color="auto" w:fill="auto"/>
            <w:vAlign w:val="center"/>
          </w:tcPr>
          <w:p>
            <w:pPr>
              <w:adjustRightInd w:val="0"/>
              <w:snapToGrid w:val="0"/>
              <w:jc w:val="center"/>
              <w:rPr>
                <w:rFonts w:ascii="Times New Roman" w:hAnsi="Times New Roman" w:eastAsiaTheme="minorEastAsia"/>
                <w:color w:val="000000"/>
              </w:rPr>
            </w:pPr>
            <w:r>
              <w:rPr>
                <w:rFonts w:ascii="Times New Roman" w:hAnsi="Times New Roman"/>
                <w:color w:val="000000"/>
                <w:sz w:val="22"/>
              </w:rPr>
              <w:t>1.30</w:t>
            </w:r>
          </w:p>
        </w:tc>
        <w:tc>
          <w:tcPr>
            <w:tcW w:w="625" w:type="pct"/>
            <w:shd w:val="clear" w:color="auto" w:fill="auto"/>
            <w:vAlign w:val="center"/>
          </w:tcPr>
          <w:p>
            <w:pPr>
              <w:adjustRightInd w:val="0"/>
              <w:snapToGrid w:val="0"/>
              <w:jc w:val="center"/>
              <w:rPr>
                <w:rFonts w:ascii="Times New Roman" w:hAnsi="Times New Roman" w:eastAsiaTheme="minorEastAsia"/>
                <w:color w:val="000000"/>
              </w:rPr>
            </w:pPr>
            <w:r>
              <w:rPr>
                <w:rFonts w:ascii="Times New Roman" w:hAnsi="Times New Roman" w:eastAsiaTheme="minorEastAsia"/>
                <w:color w:val="000000"/>
              </w:rPr>
              <w:t>100</w:t>
            </w:r>
          </w:p>
        </w:tc>
      </w:tr>
    </w:tbl>
    <w:p>
      <w:pPr>
        <w:adjustRightInd w:val="0"/>
        <w:snapToGrid w:val="0"/>
        <w:spacing w:line="360" w:lineRule="auto"/>
        <w:ind w:firstLine="480" w:firstLineChars="200"/>
        <w:rPr>
          <w:rStyle w:val="648"/>
          <w:rFonts w:hint="default" w:ascii="Times New Roman" w:hAnsi="Times New Roman" w:cs="Times New Roman"/>
          <w:sz w:val="24"/>
          <w:szCs w:val="24"/>
          <w:lang w:bidi="ar"/>
        </w:rPr>
      </w:pP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rPr>
        <w:t>⑵</w:t>
      </w:r>
      <w:r>
        <w:rPr>
          <w:rFonts w:ascii="Times New Roman" w:hAnsi="Times New Roman"/>
          <w:sz w:val="24"/>
          <w:szCs w:val="24"/>
        </w:rPr>
        <w:t xml:space="preserve"> 密度和生物量</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各采样点位的藻类现存量见表4.8-6，采样点位的平均密度为</w:t>
      </w:r>
      <w:r>
        <w:rPr>
          <w:rFonts w:ascii="Times New Roman" w:hAnsi="Times New Roman"/>
          <w:kern w:val="0"/>
          <w:sz w:val="24"/>
          <w:szCs w:val="24"/>
        </w:rPr>
        <w:t>57.88</w:t>
      </w:r>
      <w:r>
        <w:rPr>
          <w:rFonts w:ascii="Times New Roman" w:hAnsi="Times New Roman"/>
          <w:sz w:val="24"/>
          <w:szCs w:val="24"/>
        </w:rPr>
        <w:t>×10</w:t>
      </w:r>
      <w:r>
        <w:rPr>
          <w:rFonts w:ascii="Times New Roman" w:hAnsi="Times New Roman"/>
          <w:sz w:val="24"/>
          <w:szCs w:val="24"/>
          <w:vertAlign w:val="superscript"/>
        </w:rPr>
        <w:t>4</w:t>
      </w:r>
      <w:r>
        <w:rPr>
          <w:rFonts w:ascii="Times New Roman" w:hAnsi="Times New Roman"/>
          <w:sz w:val="24"/>
          <w:szCs w:val="24"/>
        </w:rPr>
        <w:t>ind./L，平均生物量为</w:t>
      </w:r>
      <w:r>
        <w:rPr>
          <w:rFonts w:ascii="Times New Roman" w:hAnsi="Times New Roman"/>
          <w:kern w:val="0"/>
          <w:sz w:val="24"/>
          <w:szCs w:val="24"/>
        </w:rPr>
        <w:t>0.653</w:t>
      </w:r>
      <w:r>
        <w:rPr>
          <w:rFonts w:ascii="Times New Roman" w:hAnsi="Times New Roman"/>
          <w:sz w:val="24"/>
          <w:szCs w:val="24"/>
        </w:rPr>
        <w:t>mg/L。从表中可看出，各采样点位浮游植物密度范围为</w:t>
      </w:r>
      <w:r>
        <w:rPr>
          <w:rFonts w:ascii="Times New Roman" w:hAnsi="Times New Roman"/>
          <w:kern w:val="0"/>
          <w:sz w:val="24"/>
          <w:szCs w:val="24"/>
          <w:lang w:bidi="ar"/>
        </w:rPr>
        <w:t>41.65~88.17</w:t>
      </w:r>
      <w:r>
        <w:rPr>
          <w:rFonts w:ascii="Times New Roman" w:hAnsi="Times New Roman"/>
          <w:sz w:val="24"/>
          <w:szCs w:val="24"/>
        </w:rPr>
        <w:t>×10</w:t>
      </w:r>
      <w:r>
        <w:rPr>
          <w:rFonts w:ascii="Times New Roman" w:hAnsi="Times New Roman"/>
          <w:sz w:val="24"/>
          <w:szCs w:val="24"/>
          <w:vertAlign w:val="superscript"/>
        </w:rPr>
        <w:t>4</w:t>
      </w:r>
      <w:r>
        <w:rPr>
          <w:rFonts w:ascii="Times New Roman" w:hAnsi="Times New Roman"/>
          <w:sz w:val="24"/>
          <w:szCs w:val="24"/>
        </w:rPr>
        <w:t>ind./L，生物量变化范围为</w:t>
      </w:r>
      <w:r>
        <w:rPr>
          <w:rFonts w:ascii="Times New Roman" w:hAnsi="Times New Roman"/>
          <w:kern w:val="0"/>
          <w:sz w:val="24"/>
          <w:szCs w:val="24"/>
          <w:lang w:bidi="ar"/>
        </w:rPr>
        <w:t>0.534~0.739</w:t>
      </w:r>
      <w:r>
        <w:rPr>
          <w:rFonts w:ascii="Times New Roman" w:hAnsi="Times New Roman"/>
          <w:sz w:val="24"/>
          <w:szCs w:val="24"/>
        </w:rPr>
        <w:t>mg/L。</w:t>
      </w:r>
    </w:p>
    <w:p>
      <w:pPr>
        <w:spacing w:line="360" w:lineRule="auto"/>
        <w:ind w:firstLine="482" w:firstLineChars="200"/>
        <w:jc w:val="center"/>
        <w:rPr>
          <w:rFonts w:ascii="Times New Roman" w:hAnsi="Times New Roman"/>
          <w:b/>
          <w:bCs/>
          <w:sz w:val="24"/>
          <w:szCs w:val="24"/>
        </w:rPr>
      </w:pPr>
      <w:bookmarkStart w:id="88" w:name="_Toc28703_WPSOffice_Level3"/>
      <w:bookmarkStart w:id="89" w:name="_Toc23194_WPSOffice_Level3"/>
      <w:bookmarkStart w:id="90" w:name="_Toc512_WPSOffice_Level3"/>
      <w:bookmarkStart w:id="91" w:name="_Toc29892_WPSOffice_Level3"/>
      <w:r>
        <w:rPr>
          <w:rFonts w:ascii="Times New Roman" w:hAnsi="Times New Roman"/>
          <w:b/>
          <w:bCs/>
          <w:sz w:val="24"/>
          <w:szCs w:val="24"/>
        </w:rPr>
        <w:t>表</w:t>
      </w:r>
      <w:r>
        <w:rPr>
          <w:rFonts w:ascii="Times New Roman" w:hAnsi="Times New Roman"/>
          <w:b/>
          <w:sz w:val="24"/>
          <w:szCs w:val="24"/>
        </w:rPr>
        <w:t xml:space="preserve">4.8-6  </w:t>
      </w:r>
      <w:r>
        <w:rPr>
          <w:rFonts w:ascii="Times New Roman" w:hAnsi="Times New Roman"/>
          <w:b/>
          <w:bCs/>
          <w:sz w:val="24"/>
          <w:szCs w:val="24"/>
        </w:rPr>
        <w:t>评价区水体浮游植物密度（×10</w:t>
      </w:r>
      <w:r>
        <w:rPr>
          <w:rFonts w:ascii="Times New Roman" w:hAnsi="Times New Roman"/>
          <w:b/>
          <w:bCs/>
          <w:sz w:val="24"/>
          <w:szCs w:val="24"/>
          <w:vertAlign w:val="superscript"/>
        </w:rPr>
        <w:t>4</w:t>
      </w:r>
      <w:r>
        <w:rPr>
          <w:rFonts w:ascii="Times New Roman" w:hAnsi="Times New Roman"/>
          <w:b/>
          <w:bCs/>
          <w:sz w:val="24"/>
          <w:szCs w:val="24"/>
        </w:rPr>
        <w:t>ind./L）和生物量（mg/L）</w:t>
      </w:r>
      <w:bookmarkEnd w:id="88"/>
      <w:bookmarkEnd w:id="89"/>
      <w:bookmarkEnd w:id="90"/>
      <w:bookmarkEnd w:id="91"/>
    </w:p>
    <w:tbl>
      <w:tblPr>
        <w:tblStyle w:val="71"/>
        <w:tblW w:w="5000" w:type="pct"/>
        <w:jc w:val="center"/>
        <w:tblLayout w:type="autofit"/>
        <w:tblCellMar>
          <w:top w:w="0" w:type="dxa"/>
          <w:left w:w="0" w:type="dxa"/>
          <w:bottom w:w="0" w:type="dxa"/>
          <w:right w:w="0" w:type="dxa"/>
        </w:tblCellMar>
      </w:tblPr>
      <w:tblGrid>
        <w:gridCol w:w="1255"/>
        <w:gridCol w:w="1256"/>
        <w:gridCol w:w="1347"/>
        <w:gridCol w:w="1347"/>
        <w:gridCol w:w="1347"/>
        <w:gridCol w:w="1203"/>
        <w:gridCol w:w="1345"/>
      </w:tblGrid>
      <w:tr>
        <w:tblPrEx>
          <w:tblCellMar>
            <w:top w:w="0" w:type="dxa"/>
            <w:left w:w="0" w:type="dxa"/>
            <w:bottom w:w="0" w:type="dxa"/>
            <w:right w:w="0" w:type="dxa"/>
          </w:tblCellMar>
        </w:tblPrEx>
        <w:trPr>
          <w:trHeight w:val="340" w:hRule="atLeast"/>
          <w:jc w:val="center"/>
        </w:trPr>
        <w:tc>
          <w:tcPr>
            <w:tcW w:w="1380" w:type="pct"/>
            <w:gridSpan w:val="2"/>
            <w:vMerge w:val="restart"/>
            <w:tcBorders>
              <w:top w:val="single" w:color="000000" w:sz="12" w:space="0"/>
              <w:left w:val="single" w:color="000000" w:sz="12"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种类</w:t>
            </w:r>
          </w:p>
        </w:tc>
        <w:tc>
          <w:tcPr>
            <w:tcW w:w="2881" w:type="pct"/>
            <w:gridSpan w:val="4"/>
            <w:tcBorders>
              <w:top w:val="single" w:color="000000" w:sz="12" w:space="0"/>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采样点位</w:t>
            </w:r>
          </w:p>
        </w:tc>
        <w:tc>
          <w:tcPr>
            <w:tcW w:w="739" w:type="pct"/>
            <w:vMerge w:val="restart"/>
            <w:tcBorders>
              <w:top w:val="single" w:color="000000" w:sz="12" w:space="0"/>
              <w:left w:val="single" w:color="000000" w:sz="4" w:space="0"/>
              <w:bottom w:val="single" w:color="000000" w:sz="4" w:space="0"/>
              <w:right w:val="single" w:color="000000" w:sz="12" w:space="0"/>
            </w:tcBorders>
            <w:shd w:val="clear" w:color="auto" w:fill="auto"/>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平均值</w:t>
            </w:r>
          </w:p>
        </w:tc>
      </w:tr>
      <w:tr>
        <w:tblPrEx>
          <w:tblCellMar>
            <w:top w:w="0" w:type="dxa"/>
            <w:left w:w="0" w:type="dxa"/>
            <w:bottom w:w="0" w:type="dxa"/>
            <w:right w:w="0" w:type="dxa"/>
          </w:tblCellMar>
        </w:tblPrEx>
        <w:trPr>
          <w:trHeight w:val="340" w:hRule="atLeast"/>
          <w:jc w:val="center"/>
        </w:trPr>
        <w:tc>
          <w:tcPr>
            <w:tcW w:w="1380" w:type="pct"/>
            <w:gridSpan w:val="2"/>
            <w:vMerge w:val="continue"/>
            <w:tcBorders>
              <w:top w:val="single" w:color="000000" w:sz="4" w:space="0"/>
              <w:left w:val="single" w:color="000000" w:sz="12" w:space="0"/>
              <w:bottom w:val="single" w:color="000000" w:sz="4" w:space="0"/>
              <w:right w:val="single" w:color="000000" w:sz="4" w:space="0"/>
            </w:tcBorders>
            <w:vAlign w:val="center"/>
          </w:tcPr>
          <w:p>
            <w:pPr>
              <w:widowControl/>
              <w:adjustRightInd w:val="0"/>
              <w:snapToGrid w:val="0"/>
              <w:jc w:val="left"/>
              <w:rPr>
                <w:rFonts w:ascii="Times New Roman" w:hAnsi="Times New Roman"/>
                <w:b/>
                <w:bCs/>
                <w:color w:val="000000"/>
                <w:kern w:val="0"/>
              </w:rPr>
            </w:pPr>
          </w:p>
        </w:tc>
        <w:tc>
          <w:tcPr>
            <w:tcW w:w="740"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1</w:t>
            </w:r>
          </w:p>
        </w:tc>
        <w:tc>
          <w:tcPr>
            <w:tcW w:w="740"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2</w:t>
            </w:r>
          </w:p>
        </w:tc>
        <w:tc>
          <w:tcPr>
            <w:tcW w:w="740"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3</w:t>
            </w:r>
          </w:p>
        </w:tc>
        <w:tc>
          <w:tcPr>
            <w:tcW w:w="661" w:type="pct"/>
            <w:tcBorders>
              <w:top w:val="single" w:color="000000" w:sz="4" w:space="0"/>
              <w:left w:val="single" w:color="000000" w:sz="4" w:space="0"/>
              <w:bottom w:val="single" w:color="auto" w:sz="4" w:space="0"/>
              <w:right w:val="single" w:color="000000" w:sz="4" w:space="0"/>
            </w:tcBorders>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4</w:t>
            </w:r>
          </w:p>
        </w:tc>
        <w:tc>
          <w:tcPr>
            <w:tcW w:w="739" w:type="pct"/>
            <w:vMerge w:val="continue"/>
            <w:tcBorders>
              <w:top w:val="single" w:color="000000" w:sz="4" w:space="0"/>
              <w:left w:val="single" w:color="000000" w:sz="4" w:space="0"/>
              <w:bottom w:val="single" w:color="auto" w:sz="4" w:space="0"/>
              <w:right w:val="single" w:color="000000" w:sz="12" w:space="0"/>
            </w:tcBorders>
            <w:vAlign w:val="center"/>
          </w:tcPr>
          <w:p>
            <w:pPr>
              <w:widowControl/>
              <w:adjustRightInd w:val="0"/>
              <w:snapToGrid w:val="0"/>
              <w:jc w:val="left"/>
              <w:rPr>
                <w:rFonts w:ascii="Times New Roman" w:hAnsi="Times New Roman"/>
                <w:b/>
                <w:bCs/>
                <w:color w:val="000000"/>
                <w:kern w:val="0"/>
              </w:rPr>
            </w:pPr>
          </w:p>
        </w:tc>
      </w:tr>
      <w:tr>
        <w:tblPrEx>
          <w:tblCellMar>
            <w:top w:w="0" w:type="dxa"/>
            <w:left w:w="0" w:type="dxa"/>
            <w:bottom w:w="0" w:type="dxa"/>
            <w:right w:w="0" w:type="dxa"/>
          </w:tblCellMar>
        </w:tblPrEx>
        <w:trPr>
          <w:trHeight w:val="340" w:hRule="atLeast"/>
          <w:jc w:val="center"/>
        </w:trPr>
        <w:tc>
          <w:tcPr>
            <w:tcW w:w="690" w:type="pct"/>
            <w:vMerge w:val="restart"/>
            <w:tcBorders>
              <w:top w:val="nil"/>
              <w:left w:val="single" w:color="000000" w:sz="12"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蓝藻门</w:t>
            </w:r>
          </w:p>
        </w:tc>
        <w:tc>
          <w:tcPr>
            <w:tcW w:w="690"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密度</w:t>
            </w:r>
          </w:p>
        </w:tc>
        <w:tc>
          <w:tcPr>
            <w:tcW w:w="740"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33.15</w:t>
            </w:r>
          </w:p>
        </w:tc>
        <w:tc>
          <w:tcPr>
            <w:tcW w:w="740"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30.05</w:t>
            </w:r>
          </w:p>
        </w:tc>
        <w:tc>
          <w:tcPr>
            <w:tcW w:w="740" w:type="pct"/>
            <w:tcBorders>
              <w:top w:val="nil"/>
              <w:left w:val="nil"/>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27.20</w:t>
            </w:r>
          </w:p>
        </w:tc>
        <w:tc>
          <w:tcPr>
            <w:tcW w:w="66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kern w:val="0"/>
              </w:rPr>
            </w:pPr>
            <w:r>
              <w:rPr>
                <w:rFonts w:ascii="Times New Roman" w:hAnsi="Times New Roman"/>
              </w:rPr>
              <w:t>30.55</w:t>
            </w:r>
          </w:p>
        </w:tc>
        <w:tc>
          <w:tcPr>
            <w:tcW w:w="739" w:type="pct"/>
            <w:tcBorders>
              <w:top w:val="single" w:color="auto" w:sz="4" w:space="0"/>
              <w:left w:val="single" w:color="auto" w:sz="4" w:space="0"/>
              <w:bottom w:val="single" w:color="auto" w:sz="4" w:space="0"/>
              <w:right w:val="single" w:color="000000" w:sz="12"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rPr>
              <w:t>30.24</w:t>
            </w:r>
          </w:p>
        </w:tc>
      </w:tr>
      <w:tr>
        <w:tblPrEx>
          <w:tblCellMar>
            <w:top w:w="0" w:type="dxa"/>
            <w:left w:w="0" w:type="dxa"/>
            <w:bottom w:w="0" w:type="dxa"/>
            <w:right w:w="0" w:type="dxa"/>
          </w:tblCellMar>
        </w:tblPrEx>
        <w:trPr>
          <w:trHeight w:val="340" w:hRule="atLeast"/>
          <w:jc w:val="center"/>
        </w:trPr>
        <w:tc>
          <w:tcPr>
            <w:tcW w:w="690" w:type="pct"/>
            <w:vMerge w:val="continue"/>
            <w:tcBorders>
              <w:top w:val="nil"/>
              <w:left w:val="single" w:color="000000" w:sz="12" w:space="0"/>
              <w:bottom w:val="single" w:color="000000" w:sz="4" w:space="0"/>
              <w:right w:val="single" w:color="000000" w:sz="4" w:space="0"/>
            </w:tcBorders>
            <w:vAlign w:val="center"/>
          </w:tcPr>
          <w:p>
            <w:pPr>
              <w:widowControl/>
              <w:adjustRightInd w:val="0"/>
              <w:snapToGrid w:val="0"/>
              <w:jc w:val="left"/>
              <w:rPr>
                <w:rFonts w:ascii="Times New Roman" w:hAnsi="Times New Roman"/>
                <w:b/>
                <w:bCs/>
                <w:color w:val="000000"/>
                <w:kern w:val="0"/>
              </w:rPr>
            </w:pPr>
          </w:p>
        </w:tc>
        <w:tc>
          <w:tcPr>
            <w:tcW w:w="690"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生物量</w:t>
            </w:r>
          </w:p>
        </w:tc>
        <w:tc>
          <w:tcPr>
            <w:tcW w:w="740"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0.476</w:t>
            </w:r>
          </w:p>
        </w:tc>
        <w:tc>
          <w:tcPr>
            <w:tcW w:w="740"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0.406</w:t>
            </w:r>
          </w:p>
        </w:tc>
        <w:tc>
          <w:tcPr>
            <w:tcW w:w="740" w:type="pct"/>
            <w:tcBorders>
              <w:top w:val="nil"/>
              <w:left w:val="nil"/>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0.518</w:t>
            </w:r>
          </w:p>
        </w:tc>
        <w:tc>
          <w:tcPr>
            <w:tcW w:w="66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kern w:val="0"/>
              </w:rPr>
            </w:pPr>
            <w:r>
              <w:rPr>
                <w:rFonts w:ascii="Times New Roman" w:hAnsi="Times New Roman"/>
              </w:rPr>
              <w:t>0.396</w:t>
            </w:r>
          </w:p>
        </w:tc>
        <w:tc>
          <w:tcPr>
            <w:tcW w:w="739" w:type="pct"/>
            <w:tcBorders>
              <w:top w:val="single" w:color="auto" w:sz="4" w:space="0"/>
              <w:left w:val="single" w:color="auto" w:sz="4" w:space="0"/>
              <w:bottom w:val="single" w:color="auto" w:sz="4" w:space="0"/>
              <w:right w:val="single" w:color="000000" w:sz="12"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rPr>
              <w:t>0.449</w:t>
            </w:r>
          </w:p>
        </w:tc>
      </w:tr>
      <w:tr>
        <w:tblPrEx>
          <w:tblCellMar>
            <w:top w:w="0" w:type="dxa"/>
            <w:left w:w="0" w:type="dxa"/>
            <w:bottom w:w="0" w:type="dxa"/>
            <w:right w:w="0" w:type="dxa"/>
          </w:tblCellMar>
        </w:tblPrEx>
        <w:trPr>
          <w:trHeight w:val="340" w:hRule="atLeast"/>
          <w:jc w:val="center"/>
        </w:trPr>
        <w:tc>
          <w:tcPr>
            <w:tcW w:w="690" w:type="pct"/>
            <w:vMerge w:val="restart"/>
            <w:tcBorders>
              <w:top w:val="nil"/>
              <w:left w:val="single" w:color="000000" w:sz="12"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硅藻门</w:t>
            </w:r>
          </w:p>
        </w:tc>
        <w:tc>
          <w:tcPr>
            <w:tcW w:w="690"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密度</w:t>
            </w:r>
          </w:p>
        </w:tc>
        <w:tc>
          <w:tcPr>
            <w:tcW w:w="740"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8.30</w:t>
            </w:r>
          </w:p>
        </w:tc>
        <w:tc>
          <w:tcPr>
            <w:tcW w:w="740"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0.75</w:t>
            </w:r>
          </w:p>
        </w:tc>
        <w:tc>
          <w:tcPr>
            <w:tcW w:w="740" w:type="pct"/>
            <w:tcBorders>
              <w:top w:val="nil"/>
              <w:left w:val="nil"/>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0.45</w:t>
            </w:r>
          </w:p>
        </w:tc>
        <w:tc>
          <w:tcPr>
            <w:tcW w:w="66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kern w:val="0"/>
              </w:rPr>
            </w:pPr>
            <w:r>
              <w:rPr>
                <w:rFonts w:ascii="Times New Roman" w:hAnsi="Times New Roman"/>
              </w:rPr>
              <w:t>38.00</w:t>
            </w:r>
          </w:p>
        </w:tc>
        <w:tc>
          <w:tcPr>
            <w:tcW w:w="739" w:type="pct"/>
            <w:tcBorders>
              <w:top w:val="single" w:color="auto" w:sz="4" w:space="0"/>
              <w:left w:val="single" w:color="auto" w:sz="4" w:space="0"/>
              <w:bottom w:val="single" w:color="auto" w:sz="4" w:space="0"/>
              <w:right w:val="single" w:color="000000" w:sz="12"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rPr>
              <w:t>11.88</w:t>
            </w:r>
          </w:p>
        </w:tc>
      </w:tr>
      <w:tr>
        <w:tblPrEx>
          <w:tblCellMar>
            <w:top w:w="0" w:type="dxa"/>
            <w:left w:w="0" w:type="dxa"/>
            <w:bottom w:w="0" w:type="dxa"/>
            <w:right w:w="0" w:type="dxa"/>
          </w:tblCellMar>
        </w:tblPrEx>
        <w:trPr>
          <w:trHeight w:val="340" w:hRule="atLeast"/>
          <w:jc w:val="center"/>
        </w:trPr>
        <w:tc>
          <w:tcPr>
            <w:tcW w:w="690" w:type="pct"/>
            <w:vMerge w:val="continue"/>
            <w:tcBorders>
              <w:top w:val="nil"/>
              <w:left w:val="single" w:color="000000" w:sz="12" w:space="0"/>
              <w:bottom w:val="single" w:color="000000" w:sz="4" w:space="0"/>
              <w:right w:val="single" w:color="000000" w:sz="4" w:space="0"/>
            </w:tcBorders>
            <w:vAlign w:val="center"/>
          </w:tcPr>
          <w:p>
            <w:pPr>
              <w:widowControl/>
              <w:adjustRightInd w:val="0"/>
              <w:snapToGrid w:val="0"/>
              <w:jc w:val="left"/>
              <w:rPr>
                <w:rFonts w:ascii="Times New Roman" w:hAnsi="Times New Roman"/>
                <w:b/>
                <w:bCs/>
                <w:color w:val="000000"/>
                <w:kern w:val="0"/>
              </w:rPr>
            </w:pPr>
          </w:p>
        </w:tc>
        <w:tc>
          <w:tcPr>
            <w:tcW w:w="690"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生物量</w:t>
            </w:r>
          </w:p>
        </w:tc>
        <w:tc>
          <w:tcPr>
            <w:tcW w:w="740"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0.0105</w:t>
            </w:r>
          </w:p>
        </w:tc>
        <w:tc>
          <w:tcPr>
            <w:tcW w:w="740"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0.0109</w:t>
            </w:r>
          </w:p>
        </w:tc>
        <w:tc>
          <w:tcPr>
            <w:tcW w:w="740" w:type="pct"/>
            <w:tcBorders>
              <w:top w:val="nil"/>
              <w:left w:val="nil"/>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0.0161</w:t>
            </w:r>
          </w:p>
        </w:tc>
        <w:tc>
          <w:tcPr>
            <w:tcW w:w="66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kern w:val="0"/>
              </w:rPr>
            </w:pPr>
            <w:r>
              <w:rPr>
                <w:rFonts w:ascii="Times New Roman" w:hAnsi="Times New Roman"/>
              </w:rPr>
              <w:t>0.1256</w:t>
            </w:r>
          </w:p>
        </w:tc>
        <w:tc>
          <w:tcPr>
            <w:tcW w:w="739" w:type="pct"/>
            <w:tcBorders>
              <w:top w:val="single" w:color="auto" w:sz="4" w:space="0"/>
              <w:left w:val="single" w:color="auto" w:sz="4" w:space="0"/>
              <w:bottom w:val="single" w:color="auto" w:sz="4" w:space="0"/>
              <w:right w:val="single" w:color="000000" w:sz="12"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rPr>
              <w:t>0.0407</w:t>
            </w:r>
          </w:p>
        </w:tc>
      </w:tr>
      <w:tr>
        <w:tblPrEx>
          <w:tblCellMar>
            <w:top w:w="0" w:type="dxa"/>
            <w:left w:w="0" w:type="dxa"/>
            <w:bottom w:w="0" w:type="dxa"/>
            <w:right w:w="0" w:type="dxa"/>
          </w:tblCellMar>
        </w:tblPrEx>
        <w:trPr>
          <w:trHeight w:val="340" w:hRule="atLeast"/>
          <w:jc w:val="center"/>
        </w:trPr>
        <w:tc>
          <w:tcPr>
            <w:tcW w:w="690" w:type="pct"/>
            <w:vMerge w:val="restart"/>
            <w:tcBorders>
              <w:top w:val="nil"/>
              <w:left w:val="single" w:color="000000" w:sz="12"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绿藻门</w:t>
            </w:r>
          </w:p>
        </w:tc>
        <w:tc>
          <w:tcPr>
            <w:tcW w:w="690"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密度</w:t>
            </w:r>
          </w:p>
        </w:tc>
        <w:tc>
          <w:tcPr>
            <w:tcW w:w="740"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17.50</w:t>
            </w:r>
          </w:p>
        </w:tc>
        <w:tc>
          <w:tcPr>
            <w:tcW w:w="740"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11.50</w:t>
            </w:r>
          </w:p>
        </w:tc>
        <w:tc>
          <w:tcPr>
            <w:tcW w:w="740" w:type="pct"/>
            <w:tcBorders>
              <w:top w:val="nil"/>
              <w:left w:val="nil"/>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13.80</w:t>
            </w:r>
          </w:p>
        </w:tc>
        <w:tc>
          <w:tcPr>
            <w:tcW w:w="66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kern w:val="0"/>
              </w:rPr>
            </w:pPr>
            <w:r>
              <w:rPr>
                <w:rFonts w:ascii="Times New Roman" w:hAnsi="Times New Roman"/>
              </w:rPr>
              <w:t>19.40</w:t>
            </w:r>
          </w:p>
        </w:tc>
        <w:tc>
          <w:tcPr>
            <w:tcW w:w="739" w:type="pct"/>
            <w:tcBorders>
              <w:top w:val="single" w:color="auto" w:sz="4" w:space="0"/>
              <w:left w:val="single" w:color="auto" w:sz="4" w:space="0"/>
              <w:bottom w:val="single" w:color="auto" w:sz="4" w:space="0"/>
              <w:right w:val="single" w:color="000000" w:sz="12"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rPr>
              <w:t>15.55</w:t>
            </w:r>
          </w:p>
        </w:tc>
      </w:tr>
      <w:tr>
        <w:tblPrEx>
          <w:tblCellMar>
            <w:top w:w="0" w:type="dxa"/>
            <w:left w:w="0" w:type="dxa"/>
            <w:bottom w:w="0" w:type="dxa"/>
            <w:right w:w="0" w:type="dxa"/>
          </w:tblCellMar>
        </w:tblPrEx>
        <w:trPr>
          <w:trHeight w:val="340" w:hRule="atLeast"/>
          <w:jc w:val="center"/>
        </w:trPr>
        <w:tc>
          <w:tcPr>
            <w:tcW w:w="690" w:type="pct"/>
            <w:vMerge w:val="continue"/>
            <w:tcBorders>
              <w:top w:val="nil"/>
              <w:left w:val="single" w:color="000000" w:sz="12" w:space="0"/>
              <w:bottom w:val="single" w:color="000000" w:sz="4" w:space="0"/>
              <w:right w:val="single" w:color="000000" w:sz="4" w:space="0"/>
            </w:tcBorders>
            <w:vAlign w:val="center"/>
          </w:tcPr>
          <w:p>
            <w:pPr>
              <w:widowControl/>
              <w:adjustRightInd w:val="0"/>
              <w:snapToGrid w:val="0"/>
              <w:jc w:val="left"/>
              <w:rPr>
                <w:rFonts w:ascii="Times New Roman" w:hAnsi="Times New Roman"/>
                <w:b/>
                <w:bCs/>
                <w:color w:val="000000"/>
                <w:kern w:val="0"/>
              </w:rPr>
            </w:pPr>
          </w:p>
        </w:tc>
        <w:tc>
          <w:tcPr>
            <w:tcW w:w="690"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生物量</w:t>
            </w:r>
          </w:p>
        </w:tc>
        <w:tc>
          <w:tcPr>
            <w:tcW w:w="740"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0.096</w:t>
            </w:r>
          </w:p>
        </w:tc>
        <w:tc>
          <w:tcPr>
            <w:tcW w:w="740"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0.066</w:t>
            </w:r>
          </w:p>
        </w:tc>
        <w:tc>
          <w:tcPr>
            <w:tcW w:w="740" w:type="pct"/>
            <w:tcBorders>
              <w:top w:val="nil"/>
              <w:left w:val="nil"/>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0.066</w:t>
            </w:r>
          </w:p>
        </w:tc>
        <w:tc>
          <w:tcPr>
            <w:tcW w:w="66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kern w:val="0"/>
              </w:rPr>
            </w:pPr>
            <w:r>
              <w:rPr>
                <w:rFonts w:ascii="Times New Roman" w:hAnsi="Times New Roman"/>
              </w:rPr>
              <w:t>0.164</w:t>
            </w:r>
          </w:p>
        </w:tc>
        <w:tc>
          <w:tcPr>
            <w:tcW w:w="739" w:type="pct"/>
            <w:tcBorders>
              <w:top w:val="single" w:color="auto" w:sz="4" w:space="0"/>
              <w:left w:val="single" w:color="auto" w:sz="4" w:space="0"/>
              <w:bottom w:val="single" w:color="auto" w:sz="4" w:space="0"/>
              <w:right w:val="single" w:color="000000" w:sz="12"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rPr>
              <w:t>0.098</w:t>
            </w:r>
          </w:p>
        </w:tc>
      </w:tr>
      <w:tr>
        <w:tblPrEx>
          <w:tblCellMar>
            <w:top w:w="0" w:type="dxa"/>
            <w:left w:w="0" w:type="dxa"/>
            <w:bottom w:w="0" w:type="dxa"/>
            <w:right w:w="0" w:type="dxa"/>
          </w:tblCellMar>
        </w:tblPrEx>
        <w:trPr>
          <w:trHeight w:val="340" w:hRule="atLeast"/>
          <w:jc w:val="center"/>
        </w:trPr>
        <w:tc>
          <w:tcPr>
            <w:tcW w:w="690" w:type="pct"/>
            <w:vMerge w:val="restart"/>
            <w:tcBorders>
              <w:top w:val="nil"/>
              <w:left w:val="single" w:color="000000" w:sz="12"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其他门</w:t>
            </w:r>
          </w:p>
        </w:tc>
        <w:tc>
          <w:tcPr>
            <w:tcW w:w="690"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密度</w:t>
            </w:r>
          </w:p>
        </w:tc>
        <w:tc>
          <w:tcPr>
            <w:tcW w:w="740"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0.30</w:t>
            </w:r>
          </w:p>
        </w:tc>
        <w:tc>
          <w:tcPr>
            <w:tcW w:w="740"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0.15</w:t>
            </w:r>
          </w:p>
        </w:tc>
        <w:tc>
          <w:tcPr>
            <w:tcW w:w="740" w:type="pct"/>
            <w:tcBorders>
              <w:top w:val="nil"/>
              <w:left w:val="nil"/>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0.20</w:t>
            </w:r>
          </w:p>
        </w:tc>
        <w:tc>
          <w:tcPr>
            <w:tcW w:w="66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kern w:val="0"/>
              </w:rPr>
            </w:pPr>
            <w:r>
              <w:rPr>
                <w:rFonts w:ascii="Times New Roman" w:hAnsi="Times New Roman"/>
              </w:rPr>
              <w:t>0.22</w:t>
            </w:r>
          </w:p>
        </w:tc>
        <w:tc>
          <w:tcPr>
            <w:tcW w:w="739" w:type="pct"/>
            <w:tcBorders>
              <w:top w:val="single" w:color="auto" w:sz="4" w:space="0"/>
              <w:left w:val="single" w:color="auto" w:sz="4" w:space="0"/>
              <w:bottom w:val="single" w:color="auto" w:sz="4" w:space="0"/>
              <w:right w:val="single" w:color="000000" w:sz="12"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rPr>
              <w:t>0.22</w:t>
            </w:r>
          </w:p>
        </w:tc>
      </w:tr>
      <w:tr>
        <w:tblPrEx>
          <w:tblCellMar>
            <w:top w:w="0" w:type="dxa"/>
            <w:left w:w="0" w:type="dxa"/>
            <w:bottom w:w="0" w:type="dxa"/>
            <w:right w:w="0" w:type="dxa"/>
          </w:tblCellMar>
        </w:tblPrEx>
        <w:trPr>
          <w:trHeight w:val="340" w:hRule="atLeast"/>
          <w:jc w:val="center"/>
        </w:trPr>
        <w:tc>
          <w:tcPr>
            <w:tcW w:w="690" w:type="pct"/>
            <w:vMerge w:val="continue"/>
            <w:tcBorders>
              <w:top w:val="nil"/>
              <w:left w:val="single" w:color="000000" w:sz="12" w:space="0"/>
              <w:bottom w:val="single" w:color="000000" w:sz="4" w:space="0"/>
              <w:right w:val="single" w:color="000000" w:sz="4" w:space="0"/>
            </w:tcBorders>
            <w:vAlign w:val="center"/>
          </w:tcPr>
          <w:p>
            <w:pPr>
              <w:widowControl/>
              <w:adjustRightInd w:val="0"/>
              <w:snapToGrid w:val="0"/>
              <w:jc w:val="left"/>
              <w:rPr>
                <w:rFonts w:ascii="Times New Roman" w:hAnsi="Times New Roman"/>
                <w:b/>
                <w:bCs/>
                <w:color w:val="000000"/>
                <w:kern w:val="0"/>
              </w:rPr>
            </w:pPr>
          </w:p>
        </w:tc>
        <w:tc>
          <w:tcPr>
            <w:tcW w:w="690"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生物量</w:t>
            </w:r>
          </w:p>
        </w:tc>
        <w:tc>
          <w:tcPr>
            <w:tcW w:w="740"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0.057</w:t>
            </w:r>
          </w:p>
        </w:tc>
        <w:tc>
          <w:tcPr>
            <w:tcW w:w="740"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0.051</w:t>
            </w:r>
          </w:p>
        </w:tc>
        <w:tc>
          <w:tcPr>
            <w:tcW w:w="740" w:type="pct"/>
            <w:tcBorders>
              <w:top w:val="nil"/>
              <w:left w:val="nil"/>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0.100</w:t>
            </w:r>
          </w:p>
        </w:tc>
        <w:tc>
          <w:tcPr>
            <w:tcW w:w="66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kern w:val="0"/>
              </w:rPr>
            </w:pPr>
            <w:r>
              <w:rPr>
                <w:rFonts w:ascii="Times New Roman" w:hAnsi="Times New Roman"/>
              </w:rPr>
              <w:t>0.053</w:t>
            </w:r>
          </w:p>
        </w:tc>
        <w:tc>
          <w:tcPr>
            <w:tcW w:w="739" w:type="pct"/>
            <w:tcBorders>
              <w:top w:val="single" w:color="auto" w:sz="4" w:space="0"/>
              <w:left w:val="single" w:color="auto" w:sz="4" w:space="0"/>
              <w:bottom w:val="single" w:color="auto" w:sz="4" w:space="0"/>
              <w:right w:val="single" w:color="000000" w:sz="12"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bCs/>
              </w:rPr>
              <w:t>0.065</w:t>
            </w:r>
          </w:p>
        </w:tc>
      </w:tr>
      <w:tr>
        <w:tblPrEx>
          <w:tblCellMar>
            <w:top w:w="0" w:type="dxa"/>
            <w:left w:w="0" w:type="dxa"/>
            <w:bottom w:w="0" w:type="dxa"/>
            <w:right w:w="0" w:type="dxa"/>
          </w:tblCellMar>
        </w:tblPrEx>
        <w:trPr>
          <w:trHeight w:val="340" w:hRule="atLeast"/>
          <w:jc w:val="center"/>
        </w:trPr>
        <w:tc>
          <w:tcPr>
            <w:tcW w:w="690" w:type="pct"/>
            <w:vMerge w:val="restart"/>
            <w:tcBorders>
              <w:top w:val="nil"/>
              <w:left w:val="single" w:color="000000" w:sz="12"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合计</w:t>
            </w:r>
          </w:p>
        </w:tc>
        <w:tc>
          <w:tcPr>
            <w:tcW w:w="690"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密度</w:t>
            </w:r>
          </w:p>
        </w:tc>
        <w:tc>
          <w:tcPr>
            <w:tcW w:w="740"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59.25</w:t>
            </w:r>
          </w:p>
        </w:tc>
        <w:tc>
          <w:tcPr>
            <w:tcW w:w="740"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42.45</w:t>
            </w:r>
          </w:p>
        </w:tc>
        <w:tc>
          <w:tcPr>
            <w:tcW w:w="740" w:type="pct"/>
            <w:tcBorders>
              <w:top w:val="nil"/>
              <w:left w:val="nil"/>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41.65</w:t>
            </w:r>
          </w:p>
        </w:tc>
        <w:tc>
          <w:tcPr>
            <w:tcW w:w="66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kern w:val="0"/>
              </w:rPr>
            </w:pPr>
            <w:r>
              <w:rPr>
                <w:rFonts w:ascii="Times New Roman" w:hAnsi="Times New Roman"/>
              </w:rPr>
              <w:t>88.17</w:t>
            </w:r>
          </w:p>
        </w:tc>
        <w:tc>
          <w:tcPr>
            <w:tcW w:w="739" w:type="pct"/>
            <w:tcBorders>
              <w:top w:val="single" w:color="auto" w:sz="4" w:space="0"/>
              <w:left w:val="single" w:color="auto" w:sz="4" w:space="0"/>
              <w:bottom w:val="single" w:color="auto" w:sz="4" w:space="0"/>
              <w:right w:val="single" w:color="000000" w:sz="12"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rPr>
              <w:t>57.88</w:t>
            </w:r>
          </w:p>
        </w:tc>
      </w:tr>
      <w:tr>
        <w:tblPrEx>
          <w:tblCellMar>
            <w:top w:w="0" w:type="dxa"/>
            <w:left w:w="0" w:type="dxa"/>
            <w:bottom w:w="0" w:type="dxa"/>
            <w:right w:w="0" w:type="dxa"/>
          </w:tblCellMar>
        </w:tblPrEx>
        <w:trPr>
          <w:trHeight w:val="340" w:hRule="atLeast"/>
          <w:jc w:val="center"/>
        </w:trPr>
        <w:tc>
          <w:tcPr>
            <w:tcW w:w="690" w:type="pct"/>
            <w:vMerge w:val="continue"/>
            <w:tcBorders>
              <w:top w:val="nil"/>
              <w:left w:val="single" w:color="000000" w:sz="12" w:space="0"/>
              <w:bottom w:val="single" w:color="000000" w:sz="12" w:space="0"/>
              <w:right w:val="single" w:color="000000" w:sz="4" w:space="0"/>
            </w:tcBorders>
            <w:vAlign w:val="center"/>
          </w:tcPr>
          <w:p>
            <w:pPr>
              <w:widowControl/>
              <w:adjustRightInd w:val="0"/>
              <w:snapToGrid w:val="0"/>
              <w:jc w:val="left"/>
              <w:rPr>
                <w:rFonts w:ascii="Times New Roman" w:hAnsi="Times New Roman"/>
                <w:b/>
                <w:bCs/>
                <w:color w:val="000000"/>
                <w:kern w:val="0"/>
              </w:rPr>
            </w:pPr>
          </w:p>
        </w:tc>
        <w:tc>
          <w:tcPr>
            <w:tcW w:w="690" w:type="pct"/>
            <w:tcBorders>
              <w:top w:val="nil"/>
              <w:left w:val="nil"/>
              <w:bottom w:val="single" w:color="000000" w:sz="12"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生物量</w:t>
            </w:r>
          </w:p>
        </w:tc>
        <w:tc>
          <w:tcPr>
            <w:tcW w:w="740" w:type="pct"/>
            <w:tcBorders>
              <w:top w:val="nil"/>
              <w:left w:val="nil"/>
              <w:bottom w:val="single" w:color="000000" w:sz="12"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0.640</w:t>
            </w:r>
          </w:p>
        </w:tc>
        <w:tc>
          <w:tcPr>
            <w:tcW w:w="740" w:type="pct"/>
            <w:tcBorders>
              <w:top w:val="nil"/>
              <w:left w:val="nil"/>
              <w:bottom w:val="single" w:color="000000" w:sz="12"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0.534</w:t>
            </w:r>
          </w:p>
        </w:tc>
        <w:tc>
          <w:tcPr>
            <w:tcW w:w="740" w:type="pct"/>
            <w:tcBorders>
              <w:top w:val="nil"/>
              <w:left w:val="nil"/>
              <w:bottom w:val="single" w:color="000000" w:sz="12" w:space="0"/>
              <w:right w:val="single" w:color="auto"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0.700</w:t>
            </w:r>
          </w:p>
        </w:tc>
        <w:tc>
          <w:tcPr>
            <w:tcW w:w="661" w:type="pct"/>
            <w:tcBorders>
              <w:top w:val="single" w:color="auto" w:sz="4" w:space="0"/>
              <w:left w:val="single" w:color="auto" w:sz="4" w:space="0"/>
              <w:bottom w:val="single" w:color="000000" w:sz="12" w:space="0"/>
              <w:right w:val="single" w:color="auto" w:sz="4" w:space="0"/>
            </w:tcBorders>
            <w:vAlign w:val="center"/>
          </w:tcPr>
          <w:p>
            <w:pPr>
              <w:widowControl/>
              <w:adjustRightInd w:val="0"/>
              <w:snapToGrid w:val="0"/>
              <w:jc w:val="center"/>
              <w:rPr>
                <w:rFonts w:ascii="Times New Roman" w:hAnsi="Times New Roman"/>
                <w:kern w:val="0"/>
              </w:rPr>
            </w:pPr>
            <w:r>
              <w:rPr>
                <w:rFonts w:ascii="Times New Roman" w:hAnsi="Times New Roman"/>
              </w:rPr>
              <w:t>0.739</w:t>
            </w:r>
          </w:p>
        </w:tc>
        <w:tc>
          <w:tcPr>
            <w:tcW w:w="739" w:type="pct"/>
            <w:tcBorders>
              <w:top w:val="single" w:color="auto" w:sz="4" w:space="0"/>
              <w:left w:val="single" w:color="auto" w:sz="4" w:space="0"/>
              <w:bottom w:val="single" w:color="000000" w:sz="12" w:space="0"/>
              <w:right w:val="single" w:color="000000" w:sz="12"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rPr>
              <w:t>0.653</w:t>
            </w:r>
          </w:p>
        </w:tc>
      </w:tr>
    </w:tbl>
    <w:p>
      <w:pPr>
        <w:adjustRightInd w:val="0"/>
        <w:snapToGrid w:val="0"/>
        <w:spacing w:line="360" w:lineRule="auto"/>
        <w:ind w:firstLine="480" w:firstLineChars="200"/>
        <w:rPr>
          <w:rStyle w:val="648"/>
          <w:rFonts w:hint="default" w:ascii="Times New Roman" w:hAnsi="Times New Roman" w:cs="Times New Roman"/>
          <w:sz w:val="24"/>
          <w:szCs w:val="24"/>
          <w:lang w:bidi="ar"/>
        </w:rPr>
      </w:pPr>
    </w:p>
    <w:p>
      <w:pPr>
        <w:pStyle w:val="5"/>
      </w:pPr>
      <w:r>
        <w:t>浮游动物</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rPr>
        <w:t>⑴</w:t>
      </w:r>
      <w:r>
        <w:rPr>
          <w:rFonts w:ascii="Times New Roman" w:hAnsi="Times New Roman"/>
          <w:sz w:val="24"/>
          <w:szCs w:val="24"/>
        </w:rPr>
        <w:t xml:space="preserve"> 种类组成</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4个采样点位共检出浮游动物65种（属）。其中原生动物26种，占40.00%；轮虫19种，占浮游动物种类的29.23%；桡足类11种，占16.92%；枝角类9种，占13.85%，详见表4.8-7。各采样点位，浮游动物常见种类有砂壳虫（Difflugia sp.）、旋回侠盗虫（Strobilidium gyrans）、曲腿龟甲轮虫（Keratella valga）、针簇多肢轮虫（Polyarthra trigla）、前节晶囊轮虫（Asplanchna priodonta）、长额象鼻溞（Bosmina longirostris）、汤匙华哲水蚤 （Sinocalanus dorrii）、台湾温剑水蚤（Thermocyclops taihokuensis）等。</w:t>
      </w:r>
    </w:p>
    <w:p>
      <w:pPr>
        <w:adjustRightInd w:val="0"/>
        <w:snapToGrid w:val="0"/>
        <w:spacing w:line="276" w:lineRule="auto"/>
        <w:jc w:val="center"/>
        <w:rPr>
          <w:rFonts w:ascii="Times New Roman" w:hAnsi="Times New Roman"/>
          <w:b/>
          <w:sz w:val="24"/>
          <w:szCs w:val="24"/>
        </w:rPr>
      </w:pPr>
      <w:bookmarkStart w:id="92" w:name="_Toc28432_WPSOffice_Level3"/>
      <w:bookmarkStart w:id="93" w:name="_Toc26787_WPSOffice_Level3"/>
      <w:bookmarkStart w:id="94" w:name="_Toc1716_WPSOffice_Level3"/>
      <w:bookmarkStart w:id="95" w:name="_Toc2889_WPSOffice_Level3"/>
      <w:r>
        <w:rPr>
          <w:rFonts w:ascii="Times New Roman" w:hAnsi="Times New Roman"/>
          <w:b/>
          <w:sz w:val="24"/>
          <w:szCs w:val="24"/>
        </w:rPr>
        <w:t>表4.8-7  浮游动物各门种类数及所占比例</w:t>
      </w:r>
      <w:bookmarkEnd w:id="92"/>
      <w:bookmarkEnd w:id="93"/>
      <w:bookmarkEnd w:id="94"/>
      <w:bookmarkEnd w:id="95"/>
    </w:p>
    <w:tbl>
      <w:tblPr>
        <w:tblStyle w:val="71"/>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645"/>
        <w:gridCol w:w="1616"/>
        <w:gridCol w:w="1506"/>
        <w:gridCol w:w="1506"/>
        <w:gridCol w:w="1506"/>
        <w:gridCol w:w="150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86" w:type="pct"/>
            <w:shd w:val="clear" w:color="auto" w:fill="auto"/>
            <w:vAlign w:val="center"/>
          </w:tcPr>
          <w:p>
            <w:pPr>
              <w:adjustRightInd w:val="0"/>
              <w:snapToGrid w:val="0"/>
              <w:jc w:val="center"/>
              <w:rPr>
                <w:rFonts w:ascii="Times New Roman" w:hAnsi="Times New Roman"/>
                <w:b/>
                <w:bCs/>
                <w:color w:val="000000"/>
              </w:rPr>
            </w:pPr>
            <w:r>
              <w:rPr>
                <w:rFonts w:ascii="Times New Roman" w:hAnsi="Times New Roman"/>
                <w:b/>
                <w:bCs/>
                <w:color w:val="000000"/>
              </w:rPr>
              <w:t>类别</w:t>
            </w:r>
          </w:p>
        </w:tc>
        <w:tc>
          <w:tcPr>
            <w:tcW w:w="870" w:type="pct"/>
            <w:shd w:val="clear" w:color="auto" w:fill="auto"/>
            <w:vAlign w:val="center"/>
          </w:tcPr>
          <w:p>
            <w:pPr>
              <w:adjustRightInd w:val="0"/>
              <w:snapToGrid w:val="0"/>
              <w:jc w:val="center"/>
              <w:rPr>
                <w:rFonts w:ascii="Times New Roman" w:hAnsi="Times New Roman"/>
                <w:b/>
                <w:bCs/>
                <w:color w:val="000000"/>
              </w:rPr>
            </w:pPr>
            <w:r>
              <w:rPr>
                <w:rFonts w:ascii="Times New Roman" w:hAnsi="Times New Roman"/>
                <w:b/>
                <w:bCs/>
                <w:color w:val="000000"/>
              </w:rPr>
              <w:t>原生动物</w:t>
            </w:r>
          </w:p>
        </w:tc>
        <w:tc>
          <w:tcPr>
            <w:tcW w:w="811" w:type="pct"/>
            <w:shd w:val="clear" w:color="auto" w:fill="auto"/>
            <w:vAlign w:val="center"/>
          </w:tcPr>
          <w:p>
            <w:pPr>
              <w:adjustRightInd w:val="0"/>
              <w:snapToGrid w:val="0"/>
              <w:jc w:val="center"/>
              <w:rPr>
                <w:rFonts w:ascii="Times New Roman" w:hAnsi="Times New Roman"/>
                <w:b/>
                <w:bCs/>
                <w:color w:val="000000"/>
              </w:rPr>
            </w:pPr>
            <w:r>
              <w:rPr>
                <w:rFonts w:ascii="Times New Roman" w:hAnsi="Times New Roman"/>
                <w:b/>
                <w:bCs/>
                <w:color w:val="000000"/>
              </w:rPr>
              <w:t>轮虫</w:t>
            </w:r>
          </w:p>
        </w:tc>
        <w:tc>
          <w:tcPr>
            <w:tcW w:w="811" w:type="pct"/>
            <w:shd w:val="clear" w:color="auto" w:fill="auto"/>
            <w:vAlign w:val="center"/>
          </w:tcPr>
          <w:p>
            <w:pPr>
              <w:adjustRightInd w:val="0"/>
              <w:snapToGrid w:val="0"/>
              <w:jc w:val="center"/>
              <w:rPr>
                <w:rFonts w:ascii="Times New Roman" w:hAnsi="Times New Roman"/>
                <w:b/>
                <w:bCs/>
                <w:color w:val="000000"/>
              </w:rPr>
            </w:pPr>
            <w:r>
              <w:rPr>
                <w:rFonts w:ascii="Times New Roman" w:hAnsi="Times New Roman"/>
                <w:b/>
                <w:bCs/>
                <w:color w:val="000000"/>
              </w:rPr>
              <w:t>枝角类</w:t>
            </w:r>
          </w:p>
        </w:tc>
        <w:tc>
          <w:tcPr>
            <w:tcW w:w="811" w:type="pct"/>
            <w:shd w:val="clear" w:color="auto" w:fill="auto"/>
            <w:vAlign w:val="center"/>
          </w:tcPr>
          <w:p>
            <w:pPr>
              <w:adjustRightInd w:val="0"/>
              <w:snapToGrid w:val="0"/>
              <w:jc w:val="center"/>
              <w:rPr>
                <w:rFonts w:ascii="Times New Roman" w:hAnsi="Times New Roman"/>
                <w:b/>
                <w:bCs/>
                <w:color w:val="000000"/>
              </w:rPr>
            </w:pPr>
            <w:r>
              <w:rPr>
                <w:rFonts w:ascii="Times New Roman" w:hAnsi="Times New Roman"/>
                <w:b/>
                <w:bCs/>
                <w:color w:val="000000"/>
              </w:rPr>
              <w:t>桡足类</w:t>
            </w:r>
          </w:p>
        </w:tc>
        <w:tc>
          <w:tcPr>
            <w:tcW w:w="811" w:type="pct"/>
            <w:shd w:val="clear" w:color="auto" w:fill="auto"/>
            <w:vAlign w:val="center"/>
          </w:tcPr>
          <w:p>
            <w:pPr>
              <w:adjustRightInd w:val="0"/>
              <w:snapToGrid w:val="0"/>
              <w:jc w:val="center"/>
              <w:rPr>
                <w:rFonts w:ascii="Times New Roman" w:hAnsi="Times New Roman"/>
                <w:b/>
                <w:bCs/>
                <w:color w:val="000000"/>
              </w:rPr>
            </w:pPr>
            <w:r>
              <w:rPr>
                <w:rFonts w:ascii="Times New Roman" w:hAnsi="Times New Roman"/>
                <w:b/>
                <w:bCs/>
                <w:color w:val="000000"/>
              </w:rPr>
              <w:t>合计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86" w:type="pct"/>
            <w:shd w:val="clear" w:color="auto" w:fill="auto"/>
            <w:vAlign w:val="center"/>
          </w:tcPr>
          <w:p>
            <w:pPr>
              <w:adjustRightInd w:val="0"/>
              <w:snapToGrid w:val="0"/>
              <w:jc w:val="center"/>
              <w:rPr>
                <w:rFonts w:ascii="Times New Roman" w:hAnsi="Times New Roman"/>
                <w:color w:val="000000"/>
              </w:rPr>
            </w:pPr>
            <w:r>
              <w:rPr>
                <w:rFonts w:ascii="Times New Roman" w:hAnsi="Times New Roman"/>
                <w:color w:val="000000"/>
              </w:rPr>
              <w:t>种类数</w:t>
            </w:r>
          </w:p>
        </w:tc>
        <w:tc>
          <w:tcPr>
            <w:tcW w:w="870" w:type="pct"/>
            <w:shd w:val="clear" w:color="auto" w:fill="auto"/>
            <w:vAlign w:val="center"/>
          </w:tcPr>
          <w:p>
            <w:pPr>
              <w:adjustRightInd w:val="0"/>
              <w:snapToGrid w:val="0"/>
              <w:jc w:val="center"/>
              <w:rPr>
                <w:rFonts w:ascii="Times New Roman" w:hAnsi="Times New Roman"/>
                <w:color w:val="000000"/>
              </w:rPr>
            </w:pPr>
            <w:r>
              <w:rPr>
                <w:rFonts w:ascii="Times New Roman" w:hAnsi="Times New Roman"/>
                <w:color w:val="000000"/>
              </w:rPr>
              <w:t>26</w:t>
            </w:r>
          </w:p>
        </w:tc>
        <w:tc>
          <w:tcPr>
            <w:tcW w:w="811" w:type="pct"/>
            <w:shd w:val="clear" w:color="auto" w:fill="auto"/>
            <w:vAlign w:val="center"/>
          </w:tcPr>
          <w:p>
            <w:pPr>
              <w:adjustRightInd w:val="0"/>
              <w:snapToGrid w:val="0"/>
              <w:jc w:val="center"/>
              <w:rPr>
                <w:rFonts w:ascii="Times New Roman" w:hAnsi="Times New Roman"/>
                <w:color w:val="000000"/>
              </w:rPr>
            </w:pPr>
            <w:r>
              <w:rPr>
                <w:rFonts w:ascii="Times New Roman" w:hAnsi="Times New Roman"/>
                <w:color w:val="000000"/>
              </w:rPr>
              <w:t>19</w:t>
            </w:r>
          </w:p>
        </w:tc>
        <w:tc>
          <w:tcPr>
            <w:tcW w:w="811" w:type="pct"/>
            <w:shd w:val="clear" w:color="auto" w:fill="auto"/>
            <w:vAlign w:val="center"/>
          </w:tcPr>
          <w:p>
            <w:pPr>
              <w:adjustRightInd w:val="0"/>
              <w:snapToGrid w:val="0"/>
              <w:jc w:val="center"/>
              <w:rPr>
                <w:rFonts w:ascii="Times New Roman" w:hAnsi="Times New Roman"/>
                <w:color w:val="000000"/>
              </w:rPr>
            </w:pPr>
            <w:r>
              <w:rPr>
                <w:rFonts w:ascii="Times New Roman" w:hAnsi="Times New Roman"/>
                <w:color w:val="000000"/>
              </w:rPr>
              <w:t>9</w:t>
            </w:r>
          </w:p>
        </w:tc>
        <w:tc>
          <w:tcPr>
            <w:tcW w:w="811" w:type="pct"/>
            <w:shd w:val="clear" w:color="auto" w:fill="auto"/>
            <w:vAlign w:val="center"/>
          </w:tcPr>
          <w:p>
            <w:pPr>
              <w:adjustRightInd w:val="0"/>
              <w:snapToGrid w:val="0"/>
              <w:jc w:val="center"/>
              <w:rPr>
                <w:rFonts w:ascii="Times New Roman" w:hAnsi="Times New Roman"/>
                <w:color w:val="000000"/>
              </w:rPr>
            </w:pPr>
            <w:r>
              <w:rPr>
                <w:rFonts w:ascii="Times New Roman" w:hAnsi="Times New Roman"/>
                <w:color w:val="000000"/>
              </w:rPr>
              <w:t>11</w:t>
            </w:r>
          </w:p>
        </w:tc>
        <w:tc>
          <w:tcPr>
            <w:tcW w:w="811" w:type="pct"/>
            <w:shd w:val="clear" w:color="auto" w:fill="auto"/>
            <w:vAlign w:val="center"/>
          </w:tcPr>
          <w:p>
            <w:pPr>
              <w:adjustRightInd w:val="0"/>
              <w:snapToGrid w:val="0"/>
              <w:jc w:val="center"/>
              <w:rPr>
                <w:rFonts w:ascii="Times New Roman" w:hAnsi="Times New Roman"/>
                <w:color w:val="000000"/>
              </w:rPr>
            </w:pPr>
            <w:r>
              <w:rPr>
                <w:rFonts w:ascii="Times New Roman" w:hAnsi="Times New Roman"/>
                <w:color w:val="000000"/>
              </w:rPr>
              <w:t>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86" w:type="pct"/>
            <w:shd w:val="clear" w:color="auto" w:fill="auto"/>
            <w:vAlign w:val="center"/>
          </w:tcPr>
          <w:p>
            <w:pPr>
              <w:adjustRightInd w:val="0"/>
              <w:snapToGrid w:val="0"/>
              <w:jc w:val="center"/>
              <w:rPr>
                <w:rFonts w:ascii="Times New Roman" w:hAnsi="Times New Roman"/>
                <w:color w:val="000000"/>
              </w:rPr>
            </w:pPr>
            <w:r>
              <w:rPr>
                <w:rFonts w:ascii="Times New Roman" w:hAnsi="Times New Roman"/>
                <w:color w:val="000000"/>
              </w:rPr>
              <w:t>百分比（%）</w:t>
            </w:r>
          </w:p>
        </w:tc>
        <w:tc>
          <w:tcPr>
            <w:tcW w:w="870" w:type="pct"/>
            <w:shd w:val="clear" w:color="auto" w:fill="auto"/>
            <w:vAlign w:val="center"/>
          </w:tcPr>
          <w:p>
            <w:pPr>
              <w:adjustRightInd w:val="0"/>
              <w:snapToGrid w:val="0"/>
              <w:jc w:val="center"/>
              <w:rPr>
                <w:rFonts w:ascii="Times New Roman" w:hAnsi="Times New Roman"/>
                <w:color w:val="000000"/>
              </w:rPr>
            </w:pPr>
            <w:r>
              <w:rPr>
                <w:rFonts w:ascii="Times New Roman" w:hAnsi="Times New Roman"/>
                <w:color w:val="000000"/>
              </w:rPr>
              <w:t>40.00</w:t>
            </w:r>
          </w:p>
        </w:tc>
        <w:tc>
          <w:tcPr>
            <w:tcW w:w="811" w:type="pct"/>
            <w:shd w:val="clear" w:color="auto" w:fill="auto"/>
            <w:vAlign w:val="center"/>
          </w:tcPr>
          <w:p>
            <w:pPr>
              <w:adjustRightInd w:val="0"/>
              <w:snapToGrid w:val="0"/>
              <w:jc w:val="center"/>
              <w:rPr>
                <w:rFonts w:ascii="Times New Roman" w:hAnsi="Times New Roman"/>
                <w:color w:val="000000"/>
              </w:rPr>
            </w:pPr>
            <w:r>
              <w:rPr>
                <w:rFonts w:ascii="Times New Roman" w:hAnsi="Times New Roman"/>
                <w:color w:val="000000"/>
              </w:rPr>
              <w:t>29.23</w:t>
            </w:r>
          </w:p>
        </w:tc>
        <w:tc>
          <w:tcPr>
            <w:tcW w:w="811" w:type="pct"/>
            <w:shd w:val="clear" w:color="auto" w:fill="auto"/>
            <w:vAlign w:val="center"/>
          </w:tcPr>
          <w:p>
            <w:pPr>
              <w:adjustRightInd w:val="0"/>
              <w:snapToGrid w:val="0"/>
              <w:jc w:val="center"/>
              <w:rPr>
                <w:rFonts w:ascii="Times New Roman" w:hAnsi="Times New Roman"/>
                <w:color w:val="000000"/>
              </w:rPr>
            </w:pPr>
            <w:r>
              <w:rPr>
                <w:rFonts w:ascii="Times New Roman" w:hAnsi="Times New Roman"/>
                <w:color w:val="000000"/>
              </w:rPr>
              <w:t>13.85</w:t>
            </w:r>
          </w:p>
        </w:tc>
        <w:tc>
          <w:tcPr>
            <w:tcW w:w="811" w:type="pct"/>
            <w:shd w:val="clear" w:color="auto" w:fill="auto"/>
            <w:vAlign w:val="center"/>
          </w:tcPr>
          <w:p>
            <w:pPr>
              <w:adjustRightInd w:val="0"/>
              <w:snapToGrid w:val="0"/>
              <w:jc w:val="center"/>
              <w:rPr>
                <w:rFonts w:ascii="Times New Roman" w:hAnsi="Times New Roman"/>
                <w:color w:val="000000"/>
              </w:rPr>
            </w:pPr>
            <w:r>
              <w:rPr>
                <w:rFonts w:ascii="Times New Roman" w:hAnsi="Times New Roman"/>
                <w:color w:val="000000"/>
              </w:rPr>
              <w:t>16.92</w:t>
            </w:r>
          </w:p>
        </w:tc>
        <w:tc>
          <w:tcPr>
            <w:tcW w:w="811" w:type="pct"/>
            <w:shd w:val="clear" w:color="auto" w:fill="auto"/>
            <w:vAlign w:val="center"/>
          </w:tcPr>
          <w:p>
            <w:pPr>
              <w:adjustRightInd w:val="0"/>
              <w:snapToGrid w:val="0"/>
              <w:jc w:val="center"/>
              <w:rPr>
                <w:rFonts w:ascii="Times New Roman" w:hAnsi="Times New Roman"/>
                <w:color w:val="000000"/>
              </w:rPr>
            </w:pPr>
            <w:r>
              <w:rPr>
                <w:rFonts w:ascii="Times New Roman" w:hAnsi="Times New Roman"/>
                <w:color w:val="000000"/>
              </w:rPr>
              <w:t>100</w:t>
            </w:r>
          </w:p>
        </w:tc>
      </w:tr>
    </w:tbl>
    <w:p>
      <w:pPr>
        <w:adjustRightInd w:val="0"/>
        <w:snapToGrid w:val="0"/>
        <w:spacing w:line="360" w:lineRule="auto"/>
        <w:ind w:firstLine="480" w:firstLineChars="200"/>
        <w:rPr>
          <w:rFonts w:ascii="Times New Roman" w:hAnsi="Times New Roman"/>
          <w:sz w:val="24"/>
          <w:szCs w:val="24"/>
        </w:rPr>
      </w:pP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rPr>
        <w:t>⑵</w:t>
      </w:r>
      <w:r>
        <w:rPr>
          <w:rFonts w:ascii="Times New Roman" w:hAnsi="Times New Roman"/>
          <w:sz w:val="24"/>
          <w:szCs w:val="24"/>
        </w:rPr>
        <w:t xml:space="preserve"> 密度和生物量</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各个采样点位浮游动物的现存量见表4.8-8，采样点位的浮游动物平均密度为167.56ind./L，平均生物量为0.197mg/L。各采样点位浮游动物密度范围为125.36~207.62ind./L，生物量变化范围为0.086~0.319mg/L。</w:t>
      </w:r>
    </w:p>
    <w:p>
      <w:pPr>
        <w:adjustRightInd w:val="0"/>
        <w:snapToGrid w:val="0"/>
        <w:spacing w:line="360" w:lineRule="auto"/>
        <w:ind w:firstLine="480" w:firstLineChars="200"/>
        <w:rPr>
          <w:rFonts w:ascii="Times New Roman" w:hAnsi="Times New Roman"/>
          <w:sz w:val="24"/>
          <w:szCs w:val="24"/>
        </w:rPr>
      </w:pPr>
    </w:p>
    <w:p>
      <w:pPr>
        <w:adjustRightInd w:val="0"/>
        <w:snapToGrid w:val="0"/>
        <w:spacing w:line="360" w:lineRule="auto"/>
        <w:ind w:firstLine="480" w:firstLineChars="200"/>
        <w:rPr>
          <w:rFonts w:ascii="Times New Roman" w:hAnsi="Times New Roman"/>
          <w:sz w:val="24"/>
          <w:szCs w:val="24"/>
        </w:rPr>
      </w:pPr>
    </w:p>
    <w:p>
      <w:pPr>
        <w:jc w:val="center"/>
        <w:rPr>
          <w:rFonts w:ascii="Times New Roman" w:hAnsi="Times New Roman"/>
          <w:b/>
          <w:sz w:val="24"/>
          <w:szCs w:val="24"/>
        </w:rPr>
      </w:pPr>
      <w:bookmarkStart w:id="96" w:name="_Toc2046_WPSOffice_Level3"/>
      <w:bookmarkStart w:id="97" w:name="_Toc27269_WPSOffice_Level3"/>
      <w:bookmarkStart w:id="98" w:name="_Toc26626_WPSOffice_Level3"/>
      <w:bookmarkStart w:id="99" w:name="_Toc6333_WPSOffice_Level3"/>
      <w:r>
        <w:rPr>
          <w:rFonts w:ascii="Times New Roman" w:hAnsi="Times New Roman"/>
          <w:b/>
          <w:sz w:val="24"/>
          <w:szCs w:val="24"/>
        </w:rPr>
        <w:t>表4.8-8  各采样点位浮游动物密度（ind./L）和生物量（mg/L）</w:t>
      </w:r>
      <w:bookmarkEnd w:id="96"/>
      <w:bookmarkEnd w:id="97"/>
      <w:bookmarkEnd w:id="98"/>
      <w:bookmarkEnd w:id="99"/>
    </w:p>
    <w:tbl>
      <w:tblPr>
        <w:tblStyle w:val="71"/>
        <w:tblW w:w="5000" w:type="pct"/>
        <w:tblInd w:w="0" w:type="dxa"/>
        <w:tblLayout w:type="autofit"/>
        <w:tblCellMar>
          <w:top w:w="0" w:type="dxa"/>
          <w:left w:w="0" w:type="dxa"/>
          <w:bottom w:w="0" w:type="dxa"/>
          <w:right w:w="0" w:type="dxa"/>
        </w:tblCellMar>
      </w:tblPr>
      <w:tblGrid>
        <w:gridCol w:w="1303"/>
        <w:gridCol w:w="1301"/>
        <w:gridCol w:w="1341"/>
        <w:gridCol w:w="1341"/>
        <w:gridCol w:w="1341"/>
        <w:gridCol w:w="1185"/>
        <w:gridCol w:w="1288"/>
      </w:tblGrid>
      <w:tr>
        <w:tblPrEx>
          <w:tblCellMar>
            <w:top w:w="0" w:type="dxa"/>
            <w:left w:w="0" w:type="dxa"/>
            <w:bottom w:w="0" w:type="dxa"/>
            <w:right w:w="0" w:type="dxa"/>
          </w:tblCellMar>
        </w:tblPrEx>
        <w:trPr>
          <w:trHeight w:val="340" w:hRule="atLeast"/>
        </w:trPr>
        <w:tc>
          <w:tcPr>
            <w:tcW w:w="1431" w:type="pct"/>
            <w:gridSpan w:val="2"/>
            <w:vMerge w:val="restart"/>
            <w:tcBorders>
              <w:top w:val="single" w:color="000000" w:sz="12" w:space="0"/>
              <w:left w:val="single" w:color="000000" w:sz="12"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种类</w:t>
            </w:r>
          </w:p>
        </w:tc>
        <w:tc>
          <w:tcPr>
            <w:tcW w:w="2861" w:type="pct"/>
            <w:gridSpan w:val="4"/>
            <w:tcBorders>
              <w:top w:val="single" w:color="000000" w:sz="12" w:space="0"/>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采样点位</w:t>
            </w:r>
          </w:p>
        </w:tc>
        <w:tc>
          <w:tcPr>
            <w:tcW w:w="708" w:type="pct"/>
            <w:vMerge w:val="restart"/>
            <w:tcBorders>
              <w:top w:val="single" w:color="000000" w:sz="12" w:space="0"/>
              <w:left w:val="single" w:color="000000" w:sz="4" w:space="0"/>
              <w:bottom w:val="single" w:color="000000" w:sz="4" w:space="0"/>
              <w:right w:val="single" w:color="000000" w:sz="12" w:space="0"/>
            </w:tcBorders>
            <w:shd w:val="clear" w:color="auto" w:fill="auto"/>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平均值</w:t>
            </w:r>
          </w:p>
        </w:tc>
      </w:tr>
      <w:tr>
        <w:tblPrEx>
          <w:tblCellMar>
            <w:top w:w="0" w:type="dxa"/>
            <w:left w:w="0" w:type="dxa"/>
            <w:bottom w:w="0" w:type="dxa"/>
            <w:right w:w="0" w:type="dxa"/>
          </w:tblCellMar>
        </w:tblPrEx>
        <w:trPr>
          <w:trHeight w:val="340" w:hRule="atLeast"/>
        </w:trPr>
        <w:tc>
          <w:tcPr>
            <w:tcW w:w="1431" w:type="pct"/>
            <w:gridSpan w:val="2"/>
            <w:vMerge w:val="continue"/>
            <w:tcBorders>
              <w:top w:val="single" w:color="000000" w:sz="4" w:space="0"/>
              <w:left w:val="single" w:color="000000" w:sz="12" w:space="0"/>
              <w:bottom w:val="single" w:color="000000" w:sz="4" w:space="0"/>
              <w:right w:val="single" w:color="000000" w:sz="4" w:space="0"/>
            </w:tcBorders>
            <w:vAlign w:val="center"/>
          </w:tcPr>
          <w:p>
            <w:pPr>
              <w:widowControl/>
              <w:adjustRightInd w:val="0"/>
              <w:snapToGrid w:val="0"/>
              <w:jc w:val="left"/>
              <w:rPr>
                <w:rFonts w:ascii="Times New Roman" w:hAnsi="Times New Roman"/>
                <w:b/>
                <w:bCs/>
                <w:color w:val="000000"/>
                <w:kern w:val="0"/>
              </w:rPr>
            </w:pPr>
          </w:p>
        </w:tc>
        <w:tc>
          <w:tcPr>
            <w:tcW w:w="737"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1</w:t>
            </w:r>
          </w:p>
        </w:tc>
        <w:tc>
          <w:tcPr>
            <w:tcW w:w="737"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2</w:t>
            </w:r>
          </w:p>
        </w:tc>
        <w:tc>
          <w:tcPr>
            <w:tcW w:w="737"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3</w:t>
            </w:r>
          </w:p>
        </w:tc>
        <w:tc>
          <w:tcPr>
            <w:tcW w:w="651" w:type="pct"/>
            <w:tcBorders>
              <w:top w:val="single" w:color="000000" w:sz="4" w:space="0"/>
              <w:left w:val="single" w:color="000000" w:sz="4" w:space="0"/>
              <w:bottom w:val="single" w:color="auto" w:sz="4" w:space="0"/>
              <w:right w:val="single" w:color="000000" w:sz="4" w:space="0"/>
            </w:tcBorders>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4</w:t>
            </w:r>
          </w:p>
        </w:tc>
        <w:tc>
          <w:tcPr>
            <w:tcW w:w="708" w:type="pct"/>
            <w:vMerge w:val="continue"/>
            <w:tcBorders>
              <w:top w:val="single" w:color="000000" w:sz="4" w:space="0"/>
              <w:left w:val="single" w:color="000000" w:sz="4" w:space="0"/>
              <w:bottom w:val="single" w:color="auto" w:sz="4" w:space="0"/>
              <w:right w:val="single" w:color="000000" w:sz="12" w:space="0"/>
            </w:tcBorders>
            <w:vAlign w:val="center"/>
          </w:tcPr>
          <w:p>
            <w:pPr>
              <w:widowControl/>
              <w:adjustRightInd w:val="0"/>
              <w:snapToGrid w:val="0"/>
              <w:jc w:val="left"/>
              <w:rPr>
                <w:rFonts w:ascii="Times New Roman" w:hAnsi="Times New Roman"/>
                <w:b/>
                <w:bCs/>
                <w:color w:val="000000"/>
                <w:kern w:val="0"/>
              </w:rPr>
            </w:pPr>
          </w:p>
        </w:tc>
      </w:tr>
      <w:tr>
        <w:tblPrEx>
          <w:tblCellMar>
            <w:top w:w="0" w:type="dxa"/>
            <w:left w:w="0" w:type="dxa"/>
            <w:bottom w:w="0" w:type="dxa"/>
            <w:right w:w="0" w:type="dxa"/>
          </w:tblCellMar>
        </w:tblPrEx>
        <w:trPr>
          <w:trHeight w:val="340" w:hRule="atLeast"/>
        </w:trPr>
        <w:tc>
          <w:tcPr>
            <w:tcW w:w="716" w:type="pct"/>
            <w:vMerge w:val="restart"/>
            <w:tcBorders>
              <w:top w:val="nil"/>
              <w:left w:val="single" w:color="000000" w:sz="12"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原生动物</w:t>
            </w:r>
          </w:p>
        </w:tc>
        <w:tc>
          <w:tcPr>
            <w:tcW w:w="715"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密度</w:t>
            </w:r>
          </w:p>
        </w:tc>
        <w:tc>
          <w:tcPr>
            <w:tcW w:w="737"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101.20</w:t>
            </w:r>
          </w:p>
        </w:tc>
        <w:tc>
          <w:tcPr>
            <w:tcW w:w="737"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94.40</w:t>
            </w:r>
          </w:p>
        </w:tc>
        <w:tc>
          <w:tcPr>
            <w:tcW w:w="737" w:type="pct"/>
            <w:tcBorders>
              <w:top w:val="nil"/>
              <w:left w:val="nil"/>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73.60</w:t>
            </w:r>
          </w:p>
        </w:tc>
        <w:tc>
          <w:tcPr>
            <w:tcW w:w="65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125.60</w:t>
            </w:r>
          </w:p>
        </w:tc>
        <w:tc>
          <w:tcPr>
            <w:tcW w:w="708" w:type="pct"/>
            <w:tcBorders>
              <w:top w:val="single" w:color="auto" w:sz="4" w:space="0"/>
              <w:left w:val="single" w:color="auto" w:sz="4" w:space="0"/>
              <w:bottom w:val="single" w:color="auto" w:sz="4" w:space="0"/>
              <w:right w:val="single" w:color="000000" w:sz="12"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98.70</w:t>
            </w:r>
          </w:p>
        </w:tc>
      </w:tr>
      <w:tr>
        <w:tblPrEx>
          <w:tblCellMar>
            <w:top w:w="0" w:type="dxa"/>
            <w:left w:w="0" w:type="dxa"/>
            <w:bottom w:w="0" w:type="dxa"/>
            <w:right w:w="0" w:type="dxa"/>
          </w:tblCellMar>
        </w:tblPrEx>
        <w:trPr>
          <w:trHeight w:val="340" w:hRule="atLeast"/>
        </w:trPr>
        <w:tc>
          <w:tcPr>
            <w:tcW w:w="716" w:type="pct"/>
            <w:vMerge w:val="continue"/>
            <w:tcBorders>
              <w:top w:val="nil"/>
              <w:left w:val="single" w:color="000000" w:sz="12" w:space="0"/>
              <w:bottom w:val="single" w:color="000000" w:sz="4" w:space="0"/>
              <w:right w:val="single" w:color="000000" w:sz="4" w:space="0"/>
            </w:tcBorders>
            <w:vAlign w:val="center"/>
          </w:tcPr>
          <w:p>
            <w:pPr>
              <w:widowControl/>
              <w:adjustRightInd w:val="0"/>
              <w:snapToGrid w:val="0"/>
              <w:jc w:val="left"/>
              <w:rPr>
                <w:rFonts w:ascii="Times New Roman" w:hAnsi="Times New Roman"/>
                <w:b/>
                <w:bCs/>
                <w:color w:val="000000"/>
                <w:kern w:val="0"/>
              </w:rPr>
            </w:pPr>
          </w:p>
        </w:tc>
        <w:tc>
          <w:tcPr>
            <w:tcW w:w="715"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生物量</w:t>
            </w:r>
          </w:p>
        </w:tc>
        <w:tc>
          <w:tcPr>
            <w:tcW w:w="737"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0.004</w:t>
            </w:r>
          </w:p>
        </w:tc>
        <w:tc>
          <w:tcPr>
            <w:tcW w:w="737"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0.003</w:t>
            </w:r>
          </w:p>
        </w:tc>
        <w:tc>
          <w:tcPr>
            <w:tcW w:w="737" w:type="pct"/>
            <w:tcBorders>
              <w:top w:val="nil"/>
              <w:left w:val="nil"/>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0.003</w:t>
            </w:r>
          </w:p>
        </w:tc>
        <w:tc>
          <w:tcPr>
            <w:tcW w:w="65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0.004</w:t>
            </w:r>
          </w:p>
        </w:tc>
        <w:tc>
          <w:tcPr>
            <w:tcW w:w="708" w:type="pct"/>
            <w:tcBorders>
              <w:top w:val="single" w:color="auto" w:sz="4" w:space="0"/>
              <w:left w:val="single" w:color="auto" w:sz="4" w:space="0"/>
              <w:bottom w:val="single" w:color="auto" w:sz="4" w:space="0"/>
              <w:right w:val="single" w:color="000000" w:sz="12"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0.003</w:t>
            </w:r>
          </w:p>
        </w:tc>
      </w:tr>
      <w:tr>
        <w:tblPrEx>
          <w:tblCellMar>
            <w:top w:w="0" w:type="dxa"/>
            <w:left w:w="0" w:type="dxa"/>
            <w:bottom w:w="0" w:type="dxa"/>
            <w:right w:w="0" w:type="dxa"/>
          </w:tblCellMar>
        </w:tblPrEx>
        <w:trPr>
          <w:trHeight w:val="340" w:hRule="atLeast"/>
        </w:trPr>
        <w:tc>
          <w:tcPr>
            <w:tcW w:w="716" w:type="pct"/>
            <w:vMerge w:val="restart"/>
            <w:tcBorders>
              <w:top w:val="nil"/>
              <w:left w:val="single" w:color="000000" w:sz="12"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轮虫</w:t>
            </w:r>
          </w:p>
        </w:tc>
        <w:tc>
          <w:tcPr>
            <w:tcW w:w="715"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密度</w:t>
            </w:r>
          </w:p>
        </w:tc>
        <w:tc>
          <w:tcPr>
            <w:tcW w:w="737"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66.36</w:t>
            </w:r>
          </w:p>
        </w:tc>
        <w:tc>
          <w:tcPr>
            <w:tcW w:w="737"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67.04</w:t>
            </w:r>
          </w:p>
        </w:tc>
        <w:tc>
          <w:tcPr>
            <w:tcW w:w="737" w:type="pct"/>
            <w:tcBorders>
              <w:top w:val="nil"/>
              <w:left w:val="nil"/>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50.36</w:t>
            </w:r>
          </w:p>
        </w:tc>
        <w:tc>
          <w:tcPr>
            <w:tcW w:w="65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72.16</w:t>
            </w:r>
          </w:p>
        </w:tc>
        <w:tc>
          <w:tcPr>
            <w:tcW w:w="708" w:type="pct"/>
            <w:tcBorders>
              <w:top w:val="single" w:color="auto" w:sz="4" w:space="0"/>
              <w:left w:val="single" w:color="auto" w:sz="4" w:space="0"/>
              <w:bottom w:val="single" w:color="auto" w:sz="4" w:space="0"/>
              <w:right w:val="single" w:color="000000" w:sz="12"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63.98</w:t>
            </w:r>
          </w:p>
        </w:tc>
      </w:tr>
      <w:tr>
        <w:tblPrEx>
          <w:tblCellMar>
            <w:top w:w="0" w:type="dxa"/>
            <w:left w:w="0" w:type="dxa"/>
            <w:bottom w:w="0" w:type="dxa"/>
            <w:right w:w="0" w:type="dxa"/>
          </w:tblCellMar>
        </w:tblPrEx>
        <w:trPr>
          <w:trHeight w:val="340" w:hRule="atLeast"/>
        </w:trPr>
        <w:tc>
          <w:tcPr>
            <w:tcW w:w="716" w:type="pct"/>
            <w:vMerge w:val="continue"/>
            <w:tcBorders>
              <w:top w:val="nil"/>
              <w:left w:val="single" w:color="000000" w:sz="12" w:space="0"/>
              <w:bottom w:val="single" w:color="000000" w:sz="4" w:space="0"/>
              <w:right w:val="single" w:color="000000" w:sz="4" w:space="0"/>
            </w:tcBorders>
            <w:vAlign w:val="center"/>
          </w:tcPr>
          <w:p>
            <w:pPr>
              <w:widowControl/>
              <w:adjustRightInd w:val="0"/>
              <w:snapToGrid w:val="0"/>
              <w:jc w:val="left"/>
              <w:rPr>
                <w:rFonts w:ascii="Times New Roman" w:hAnsi="Times New Roman"/>
                <w:b/>
                <w:bCs/>
                <w:color w:val="000000"/>
                <w:kern w:val="0"/>
              </w:rPr>
            </w:pPr>
          </w:p>
        </w:tc>
        <w:tc>
          <w:tcPr>
            <w:tcW w:w="715"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生物量</w:t>
            </w:r>
          </w:p>
        </w:tc>
        <w:tc>
          <w:tcPr>
            <w:tcW w:w="737"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0.057</w:t>
            </w:r>
          </w:p>
        </w:tc>
        <w:tc>
          <w:tcPr>
            <w:tcW w:w="737"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0.037</w:t>
            </w:r>
          </w:p>
        </w:tc>
        <w:tc>
          <w:tcPr>
            <w:tcW w:w="737" w:type="pct"/>
            <w:tcBorders>
              <w:top w:val="nil"/>
              <w:left w:val="nil"/>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0.047</w:t>
            </w:r>
          </w:p>
        </w:tc>
        <w:tc>
          <w:tcPr>
            <w:tcW w:w="65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0.043</w:t>
            </w:r>
          </w:p>
        </w:tc>
        <w:tc>
          <w:tcPr>
            <w:tcW w:w="708" w:type="pct"/>
            <w:tcBorders>
              <w:top w:val="single" w:color="auto" w:sz="4" w:space="0"/>
              <w:left w:val="single" w:color="auto" w:sz="4" w:space="0"/>
              <w:bottom w:val="single" w:color="auto" w:sz="4" w:space="0"/>
              <w:right w:val="single" w:color="000000" w:sz="12"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0.046</w:t>
            </w:r>
          </w:p>
        </w:tc>
      </w:tr>
      <w:tr>
        <w:tblPrEx>
          <w:tblCellMar>
            <w:top w:w="0" w:type="dxa"/>
            <w:left w:w="0" w:type="dxa"/>
            <w:bottom w:w="0" w:type="dxa"/>
            <w:right w:w="0" w:type="dxa"/>
          </w:tblCellMar>
        </w:tblPrEx>
        <w:trPr>
          <w:trHeight w:val="340" w:hRule="atLeast"/>
        </w:trPr>
        <w:tc>
          <w:tcPr>
            <w:tcW w:w="716" w:type="pct"/>
            <w:vMerge w:val="restart"/>
            <w:tcBorders>
              <w:top w:val="nil"/>
              <w:left w:val="single" w:color="000000" w:sz="12"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枝角类</w:t>
            </w:r>
          </w:p>
        </w:tc>
        <w:tc>
          <w:tcPr>
            <w:tcW w:w="715"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密度</w:t>
            </w:r>
          </w:p>
        </w:tc>
        <w:tc>
          <w:tcPr>
            <w:tcW w:w="737"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3.68</w:t>
            </w:r>
          </w:p>
        </w:tc>
        <w:tc>
          <w:tcPr>
            <w:tcW w:w="737"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2.76</w:t>
            </w:r>
          </w:p>
        </w:tc>
        <w:tc>
          <w:tcPr>
            <w:tcW w:w="737" w:type="pct"/>
            <w:tcBorders>
              <w:top w:val="nil"/>
              <w:left w:val="nil"/>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0.6</w:t>
            </w:r>
          </w:p>
        </w:tc>
        <w:tc>
          <w:tcPr>
            <w:tcW w:w="65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7.66</w:t>
            </w:r>
          </w:p>
        </w:tc>
        <w:tc>
          <w:tcPr>
            <w:tcW w:w="708" w:type="pct"/>
            <w:tcBorders>
              <w:top w:val="single" w:color="auto" w:sz="4" w:space="0"/>
              <w:left w:val="single" w:color="auto" w:sz="4" w:space="0"/>
              <w:bottom w:val="single" w:color="auto" w:sz="4" w:space="0"/>
              <w:right w:val="single" w:color="000000" w:sz="12"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3.68</w:t>
            </w:r>
          </w:p>
        </w:tc>
      </w:tr>
      <w:tr>
        <w:tblPrEx>
          <w:tblCellMar>
            <w:top w:w="0" w:type="dxa"/>
            <w:left w:w="0" w:type="dxa"/>
            <w:bottom w:w="0" w:type="dxa"/>
            <w:right w:w="0" w:type="dxa"/>
          </w:tblCellMar>
        </w:tblPrEx>
        <w:trPr>
          <w:trHeight w:val="340" w:hRule="atLeast"/>
        </w:trPr>
        <w:tc>
          <w:tcPr>
            <w:tcW w:w="716" w:type="pct"/>
            <w:vMerge w:val="continue"/>
            <w:tcBorders>
              <w:top w:val="nil"/>
              <w:left w:val="single" w:color="000000" w:sz="12" w:space="0"/>
              <w:bottom w:val="single" w:color="000000" w:sz="4" w:space="0"/>
              <w:right w:val="single" w:color="000000" w:sz="4" w:space="0"/>
            </w:tcBorders>
            <w:vAlign w:val="center"/>
          </w:tcPr>
          <w:p>
            <w:pPr>
              <w:widowControl/>
              <w:adjustRightInd w:val="0"/>
              <w:snapToGrid w:val="0"/>
              <w:jc w:val="left"/>
              <w:rPr>
                <w:rFonts w:ascii="Times New Roman" w:hAnsi="Times New Roman"/>
                <w:b/>
                <w:bCs/>
                <w:color w:val="000000"/>
                <w:kern w:val="0"/>
              </w:rPr>
            </w:pPr>
          </w:p>
        </w:tc>
        <w:tc>
          <w:tcPr>
            <w:tcW w:w="715"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生物量</w:t>
            </w:r>
          </w:p>
        </w:tc>
        <w:tc>
          <w:tcPr>
            <w:tcW w:w="737"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0.156</w:t>
            </w:r>
          </w:p>
        </w:tc>
        <w:tc>
          <w:tcPr>
            <w:tcW w:w="737"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0.080</w:t>
            </w:r>
          </w:p>
        </w:tc>
        <w:tc>
          <w:tcPr>
            <w:tcW w:w="737" w:type="pct"/>
            <w:tcBorders>
              <w:top w:val="nil"/>
              <w:left w:val="nil"/>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0.018</w:t>
            </w:r>
          </w:p>
        </w:tc>
        <w:tc>
          <w:tcPr>
            <w:tcW w:w="65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0.200</w:t>
            </w:r>
          </w:p>
        </w:tc>
        <w:tc>
          <w:tcPr>
            <w:tcW w:w="708" w:type="pct"/>
            <w:tcBorders>
              <w:top w:val="single" w:color="auto" w:sz="4" w:space="0"/>
              <w:left w:val="single" w:color="auto" w:sz="4" w:space="0"/>
              <w:bottom w:val="single" w:color="auto" w:sz="4" w:space="0"/>
              <w:right w:val="single" w:color="000000" w:sz="12"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0.114</w:t>
            </w:r>
          </w:p>
        </w:tc>
      </w:tr>
      <w:tr>
        <w:tblPrEx>
          <w:tblCellMar>
            <w:top w:w="0" w:type="dxa"/>
            <w:left w:w="0" w:type="dxa"/>
            <w:bottom w:w="0" w:type="dxa"/>
            <w:right w:w="0" w:type="dxa"/>
          </w:tblCellMar>
        </w:tblPrEx>
        <w:trPr>
          <w:trHeight w:val="340" w:hRule="atLeast"/>
        </w:trPr>
        <w:tc>
          <w:tcPr>
            <w:tcW w:w="716" w:type="pct"/>
            <w:vMerge w:val="restart"/>
            <w:tcBorders>
              <w:top w:val="nil"/>
              <w:left w:val="single" w:color="000000" w:sz="12"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桡足类</w:t>
            </w:r>
          </w:p>
        </w:tc>
        <w:tc>
          <w:tcPr>
            <w:tcW w:w="715"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密度</w:t>
            </w:r>
          </w:p>
        </w:tc>
        <w:tc>
          <w:tcPr>
            <w:tcW w:w="737"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1.03</w:t>
            </w:r>
          </w:p>
        </w:tc>
        <w:tc>
          <w:tcPr>
            <w:tcW w:w="737"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0.80</w:t>
            </w:r>
          </w:p>
        </w:tc>
        <w:tc>
          <w:tcPr>
            <w:tcW w:w="737" w:type="pct"/>
            <w:tcBorders>
              <w:top w:val="nil"/>
              <w:left w:val="nil"/>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0.80</w:t>
            </w:r>
          </w:p>
        </w:tc>
        <w:tc>
          <w:tcPr>
            <w:tcW w:w="65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2.20</w:t>
            </w:r>
          </w:p>
        </w:tc>
        <w:tc>
          <w:tcPr>
            <w:tcW w:w="708" w:type="pct"/>
            <w:tcBorders>
              <w:top w:val="single" w:color="auto" w:sz="4" w:space="0"/>
              <w:left w:val="single" w:color="auto" w:sz="4" w:space="0"/>
              <w:bottom w:val="single" w:color="auto" w:sz="4" w:space="0"/>
              <w:right w:val="single" w:color="000000" w:sz="12"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1.21</w:t>
            </w:r>
          </w:p>
        </w:tc>
      </w:tr>
      <w:tr>
        <w:tblPrEx>
          <w:tblCellMar>
            <w:top w:w="0" w:type="dxa"/>
            <w:left w:w="0" w:type="dxa"/>
            <w:bottom w:w="0" w:type="dxa"/>
            <w:right w:w="0" w:type="dxa"/>
          </w:tblCellMar>
        </w:tblPrEx>
        <w:trPr>
          <w:trHeight w:val="340" w:hRule="atLeast"/>
        </w:trPr>
        <w:tc>
          <w:tcPr>
            <w:tcW w:w="716" w:type="pct"/>
            <w:vMerge w:val="continue"/>
            <w:tcBorders>
              <w:top w:val="nil"/>
              <w:left w:val="single" w:color="000000" w:sz="12" w:space="0"/>
              <w:bottom w:val="single" w:color="000000" w:sz="4" w:space="0"/>
              <w:right w:val="single" w:color="000000" w:sz="4" w:space="0"/>
            </w:tcBorders>
            <w:vAlign w:val="center"/>
          </w:tcPr>
          <w:p>
            <w:pPr>
              <w:widowControl/>
              <w:adjustRightInd w:val="0"/>
              <w:snapToGrid w:val="0"/>
              <w:jc w:val="left"/>
              <w:rPr>
                <w:rFonts w:ascii="Times New Roman" w:hAnsi="Times New Roman"/>
                <w:b/>
                <w:bCs/>
                <w:color w:val="000000"/>
                <w:kern w:val="0"/>
              </w:rPr>
            </w:pPr>
          </w:p>
        </w:tc>
        <w:tc>
          <w:tcPr>
            <w:tcW w:w="715"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生物量</w:t>
            </w:r>
          </w:p>
        </w:tc>
        <w:tc>
          <w:tcPr>
            <w:tcW w:w="737"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0.027</w:t>
            </w:r>
          </w:p>
        </w:tc>
        <w:tc>
          <w:tcPr>
            <w:tcW w:w="737"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0.017</w:t>
            </w:r>
          </w:p>
        </w:tc>
        <w:tc>
          <w:tcPr>
            <w:tcW w:w="737" w:type="pct"/>
            <w:tcBorders>
              <w:top w:val="nil"/>
              <w:left w:val="nil"/>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0.018</w:t>
            </w:r>
          </w:p>
        </w:tc>
        <w:tc>
          <w:tcPr>
            <w:tcW w:w="65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0.072</w:t>
            </w:r>
          </w:p>
        </w:tc>
        <w:tc>
          <w:tcPr>
            <w:tcW w:w="708" w:type="pct"/>
            <w:tcBorders>
              <w:top w:val="single" w:color="auto" w:sz="4" w:space="0"/>
              <w:left w:val="single" w:color="auto" w:sz="4" w:space="0"/>
              <w:bottom w:val="single" w:color="auto" w:sz="4" w:space="0"/>
              <w:right w:val="single" w:color="000000" w:sz="12"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0.033</w:t>
            </w:r>
          </w:p>
        </w:tc>
      </w:tr>
      <w:tr>
        <w:tblPrEx>
          <w:tblCellMar>
            <w:top w:w="0" w:type="dxa"/>
            <w:left w:w="0" w:type="dxa"/>
            <w:bottom w:w="0" w:type="dxa"/>
            <w:right w:w="0" w:type="dxa"/>
          </w:tblCellMar>
        </w:tblPrEx>
        <w:trPr>
          <w:trHeight w:val="340" w:hRule="atLeast"/>
        </w:trPr>
        <w:tc>
          <w:tcPr>
            <w:tcW w:w="716" w:type="pct"/>
            <w:vMerge w:val="restart"/>
            <w:tcBorders>
              <w:top w:val="nil"/>
              <w:left w:val="single" w:color="000000" w:sz="12"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合计</w:t>
            </w:r>
          </w:p>
        </w:tc>
        <w:tc>
          <w:tcPr>
            <w:tcW w:w="715"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密度</w:t>
            </w:r>
          </w:p>
        </w:tc>
        <w:tc>
          <w:tcPr>
            <w:tcW w:w="737"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172.27</w:t>
            </w:r>
          </w:p>
        </w:tc>
        <w:tc>
          <w:tcPr>
            <w:tcW w:w="737"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165.00</w:t>
            </w:r>
          </w:p>
        </w:tc>
        <w:tc>
          <w:tcPr>
            <w:tcW w:w="737" w:type="pct"/>
            <w:tcBorders>
              <w:top w:val="nil"/>
              <w:left w:val="nil"/>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125.36</w:t>
            </w:r>
          </w:p>
        </w:tc>
        <w:tc>
          <w:tcPr>
            <w:tcW w:w="65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207.62</w:t>
            </w:r>
          </w:p>
        </w:tc>
        <w:tc>
          <w:tcPr>
            <w:tcW w:w="708" w:type="pct"/>
            <w:tcBorders>
              <w:top w:val="single" w:color="auto" w:sz="4" w:space="0"/>
              <w:left w:val="single" w:color="auto" w:sz="4" w:space="0"/>
              <w:bottom w:val="single" w:color="auto" w:sz="4" w:space="0"/>
              <w:right w:val="single" w:color="000000" w:sz="12"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167.56</w:t>
            </w:r>
          </w:p>
        </w:tc>
      </w:tr>
      <w:tr>
        <w:tblPrEx>
          <w:tblCellMar>
            <w:top w:w="0" w:type="dxa"/>
            <w:left w:w="0" w:type="dxa"/>
            <w:bottom w:w="0" w:type="dxa"/>
            <w:right w:w="0" w:type="dxa"/>
          </w:tblCellMar>
        </w:tblPrEx>
        <w:trPr>
          <w:trHeight w:val="340" w:hRule="atLeast"/>
        </w:trPr>
        <w:tc>
          <w:tcPr>
            <w:tcW w:w="716" w:type="pct"/>
            <w:vMerge w:val="continue"/>
            <w:tcBorders>
              <w:top w:val="nil"/>
              <w:left w:val="single" w:color="000000" w:sz="12" w:space="0"/>
              <w:bottom w:val="single" w:color="000000" w:sz="12" w:space="0"/>
              <w:right w:val="single" w:color="000000" w:sz="4" w:space="0"/>
            </w:tcBorders>
            <w:vAlign w:val="center"/>
          </w:tcPr>
          <w:p>
            <w:pPr>
              <w:widowControl/>
              <w:adjustRightInd w:val="0"/>
              <w:snapToGrid w:val="0"/>
              <w:jc w:val="left"/>
              <w:rPr>
                <w:rFonts w:ascii="Times New Roman" w:hAnsi="Times New Roman"/>
                <w:b/>
                <w:bCs/>
                <w:color w:val="000000"/>
                <w:kern w:val="0"/>
              </w:rPr>
            </w:pPr>
          </w:p>
        </w:tc>
        <w:tc>
          <w:tcPr>
            <w:tcW w:w="715" w:type="pct"/>
            <w:tcBorders>
              <w:top w:val="nil"/>
              <w:left w:val="nil"/>
              <w:bottom w:val="single" w:color="000000" w:sz="12"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生物量</w:t>
            </w:r>
          </w:p>
        </w:tc>
        <w:tc>
          <w:tcPr>
            <w:tcW w:w="737" w:type="pct"/>
            <w:tcBorders>
              <w:top w:val="nil"/>
              <w:left w:val="nil"/>
              <w:bottom w:val="single" w:color="000000" w:sz="12"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0.244</w:t>
            </w:r>
          </w:p>
        </w:tc>
        <w:tc>
          <w:tcPr>
            <w:tcW w:w="737" w:type="pct"/>
            <w:tcBorders>
              <w:top w:val="nil"/>
              <w:left w:val="nil"/>
              <w:bottom w:val="single" w:color="000000" w:sz="12"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0.137</w:t>
            </w:r>
          </w:p>
        </w:tc>
        <w:tc>
          <w:tcPr>
            <w:tcW w:w="737" w:type="pct"/>
            <w:tcBorders>
              <w:top w:val="nil"/>
              <w:left w:val="nil"/>
              <w:bottom w:val="single" w:color="000000" w:sz="12" w:space="0"/>
              <w:right w:val="single" w:color="auto"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0.086</w:t>
            </w:r>
          </w:p>
        </w:tc>
        <w:tc>
          <w:tcPr>
            <w:tcW w:w="651" w:type="pct"/>
            <w:tcBorders>
              <w:top w:val="single" w:color="auto" w:sz="4" w:space="0"/>
              <w:left w:val="single" w:color="auto" w:sz="4" w:space="0"/>
              <w:bottom w:val="single" w:color="000000" w:sz="12" w:space="0"/>
              <w:right w:val="single" w:color="auto" w:sz="4" w:space="0"/>
            </w:tcBorders>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0.319</w:t>
            </w:r>
          </w:p>
        </w:tc>
        <w:tc>
          <w:tcPr>
            <w:tcW w:w="708" w:type="pct"/>
            <w:tcBorders>
              <w:top w:val="single" w:color="auto" w:sz="4" w:space="0"/>
              <w:left w:val="single" w:color="auto" w:sz="4" w:space="0"/>
              <w:bottom w:val="single" w:color="000000" w:sz="12" w:space="0"/>
              <w:right w:val="single" w:color="000000" w:sz="12"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0.197</w:t>
            </w:r>
          </w:p>
        </w:tc>
      </w:tr>
    </w:tbl>
    <w:p>
      <w:pPr>
        <w:rPr>
          <w:rFonts w:ascii="Times New Roman" w:hAnsi="Times New Roman"/>
        </w:rPr>
      </w:pPr>
    </w:p>
    <w:p>
      <w:pPr>
        <w:pStyle w:val="5"/>
        <w:rPr>
          <w:rFonts w:eastAsiaTheme="minorEastAsia"/>
        </w:rPr>
      </w:pPr>
      <w:r>
        <w:rPr>
          <w:rFonts w:eastAsiaTheme="minorEastAsia"/>
        </w:rPr>
        <w:t>底栖动物</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rPr>
        <w:t>⑴</w:t>
      </w:r>
      <w:r>
        <w:rPr>
          <w:rFonts w:ascii="Times New Roman" w:hAnsi="Times New Roman"/>
          <w:sz w:val="24"/>
          <w:szCs w:val="24"/>
        </w:rPr>
        <w:t xml:space="preserve"> 种类组成</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评价区有底栖动物3门27种（属），其中节肢动物门种类较多，有16种，占总数的59.26%；软体动物9种，占总数的33.33%；环节动物2种，占总数的7.41%，详见表4.8-9。水生昆虫中的优势类群为蜉蝣目、毛翅目和摇蚊幼虫等。</w:t>
      </w:r>
    </w:p>
    <w:p>
      <w:pPr>
        <w:widowControl/>
        <w:adjustRightInd w:val="0"/>
        <w:snapToGrid w:val="0"/>
        <w:spacing w:line="276" w:lineRule="auto"/>
        <w:jc w:val="center"/>
        <w:rPr>
          <w:rFonts w:ascii="Times New Roman" w:hAnsi="Times New Roman"/>
          <w:b/>
          <w:kern w:val="0"/>
          <w:sz w:val="24"/>
          <w:szCs w:val="24"/>
        </w:rPr>
      </w:pPr>
      <w:bookmarkStart w:id="100" w:name="_Toc6006_WPSOffice_Level3"/>
      <w:bookmarkStart w:id="101" w:name="_Toc8083_WPSOffice_Level3"/>
      <w:bookmarkStart w:id="102" w:name="_Toc31824_WPSOffice_Level3"/>
      <w:bookmarkStart w:id="103" w:name="_Toc31507_WPSOffice_Level3"/>
      <w:r>
        <w:rPr>
          <w:rFonts w:ascii="Times New Roman" w:hAnsi="Times New Roman"/>
          <w:b/>
          <w:kern w:val="0"/>
          <w:sz w:val="24"/>
          <w:szCs w:val="24"/>
        </w:rPr>
        <w:t>表4.8-9  评价区底栖动物各类种类数及所占比例</w:t>
      </w:r>
      <w:bookmarkEnd w:id="100"/>
      <w:bookmarkEnd w:id="101"/>
      <w:bookmarkEnd w:id="102"/>
      <w:bookmarkEnd w:id="103"/>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7" w:type="dxa"/>
          <w:left w:w="0" w:type="dxa"/>
          <w:bottom w:w="17" w:type="dxa"/>
          <w:right w:w="0" w:type="dxa"/>
        </w:tblCellMar>
      </w:tblPr>
      <w:tblGrid>
        <w:gridCol w:w="2237"/>
        <w:gridCol w:w="1715"/>
        <w:gridCol w:w="1715"/>
        <w:gridCol w:w="1715"/>
        <w:gridCol w:w="171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7" w:type="dxa"/>
            <w:left w:w="0" w:type="dxa"/>
            <w:bottom w:w="17" w:type="dxa"/>
            <w:right w:w="0" w:type="dxa"/>
          </w:tblCellMar>
        </w:tblPrEx>
        <w:trPr>
          <w:trHeight w:val="340" w:hRule="exact"/>
          <w:jc w:val="center"/>
        </w:trPr>
        <w:tc>
          <w:tcPr>
            <w:tcW w:w="1229" w:type="pct"/>
            <w:shd w:val="clear" w:color="auto" w:fill="auto"/>
            <w:tcMar>
              <w:top w:w="0" w:type="dxa"/>
              <w:left w:w="0" w:type="dxa"/>
              <w:bottom w:w="0" w:type="dxa"/>
              <w:right w:w="0" w:type="dxa"/>
            </w:tcMar>
            <w:vAlign w:val="center"/>
          </w:tcPr>
          <w:p>
            <w:pPr>
              <w:widowControl/>
              <w:adjustRightInd w:val="0"/>
              <w:snapToGrid w:val="0"/>
              <w:jc w:val="center"/>
              <w:textAlignment w:val="center"/>
              <w:rPr>
                <w:rFonts w:ascii="Times New Roman" w:hAnsi="Times New Roman"/>
                <w:b/>
              </w:rPr>
            </w:pPr>
            <w:r>
              <w:rPr>
                <w:rFonts w:ascii="Times New Roman" w:hAnsi="Times New Roman"/>
                <w:b/>
                <w:kern w:val="0"/>
                <w:lang w:bidi="ar"/>
              </w:rPr>
              <w:t>类别</w:t>
            </w:r>
          </w:p>
        </w:tc>
        <w:tc>
          <w:tcPr>
            <w:tcW w:w="942" w:type="pct"/>
            <w:shd w:val="clear" w:color="auto" w:fill="auto"/>
            <w:tcMar>
              <w:top w:w="0" w:type="dxa"/>
              <w:left w:w="0" w:type="dxa"/>
              <w:bottom w:w="0" w:type="dxa"/>
              <w:right w:w="0" w:type="dxa"/>
            </w:tcMar>
            <w:vAlign w:val="center"/>
          </w:tcPr>
          <w:p>
            <w:pPr>
              <w:widowControl/>
              <w:adjustRightInd w:val="0"/>
              <w:snapToGrid w:val="0"/>
              <w:jc w:val="center"/>
              <w:textAlignment w:val="center"/>
              <w:rPr>
                <w:rFonts w:ascii="Times New Roman" w:hAnsi="Times New Roman"/>
                <w:b/>
              </w:rPr>
            </w:pPr>
            <w:r>
              <w:rPr>
                <w:rFonts w:ascii="Times New Roman" w:hAnsi="Times New Roman"/>
                <w:b/>
                <w:kern w:val="0"/>
                <w:lang w:bidi="ar"/>
              </w:rPr>
              <w:t>环节动物</w:t>
            </w:r>
          </w:p>
        </w:tc>
        <w:tc>
          <w:tcPr>
            <w:tcW w:w="942" w:type="pct"/>
            <w:shd w:val="clear" w:color="auto" w:fill="auto"/>
            <w:tcMar>
              <w:top w:w="0" w:type="dxa"/>
              <w:left w:w="0" w:type="dxa"/>
              <w:bottom w:w="0" w:type="dxa"/>
              <w:right w:w="0" w:type="dxa"/>
            </w:tcMar>
            <w:vAlign w:val="center"/>
          </w:tcPr>
          <w:p>
            <w:pPr>
              <w:widowControl/>
              <w:adjustRightInd w:val="0"/>
              <w:snapToGrid w:val="0"/>
              <w:jc w:val="center"/>
              <w:textAlignment w:val="center"/>
              <w:rPr>
                <w:rFonts w:ascii="Times New Roman" w:hAnsi="Times New Roman"/>
                <w:b/>
              </w:rPr>
            </w:pPr>
            <w:r>
              <w:rPr>
                <w:rFonts w:ascii="Times New Roman" w:hAnsi="Times New Roman"/>
                <w:b/>
                <w:kern w:val="0"/>
                <w:lang w:bidi="ar"/>
              </w:rPr>
              <w:t>软体动物</w:t>
            </w:r>
          </w:p>
        </w:tc>
        <w:tc>
          <w:tcPr>
            <w:tcW w:w="942" w:type="pct"/>
            <w:shd w:val="clear" w:color="auto" w:fill="auto"/>
            <w:tcMar>
              <w:top w:w="0" w:type="dxa"/>
              <w:left w:w="0" w:type="dxa"/>
              <w:bottom w:w="0" w:type="dxa"/>
              <w:right w:w="0" w:type="dxa"/>
            </w:tcMar>
            <w:vAlign w:val="center"/>
          </w:tcPr>
          <w:p>
            <w:pPr>
              <w:widowControl/>
              <w:adjustRightInd w:val="0"/>
              <w:snapToGrid w:val="0"/>
              <w:jc w:val="center"/>
              <w:textAlignment w:val="center"/>
              <w:rPr>
                <w:rFonts w:ascii="Times New Roman" w:hAnsi="Times New Roman"/>
                <w:b/>
              </w:rPr>
            </w:pPr>
            <w:r>
              <w:rPr>
                <w:rFonts w:ascii="Times New Roman" w:hAnsi="Times New Roman"/>
                <w:b/>
                <w:kern w:val="0"/>
                <w:lang w:bidi="ar"/>
              </w:rPr>
              <w:t>节肢动物</w:t>
            </w:r>
          </w:p>
        </w:tc>
        <w:tc>
          <w:tcPr>
            <w:tcW w:w="944" w:type="pct"/>
            <w:shd w:val="clear" w:color="auto" w:fill="auto"/>
            <w:tcMar>
              <w:top w:w="0" w:type="dxa"/>
              <w:left w:w="0" w:type="dxa"/>
              <w:bottom w:w="0" w:type="dxa"/>
              <w:right w:w="0" w:type="dxa"/>
            </w:tcMar>
            <w:vAlign w:val="center"/>
          </w:tcPr>
          <w:p>
            <w:pPr>
              <w:widowControl/>
              <w:adjustRightInd w:val="0"/>
              <w:snapToGrid w:val="0"/>
              <w:jc w:val="center"/>
              <w:textAlignment w:val="center"/>
              <w:rPr>
                <w:rFonts w:ascii="Times New Roman" w:hAnsi="Times New Roman"/>
                <w:b/>
              </w:rPr>
            </w:pPr>
            <w:r>
              <w:rPr>
                <w:rFonts w:ascii="Times New Roman" w:hAnsi="Times New Roman"/>
                <w:b/>
                <w:kern w:val="0"/>
                <w:lang w:bidi="ar"/>
              </w:rPr>
              <w:t>合计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7" w:type="dxa"/>
            <w:left w:w="0" w:type="dxa"/>
            <w:bottom w:w="17" w:type="dxa"/>
            <w:right w:w="0" w:type="dxa"/>
          </w:tblCellMar>
        </w:tblPrEx>
        <w:trPr>
          <w:trHeight w:val="340" w:hRule="exact"/>
          <w:jc w:val="center"/>
        </w:trPr>
        <w:tc>
          <w:tcPr>
            <w:tcW w:w="1229" w:type="pct"/>
            <w:shd w:val="clear" w:color="auto" w:fill="auto"/>
            <w:tcMar>
              <w:top w:w="0" w:type="dxa"/>
              <w:left w:w="0" w:type="dxa"/>
              <w:bottom w:w="0" w:type="dxa"/>
              <w:right w:w="0" w:type="dxa"/>
            </w:tcMar>
            <w:vAlign w:val="center"/>
          </w:tcPr>
          <w:p>
            <w:pPr>
              <w:widowControl/>
              <w:adjustRightInd w:val="0"/>
              <w:snapToGrid w:val="0"/>
              <w:jc w:val="center"/>
              <w:textAlignment w:val="center"/>
              <w:rPr>
                <w:rFonts w:ascii="Times New Roman" w:hAnsi="Times New Roman"/>
              </w:rPr>
            </w:pPr>
            <w:r>
              <w:rPr>
                <w:rFonts w:ascii="Times New Roman" w:hAnsi="Times New Roman"/>
                <w:kern w:val="0"/>
                <w:lang w:bidi="ar"/>
              </w:rPr>
              <w:t>种类数</w:t>
            </w:r>
          </w:p>
        </w:tc>
        <w:tc>
          <w:tcPr>
            <w:tcW w:w="942" w:type="pct"/>
            <w:shd w:val="clear" w:color="auto" w:fill="auto"/>
            <w:tcMar>
              <w:top w:w="0" w:type="dxa"/>
              <w:left w:w="0" w:type="dxa"/>
              <w:bottom w:w="0" w:type="dxa"/>
              <w:right w:w="0" w:type="dxa"/>
            </w:tcMar>
            <w:vAlign w:val="center"/>
          </w:tcPr>
          <w:p>
            <w:pPr>
              <w:widowControl/>
              <w:adjustRightInd w:val="0"/>
              <w:snapToGrid w:val="0"/>
              <w:jc w:val="center"/>
              <w:textAlignment w:val="center"/>
              <w:rPr>
                <w:rFonts w:ascii="Times New Roman" w:hAnsi="Times New Roman"/>
              </w:rPr>
            </w:pPr>
            <w:r>
              <w:rPr>
                <w:rFonts w:ascii="Times New Roman" w:hAnsi="Times New Roman"/>
                <w:kern w:val="0"/>
                <w:lang w:bidi="ar"/>
              </w:rPr>
              <w:t>2</w:t>
            </w:r>
          </w:p>
        </w:tc>
        <w:tc>
          <w:tcPr>
            <w:tcW w:w="942" w:type="pct"/>
            <w:shd w:val="clear" w:color="auto" w:fill="auto"/>
            <w:tcMar>
              <w:top w:w="0" w:type="dxa"/>
              <w:left w:w="0" w:type="dxa"/>
              <w:bottom w:w="0" w:type="dxa"/>
              <w:right w:w="0" w:type="dxa"/>
            </w:tcMar>
            <w:vAlign w:val="center"/>
          </w:tcPr>
          <w:p>
            <w:pPr>
              <w:widowControl/>
              <w:adjustRightInd w:val="0"/>
              <w:snapToGrid w:val="0"/>
              <w:jc w:val="center"/>
              <w:textAlignment w:val="center"/>
              <w:rPr>
                <w:rFonts w:ascii="Times New Roman" w:hAnsi="Times New Roman"/>
              </w:rPr>
            </w:pPr>
            <w:r>
              <w:rPr>
                <w:rFonts w:ascii="Times New Roman" w:hAnsi="Times New Roman"/>
                <w:kern w:val="0"/>
                <w:lang w:bidi="ar"/>
              </w:rPr>
              <w:t>9</w:t>
            </w:r>
          </w:p>
        </w:tc>
        <w:tc>
          <w:tcPr>
            <w:tcW w:w="942" w:type="pct"/>
            <w:shd w:val="clear" w:color="auto" w:fill="auto"/>
            <w:tcMar>
              <w:top w:w="0" w:type="dxa"/>
              <w:left w:w="0" w:type="dxa"/>
              <w:bottom w:w="0" w:type="dxa"/>
              <w:right w:w="0" w:type="dxa"/>
            </w:tcMar>
            <w:vAlign w:val="center"/>
          </w:tcPr>
          <w:p>
            <w:pPr>
              <w:widowControl/>
              <w:adjustRightInd w:val="0"/>
              <w:snapToGrid w:val="0"/>
              <w:jc w:val="center"/>
              <w:textAlignment w:val="center"/>
              <w:rPr>
                <w:rFonts w:ascii="Times New Roman" w:hAnsi="Times New Roman"/>
              </w:rPr>
            </w:pPr>
            <w:r>
              <w:rPr>
                <w:rFonts w:ascii="Times New Roman" w:hAnsi="Times New Roman"/>
                <w:kern w:val="0"/>
                <w:lang w:bidi="ar"/>
              </w:rPr>
              <w:t>16</w:t>
            </w:r>
          </w:p>
        </w:tc>
        <w:tc>
          <w:tcPr>
            <w:tcW w:w="944" w:type="pct"/>
            <w:shd w:val="clear" w:color="auto" w:fill="auto"/>
            <w:tcMar>
              <w:top w:w="0" w:type="dxa"/>
              <w:left w:w="0" w:type="dxa"/>
              <w:bottom w:w="0" w:type="dxa"/>
              <w:right w:w="0" w:type="dxa"/>
            </w:tcMar>
            <w:vAlign w:val="center"/>
          </w:tcPr>
          <w:p>
            <w:pPr>
              <w:widowControl/>
              <w:adjustRightInd w:val="0"/>
              <w:snapToGrid w:val="0"/>
              <w:jc w:val="center"/>
              <w:textAlignment w:val="center"/>
              <w:rPr>
                <w:rFonts w:ascii="Times New Roman" w:hAnsi="Times New Roman"/>
              </w:rPr>
            </w:pPr>
            <w:r>
              <w:rPr>
                <w:rFonts w:ascii="Times New Roman" w:hAnsi="Times New Roman"/>
                <w:kern w:val="0"/>
                <w:lang w:bidi="ar"/>
              </w:rPr>
              <w:t>27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7" w:type="dxa"/>
            <w:left w:w="0" w:type="dxa"/>
            <w:bottom w:w="17" w:type="dxa"/>
            <w:right w:w="0" w:type="dxa"/>
          </w:tblCellMar>
        </w:tblPrEx>
        <w:trPr>
          <w:trHeight w:val="340" w:hRule="exact"/>
          <w:jc w:val="center"/>
        </w:trPr>
        <w:tc>
          <w:tcPr>
            <w:tcW w:w="1229" w:type="pct"/>
            <w:shd w:val="clear" w:color="auto" w:fill="auto"/>
            <w:tcMar>
              <w:top w:w="0" w:type="dxa"/>
              <w:left w:w="0" w:type="dxa"/>
              <w:bottom w:w="0" w:type="dxa"/>
              <w:right w:w="0" w:type="dxa"/>
            </w:tcMar>
            <w:vAlign w:val="center"/>
          </w:tcPr>
          <w:p>
            <w:pPr>
              <w:widowControl/>
              <w:adjustRightInd w:val="0"/>
              <w:snapToGrid w:val="0"/>
              <w:jc w:val="center"/>
              <w:textAlignment w:val="center"/>
              <w:rPr>
                <w:rFonts w:ascii="Times New Roman" w:hAnsi="Times New Roman"/>
              </w:rPr>
            </w:pPr>
            <w:r>
              <w:rPr>
                <w:rFonts w:ascii="Times New Roman" w:hAnsi="Times New Roman"/>
                <w:kern w:val="0"/>
                <w:lang w:bidi="ar"/>
              </w:rPr>
              <w:t>比例（%）</w:t>
            </w:r>
          </w:p>
        </w:tc>
        <w:tc>
          <w:tcPr>
            <w:tcW w:w="942" w:type="pct"/>
            <w:shd w:val="clear" w:color="auto" w:fill="auto"/>
            <w:tcMar>
              <w:top w:w="0" w:type="dxa"/>
              <w:left w:w="0" w:type="dxa"/>
              <w:bottom w:w="0" w:type="dxa"/>
              <w:right w:w="0" w:type="dxa"/>
            </w:tcMar>
            <w:vAlign w:val="center"/>
          </w:tcPr>
          <w:p>
            <w:pPr>
              <w:widowControl/>
              <w:adjustRightInd w:val="0"/>
              <w:snapToGrid w:val="0"/>
              <w:jc w:val="center"/>
              <w:textAlignment w:val="center"/>
              <w:rPr>
                <w:rFonts w:ascii="Times New Roman" w:hAnsi="Times New Roman"/>
              </w:rPr>
            </w:pPr>
            <w:r>
              <w:rPr>
                <w:rFonts w:ascii="Times New Roman" w:hAnsi="Times New Roman"/>
              </w:rPr>
              <w:t>7.41</w:t>
            </w:r>
          </w:p>
        </w:tc>
        <w:tc>
          <w:tcPr>
            <w:tcW w:w="942" w:type="pct"/>
            <w:shd w:val="clear" w:color="auto" w:fill="auto"/>
            <w:tcMar>
              <w:top w:w="0" w:type="dxa"/>
              <w:left w:w="0" w:type="dxa"/>
              <w:bottom w:w="0" w:type="dxa"/>
              <w:right w:w="0" w:type="dxa"/>
            </w:tcMar>
            <w:vAlign w:val="center"/>
          </w:tcPr>
          <w:p>
            <w:pPr>
              <w:widowControl/>
              <w:adjustRightInd w:val="0"/>
              <w:snapToGrid w:val="0"/>
              <w:jc w:val="center"/>
              <w:textAlignment w:val="center"/>
              <w:rPr>
                <w:rFonts w:ascii="Times New Roman" w:hAnsi="Times New Roman"/>
              </w:rPr>
            </w:pPr>
            <w:r>
              <w:rPr>
                <w:rFonts w:ascii="Times New Roman" w:hAnsi="Times New Roman"/>
              </w:rPr>
              <w:t>33.33</w:t>
            </w:r>
          </w:p>
        </w:tc>
        <w:tc>
          <w:tcPr>
            <w:tcW w:w="942" w:type="pct"/>
            <w:shd w:val="clear" w:color="auto" w:fill="auto"/>
            <w:tcMar>
              <w:top w:w="0" w:type="dxa"/>
              <w:left w:w="0" w:type="dxa"/>
              <w:bottom w:w="0" w:type="dxa"/>
              <w:right w:w="0" w:type="dxa"/>
            </w:tcMar>
            <w:vAlign w:val="center"/>
          </w:tcPr>
          <w:p>
            <w:pPr>
              <w:widowControl/>
              <w:adjustRightInd w:val="0"/>
              <w:snapToGrid w:val="0"/>
              <w:jc w:val="center"/>
              <w:textAlignment w:val="center"/>
              <w:rPr>
                <w:rFonts w:ascii="Times New Roman" w:hAnsi="Times New Roman"/>
              </w:rPr>
            </w:pPr>
            <w:r>
              <w:rPr>
                <w:rFonts w:ascii="Times New Roman" w:hAnsi="Times New Roman"/>
              </w:rPr>
              <w:t>59.26</w:t>
            </w:r>
          </w:p>
        </w:tc>
        <w:tc>
          <w:tcPr>
            <w:tcW w:w="944" w:type="pct"/>
            <w:shd w:val="clear" w:color="auto" w:fill="auto"/>
            <w:tcMar>
              <w:top w:w="0" w:type="dxa"/>
              <w:left w:w="0" w:type="dxa"/>
              <w:bottom w:w="0" w:type="dxa"/>
              <w:right w:w="0" w:type="dxa"/>
            </w:tcMar>
            <w:vAlign w:val="center"/>
          </w:tcPr>
          <w:p>
            <w:pPr>
              <w:widowControl/>
              <w:adjustRightInd w:val="0"/>
              <w:snapToGrid w:val="0"/>
              <w:jc w:val="center"/>
              <w:textAlignment w:val="center"/>
              <w:rPr>
                <w:rFonts w:ascii="Times New Roman" w:hAnsi="Times New Roman"/>
              </w:rPr>
            </w:pPr>
            <w:r>
              <w:rPr>
                <w:rFonts w:ascii="Times New Roman" w:hAnsi="Times New Roman"/>
                <w:kern w:val="0"/>
                <w:lang w:bidi="ar"/>
              </w:rPr>
              <w:t>100</w:t>
            </w:r>
          </w:p>
        </w:tc>
      </w:tr>
    </w:tbl>
    <w:p>
      <w:pPr>
        <w:widowControl/>
        <w:adjustRightInd w:val="0"/>
        <w:snapToGrid w:val="0"/>
        <w:spacing w:line="360" w:lineRule="auto"/>
        <w:ind w:firstLine="480" w:firstLineChars="200"/>
        <w:jc w:val="left"/>
        <w:rPr>
          <w:rFonts w:hint="eastAsia" w:ascii="宋体" w:hAnsi="宋体" w:cs="宋体"/>
          <w:kern w:val="0"/>
          <w:sz w:val="24"/>
          <w:szCs w:val="24"/>
        </w:rPr>
      </w:pPr>
    </w:p>
    <w:p>
      <w:pPr>
        <w:widowControl/>
        <w:adjustRightInd w:val="0"/>
        <w:snapToGrid w:val="0"/>
        <w:spacing w:line="360" w:lineRule="auto"/>
        <w:ind w:firstLine="480" w:firstLineChars="200"/>
        <w:jc w:val="left"/>
        <w:rPr>
          <w:rFonts w:ascii="Times New Roman" w:hAnsi="Times New Roman"/>
          <w:kern w:val="0"/>
          <w:sz w:val="24"/>
          <w:szCs w:val="24"/>
        </w:rPr>
      </w:pPr>
      <w:r>
        <w:rPr>
          <w:rFonts w:hint="eastAsia" w:ascii="宋体" w:hAnsi="宋体" w:cs="宋体"/>
          <w:kern w:val="0"/>
          <w:sz w:val="24"/>
          <w:szCs w:val="24"/>
        </w:rPr>
        <w:t>⑵</w:t>
      </w:r>
      <w:r>
        <w:rPr>
          <w:rFonts w:ascii="Times New Roman" w:hAnsi="Times New Roman"/>
          <w:kern w:val="0"/>
          <w:sz w:val="24"/>
          <w:szCs w:val="24"/>
        </w:rPr>
        <w:t xml:space="preserve"> 密度和生物量</w:t>
      </w:r>
    </w:p>
    <w:p>
      <w:pPr>
        <w:adjustRightInd w:val="0"/>
        <w:snapToGrid w:val="0"/>
        <w:spacing w:line="360" w:lineRule="auto"/>
        <w:ind w:firstLine="480" w:firstLineChars="200"/>
        <w:rPr>
          <w:rFonts w:ascii="Times New Roman" w:hAnsi="Times New Roman"/>
          <w:sz w:val="24"/>
          <w:szCs w:val="24"/>
        </w:rPr>
      </w:pPr>
      <w:r>
        <w:rPr>
          <w:rFonts w:ascii="Times New Roman" w:hAnsi="Times New Roman"/>
          <w:kern w:val="0"/>
          <w:sz w:val="24"/>
          <w:szCs w:val="24"/>
        </w:rPr>
        <w:t>调查点位底栖动物平均密度为31.25ind./m</w:t>
      </w:r>
      <w:r>
        <w:rPr>
          <w:rFonts w:ascii="Times New Roman" w:hAnsi="Times New Roman"/>
          <w:kern w:val="0"/>
          <w:sz w:val="24"/>
          <w:szCs w:val="24"/>
          <w:vertAlign w:val="superscript"/>
        </w:rPr>
        <w:t>2</w:t>
      </w:r>
      <w:r>
        <w:rPr>
          <w:rFonts w:ascii="Times New Roman" w:hAnsi="Times New Roman"/>
          <w:sz w:val="24"/>
          <w:szCs w:val="24"/>
        </w:rPr>
        <w:t>；平均生物量为6.94g/m</w:t>
      </w:r>
      <w:r>
        <w:rPr>
          <w:rFonts w:ascii="Times New Roman" w:hAnsi="Times New Roman"/>
          <w:sz w:val="24"/>
          <w:szCs w:val="24"/>
          <w:vertAlign w:val="superscript"/>
        </w:rPr>
        <w:t>2</w:t>
      </w:r>
      <w:r>
        <w:rPr>
          <w:rFonts w:ascii="Times New Roman" w:hAnsi="Times New Roman"/>
          <w:sz w:val="24"/>
          <w:szCs w:val="24"/>
        </w:rPr>
        <w:t>，详见表4.8-10。从表中可以看出，评价区底栖动物密度变化范围为13~58ind./m</w:t>
      </w:r>
      <w:r>
        <w:rPr>
          <w:rFonts w:ascii="Times New Roman" w:hAnsi="Times New Roman"/>
          <w:sz w:val="24"/>
          <w:szCs w:val="24"/>
          <w:vertAlign w:val="superscript"/>
        </w:rPr>
        <w:t>2</w:t>
      </w:r>
      <w:r>
        <w:rPr>
          <w:rFonts w:ascii="Times New Roman" w:hAnsi="Times New Roman"/>
          <w:sz w:val="24"/>
          <w:szCs w:val="24"/>
        </w:rPr>
        <w:t>；生物量变化范围为0.73~24.46 g/m</w:t>
      </w:r>
      <w:r>
        <w:rPr>
          <w:rFonts w:ascii="Times New Roman" w:hAnsi="Times New Roman"/>
          <w:sz w:val="24"/>
          <w:szCs w:val="24"/>
          <w:vertAlign w:val="superscript"/>
        </w:rPr>
        <w:t>2</w:t>
      </w:r>
      <w:r>
        <w:rPr>
          <w:rFonts w:ascii="Times New Roman" w:hAnsi="Times New Roman"/>
          <w:sz w:val="24"/>
          <w:szCs w:val="24"/>
        </w:rPr>
        <w:t>。</w:t>
      </w:r>
    </w:p>
    <w:p>
      <w:pPr>
        <w:widowControl/>
        <w:adjustRightInd w:val="0"/>
        <w:snapToGrid w:val="0"/>
        <w:spacing w:line="276" w:lineRule="auto"/>
        <w:jc w:val="center"/>
        <w:rPr>
          <w:rFonts w:ascii="Times New Roman" w:hAnsi="Times New Roman"/>
          <w:b/>
          <w:kern w:val="0"/>
          <w:sz w:val="24"/>
          <w:szCs w:val="24"/>
        </w:rPr>
      </w:pPr>
      <w:bookmarkStart w:id="104" w:name="_Toc3096_WPSOffice_Level3"/>
      <w:bookmarkStart w:id="105" w:name="_Toc14881_WPSOffice_Level3"/>
      <w:bookmarkStart w:id="106" w:name="_Toc2448_WPSOffice_Level3"/>
      <w:bookmarkStart w:id="107" w:name="_Toc10190_WPSOffice_Level3"/>
      <w:r>
        <w:rPr>
          <w:rFonts w:ascii="Times New Roman" w:hAnsi="Times New Roman"/>
          <w:b/>
          <w:kern w:val="0"/>
          <w:sz w:val="24"/>
          <w:szCs w:val="24"/>
        </w:rPr>
        <w:t>表4.8-10  评价区各采样点位底栖动物密度（ind./m</w:t>
      </w:r>
      <w:r>
        <w:rPr>
          <w:rFonts w:ascii="Times New Roman" w:hAnsi="Times New Roman"/>
          <w:b/>
          <w:kern w:val="0"/>
          <w:sz w:val="24"/>
          <w:szCs w:val="24"/>
          <w:vertAlign w:val="superscript"/>
        </w:rPr>
        <w:t>2</w:t>
      </w:r>
      <w:r>
        <w:rPr>
          <w:rFonts w:ascii="Times New Roman" w:hAnsi="Times New Roman"/>
          <w:b/>
          <w:kern w:val="0"/>
          <w:sz w:val="24"/>
          <w:szCs w:val="24"/>
        </w:rPr>
        <w:t>）和生物量（g/m</w:t>
      </w:r>
      <w:r>
        <w:rPr>
          <w:rFonts w:ascii="Times New Roman" w:hAnsi="Times New Roman"/>
          <w:b/>
          <w:kern w:val="0"/>
          <w:sz w:val="24"/>
          <w:szCs w:val="24"/>
          <w:vertAlign w:val="superscript"/>
        </w:rPr>
        <w:t>2</w:t>
      </w:r>
      <w:r>
        <w:rPr>
          <w:rFonts w:ascii="Times New Roman" w:hAnsi="Times New Roman"/>
          <w:b/>
          <w:kern w:val="0"/>
          <w:sz w:val="24"/>
          <w:szCs w:val="24"/>
        </w:rPr>
        <w:t>）</w:t>
      </w:r>
      <w:bookmarkEnd w:id="104"/>
      <w:bookmarkEnd w:id="105"/>
      <w:bookmarkEnd w:id="106"/>
      <w:bookmarkEnd w:id="107"/>
    </w:p>
    <w:tbl>
      <w:tblPr>
        <w:tblStyle w:val="71"/>
        <w:tblW w:w="5000" w:type="pct"/>
        <w:tblInd w:w="0" w:type="dxa"/>
        <w:tblLayout w:type="autofit"/>
        <w:tblCellMar>
          <w:top w:w="0" w:type="dxa"/>
          <w:left w:w="0" w:type="dxa"/>
          <w:bottom w:w="0" w:type="dxa"/>
          <w:right w:w="0" w:type="dxa"/>
        </w:tblCellMar>
      </w:tblPr>
      <w:tblGrid>
        <w:gridCol w:w="1449"/>
        <w:gridCol w:w="1090"/>
        <w:gridCol w:w="1312"/>
        <w:gridCol w:w="1312"/>
        <w:gridCol w:w="1312"/>
        <w:gridCol w:w="1314"/>
        <w:gridCol w:w="1311"/>
      </w:tblGrid>
      <w:tr>
        <w:tblPrEx>
          <w:tblCellMar>
            <w:top w:w="0" w:type="dxa"/>
            <w:left w:w="0" w:type="dxa"/>
            <w:bottom w:w="0" w:type="dxa"/>
            <w:right w:w="0" w:type="dxa"/>
          </w:tblCellMar>
        </w:tblPrEx>
        <w:trPr>
          <w:trHeight w:val="285" w:hRule="atLeast"/>
          <w:tblHeader/>
        </w:trPr>
        <w:tc>
          <w:tcPr>
            <w:tcW w:w="1395" w:type="pct"/>
            <w:gridSpan w:val="2"/>
            <w:vMerge w:val="restart"/>
            <w:tcBorders>
              <w:top w:val="single" w:color="000000" w:sz="12" w:space="0"/>
              <w:left w:val="single" w:color="000000" w:sz="12"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种类</w:t>
            </w:r>
          </w:p>
        </w:tc>
        <w:tc>
          <w:tcPr>
            <w:tcW w:w="2885" w:type="pct"/>
            <w:gridSpan w:val="4"/>
            <w:tcBorders>
              <w:top w:val="single" w:color="000000" w:sz="12" w:space="0"/>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采样点位</w:t>
            </w:r>
          </w:p>
        </w:tc>
        <w:tc>
          <w:tcPr>
            <w:tcW w:w="720" w:type="pct"/>
            <w:vMerge w:val="restart"/>
            <w:tcBorders>
              <w:top w:val="single" w:color="000000" w:sz="12" w:space="0"/>
              <w:left w:val="single" w:color="000000" w:sz="4" w:space="0"/>
              <w:bottom w:val="single" w:color="000000" w:sz="4" w:space="0"/>
              <w:right w:val="single" w:color="000000" w:sz="12" w:space="0"/>
            </w:tcBorders>
            <w:shd w:val="clear" w:color="auto" w:fill="auto"/>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平均值</w:t>
            </w:r>
          </w:p>
        </w:tc>
      </w:tr>
      <w:tr>
        <w:tblPrEx>
          <w:tblCellMar>
            <w:top w:w="0" w:type="dxa"/>
            <w:left w:w="0" w:type="dxa"/>
            <w:bottom w:w="0" w:type="dxa"/>
            <w:right w:w="0" w:type="dxa"/>
          </w:tblCellMar>
        </w:tblPrEx>
        <w:trPr>
          <w:trHeight w:val="315" w:hRule="atLeast"/>
          <w:tblHeader/>
        </w:trPr>
        <w:tc>
          <w:tcPr>
            <w:tcW w:w="1395" w:type="pct"/>
            <w:gridSpan w:val="2"/>
            <w:vMerge w:val="continue"/>
            <w:tcBorders>
              <w:top w:val="single" w:color="000000" w:sz="4" w:space="0"/>
              <w:left w:val="single" w:color="000000" w:sz="12" w:space="0"/>
              <w:bottom w:val="single" w:color="000000" w:sz="4" w:space="0"/>
              <w:right w:val="single" w:color="000000" w:sz="4" w:space="0"/>
            </w:tcBorders>
            <w:vAlign w:val="center"/>
          </w:tcPr>
          <w:p>
            <w:pPr>
              <w:widowControl/>
              <w:adjustRightInd w:val="0"/>
              <w:snapToGrid w:val="0"/>
              <w:jc w:val="center"/>
              <w:rPr>
                <w:rFonts w:ascii="Times New Roman" w:hAnsi="Times New Roman"/>
                <w:b/>
                <w:bCs/>
                <w:color w:val="000000"/>
                <w:kern w:val="0"/>
              </w:rPr>
            </w:pPr>
          </w:p>
        </w:tc>
        <w:tc>
          <w:tcPr>
            <w:tcW w:w="721"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1</w:t>
            </w:r>
          </w:p>
        </w:tc>
        <w:tc>
          <w:tcPr>
            <w:tcW w:w="721"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2</w:t>
            </w:r>
          </w:p>
        </w:tc>
        <w:tc>
          <w:tcPr>
            <w:tcW w:w="721"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3</w:t>
            </w:r>
          </w:p>
        </w:tc>
        <w:tc>
          <w:tcPr>
            <w:tcW w:w="721" w:type="pct"/>
            <w:tcBorders>
              <w:top w:val="single" w:color="000000" w:sz="4" w:space="0"/>
              <w:left w:val="single" w:color="000000" w:sz="4" w:space="0"/>
              <w:bottom w:val="single" w:color="auto" w:sz="4" w:space="0"/>
              <w:right w:val="single" w:color="000000" w:sz="4" w:space="0"/>
            </w:tcBorders>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4</w:t>
            </w:r>
          </w:p>
        </w:tc>
        <w:tc>
          <w:tcPr>
            <w:tcW w:w="720" w:type="pct"/>
            <w:vMerge w:val="continue"/>
            <w:tcBorders>
              <w:top w:val="single" w:color="000000" w:sz="4" w:space="0"/>
              <w:left w:val="single" w:color="000000" w:sz="4" w:space="0"/>
              <w:bottom w:val="single" w:color="000000" w:sz="4" w:space="0"/>
              <w:right w:val="single" w:color="000000" w:sz="12" w:space="0"/>
            </w:tcBorders>
            <w:vAlign w:val="center"/>
          </w:tcPr>
          <w:p>
            <w:pPr>
              <w:widowControl/>
              <w:adjustRightInd w:val="0"/>
              <w:snapToGrid w:val="0"/>
              <w:jc w:val="center"/>
              <w:rPr>
                <w:rFonts w:ascii="Times New Roman" w:hAnsi="Times New Roman"/>
                <w:b/>
                <w:bCs/>
                <w:color w:val="000000"/>
                <w:kern w:val="0"/>
              </w:rPr>
            </w:pPr>
          </w:p>
        </w:tc>
      </w:tr>
      <w:tr>
        <w:tblPrEx>
          <w:tblCellMar>
            <w:top w:w="0" w:type="dxa"/>
            <w:left w:w="0" w:type="dxa"/>
            <w:bottom w:w="0" w:type="dxa"/>
            <w:right w:w="0" w:type="dxa"/>
          </w:tblCellMar>
        </w:tblPrEx>
        <w:trPr>
          <w:trHeight w:val="315" w:hRule="atLeast"/>
        </w:trPr>
        <w:tc>
          <w:tcPr>
            <w:tcW w:w="796" w:type="pct"/>
            <w:vMerge w:val="restart"/>
            <w:tcBorders>
              <w:top w:val="nil"/>
              <w:left w:val="single" w:color="000000" w:sz="12"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环节动物</w:t>
            </w:r>
          </w:p>
        </w:tc>
        <w:tc>
          <w:tcPr>
            <w:tcW w:w="598"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密度</w:t>
            </w:r>
          </w:p>
        </w:tc>
        <w:tc>
          <w:tcPr>
            <w:tcW w:w="721"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2</w:t>
            </w:r>
          </w:p>
        </w:tc>
        <w:tc>
          <w:tcPr>
            <w:tcW w:w="721"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2</w:t>
            </w:r>
          </w:p>
        </w:tc>
        <w:tc>
          <w:tcPr>
            <w:tcW w:w="721" w:type="pct"/>
            <w:tcBorders>
              <w:top w:val="nil"/>
              <w:left w:val="nil"/>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2</w:t>
            </w:r>
          </w:p>
        </w:tc>
        <w:tc>
          <w:tcPr>
            <w:tcW w:w="72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18</w:t>
            </w:r>
          </w:p>
        </w:tc>
        <w:tc>
          <w:tcPr>
            <w:tcW w:w="720" w:type="pct"/>
            <w:tcBorders>
              <w:top w:val="nil"/>
              <w:left w:val="single" w:color="auto" w:sz="4" w:space="0"/>
              <w:bottom w:val="single" w:color="000000" w:sz="4" w:space="0"/>
              <w:right w:val="single" w:color="000000" w:sz="12"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6</w:t>
            </w:r>
          </w:p>
        </w:tc>
      </w:tr>
      <w:tr>
        <w:tblPrEx>
          <w:tblCellMar>
            <w:top w:w="0" w:type="dxa"/>
            <w:left w:w="0" w:type="dxa"/>
            <w:bottom w:w="0" w:type="dxa"/>
            <w:right w:w="0" w:type="dxa"/>
          </w:tblCellMar>
        </w:tblPrEx>
        <w:trPr>
          <w:trHeight w:val="315" w:hRule="atLeast"/>
        </w:trPr>
        <w:tc>
          <w:tcPr>
            <w:tcW w:w="796" w:type="pct"/>
            <w:vMerge w:val="continue"/>
            <w:tcBorders>
              <w:top w:val="nil"/>
              <w:left w:val="single" w:color="000000" w:sz="12" w:space="0"/>
              <w:bottom w:val="single" w:color="000000" w:sz="4" w:space="0"/>
              <w:right w:val="single" w:color="000000" w:sz="4" w:space="0"/>
            </w:tcBorders>
            <w:vAlign w:val="center"/>
          </w:tcPr>
          <w:p>
            <w:pPr>
              <w:widowControl/>
              <w:adjustRightInd w:val="0"/>
              <w:snapToGrid w:val="0"/>
              <w:jc w:val="center"/>
              <w:rPr>
                <w:rFonts w:ascii="Times New Roman" w:hAnsi="Times New Roman"/>
                <w:b/>
                <w:bCs/>
                <w:color w:val="000000"/>
                <w:kern w:val="0"/>
              </w:rPr>
            </w:pPr>
          </w:p>
        </w:tc>
        <w:tc>
          <w:tcPr>
            <w:tcW w:w="598"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生物量</w:t>
            </w:r>
          </w:p>
        </w:tc>
        <w:tc>
          <w:tcPr>
            <w:tcW w:w="721"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0.02</w:t>
            </w:r>
          </w:p>
        </w:tc>
        <w:tc>
          <w:tcPr>
            <w:tcW w:w="721"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0.01</w:t>
            </w:r>
          </w:p>
        </w:tc>
        <w:tc>
          <w:tcPr>
            <w:tcW w:w="721" w:type="pct"/>
            <w:tcBorders>
              <w:top w:val="nil"/>
              <w:left w:val="nil"/>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0.02</w:t>
            </w:r>
          </w:p>
        </w:tc>
        <w:tc>
          <w:tcPr>
            <w:tcW w:w="72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0.07</w:t>
            </w:r>
          </w:p>
        </w:tc>
        <w:tc>
          <w:tcPr>
            <w:tcW w:w="720" w:type="pct"/>
            <w:tcBorders>
              <w:top w:val="nil"/>
              <w:left w:val="single" w:color="auto" w:sz="4" w:space="0"/>
              <w:bottom w:val="single" w:color="000000" w:sz="4" w:space="0"/>
              <w:right w:val="single" w:color="000000" w:sz="12"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0.03</w:t>
            </w:r>
          </w:p>
        </w:tc>
      </w:tr>
      <w:tr>
        <w:tblPrEx>
          <w:tblCellMar>
            <w:top w:w="0" w:type="dxa"/>
            <w:left w:w="0" w:type="dxa"/>
            <w:bottom w:w="0" w:type="dxa"/>
            <w:right w:w="0" w:type="dxa"/>
          </w:tblCellMar>
        </w:tblPrEx>
        <w:trPr>
          <w:trHeight w:val="315" w:hRule="atLeast"/>
        </w:trPr>
        <w:tc>
          <w:tcPr>
            <w:tcW w:w="796" w:type="pct"/>
            <w:vMerge w:val="restart"/>
            <w:tcBorders>
              <w:top w:val="nil"/>
              <w:left w:val="single" w:color="000000" w:sz="12"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软体动物</w:t>
            </w:r>
          </w:p>
        </w:tc>
        <w:tc>
          <w:tcPr>
            <w:tcW w:w="598"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密度</w:t>
            </w:r>
          </w:p>
        </w:tc>
        <w:tc>
          <w:tcPr>
            <w:tcW w:w="721"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26</w:t>
            </w:r>
          </w:p>
        </w:tc>
        <w:tc>
          <w:tcPr>
            <w:tcW w:w="721"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2</w:t>
            </w:r>
          </w:p>
        </w:tc>
        <w:tc>
          <w:tcPr>
            <w:tcW w:w="721" w:type="pct"/>
            <w:tcBorders>
              <w:top w:val="nil"/>
              <w:left w:val="nil"/>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4</w:t>
            </w:r>
          </w:p>
        </w:tc>
        <w:tc>
          <w:tcPr>
            <w:tcW w:w="72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16</w:t>
            </w:r>
          </w:p>
        </w:tc>
        <w:tc>
          <w:tcPr>
            <w:tcW w:w="720" w:type="pct"/>
            <w:tcBorders>
              <w:top w:val="nil"/>
              <w:left w:val="single" w:color="auto" w:sz="4" w:space="0"/>
              <w:bottom w:val="single" w:color="000000" w:sz="4" w:space="0"/>
              <w:right w:val="single" w:color="000000" w:sz="12"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12</w:t>
            </w:r>
          </w:p>
        </w:tc>
      </w:tr>
      <w:tr>
        <w:tblPrEx>
          <w:tblCellMar>
            <w:top w:w="0" w:type="dxa"/>
            <w:left w:w="0" w:type="dxa"/>
            <w:bottom w:w="0" w:type="dxa"/>
            <w:right w:w="0" w:type="dxa"/>
          </w:tblCellMar>
        </w:tblPrEx>
        <w:trPr>
          <w:trHeight w:val="315" w:hRule="atLeast"/>
        </w:trPr>
        <w:tc>
          <w:tcPr>
            <w:tcW w:w="796" w:type="pct"/>
            <w:vMerge w:val="continue"/>
            <w:tcBorders>
              <w:top w:val="nil"/>
              <w:left w:val="single" w:color="000000" w:sz="12" w:space="0"/>
              <w:bottom w:val="single" w:color="000000" w:sz="4" w:space="0"/>
              <w:right w:val="single" w:color="000000" w:sz="4" w:space="0"/>
            </w:tcBorders>
            <w:vAlign w:val="center"/>
          </w:tcPr>
          <w:p>
            <w:pPr>
              <w:widowControl/>
              <w:adjustRightInd w:val="0"/>
              <w:snapToGrid w:val="0"/>
              <w:jc w:val="center"/>
              <w:rPr>
                <w:rFonts w:ascii="Times New Roman" w:hAnsi="Times New Roman"/>
                <w:b/>
                <w:bCs/>
                <w:color w:val="000000"/>
                <w:kern w:val="0"/>
              </w:rPr>
            </w:pPr>
          </w:p>
        </w:tc>
        <w:tc>
          <w:tcPr>
            <w:tcW w:w="598"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生物量</w:t>
            </w:r>
          </w:p>
        </w:tc>
        <w:tc>
          <w:tcPr>
            <w:tcW w:w="721"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1.33</w:t>
            </w:r>
          </w:p>
        </w:tc>
        <w:tc>
          <w:tcPr>
            <w:tcW w:w="721"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0.3</w:t>
            </w:r>
          </w:p>
        </w:tc>
        <w:tc>
          <w:tcPr>
            <w:tcW w:w="721" w:type="pct"/>
            <w:tcBorders>
              <w:top w:val="nil"/>
              <w:left w:val="nil"/>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0.4</w:t>
            </w:r>
          </w:p>
        </w:tc>
        <w:tc>
          <w:tcPr>
            <w:tcW w:w="72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23.67</w:t>
            </w:r>
          </w:p>
        </w:tc>
        <w:tc>
          <w:tcPr>
            <w:tcW w:w="720" w:type="pct"/>
            <w:tcBorders>
              <w:top w:val="nil"/>
              <w:left w:val="single" w:color="auto" w:sz="4" w:space="0"/>
              <w:bottom w:val="single" w:color="000000" w:sz="4" w:space="0"/>
              <w:right w:val="single" w:color="000000" w:sz="12"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6.425</w:t>
            </w:r>
          </w:p>
        </w:tc>
      </w:tr>
      <w:tr>
        <w:tblPrEx>
          <w:tblCellMar>
            <w:top w:w="0" w:type="dxa"/>
            <w:left w:w="0" w:type="dxa"/>
            <w:bottom w:w="0" w:type="dxa"/>
            <w:right w:w="0" w:type="dxa"/>
          </w:tblCellMar>
        </w:tblPrEx>
        <w:trPr>
          <w:trHeight w:val="315" w:hRule="atLeast"/>
        </w:trPr>
        <w:tc>
          <w:tcPr>
            <w:tcW w:w="796" w:type="pct"/>
            <w:vMerge w:val="restart"/>
            <w:tcBorders>
              <w:top w:val="nil"/>
              <w:left w:val="single" w:color="000000" w:sz="12"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节肢动物</w:t>
            </w:r>
          </w:p>
        </w:tc>
        <w:tc>
          <w:tcPr>
            <w:tcW w:w="598"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密度</w:t>
            </w:r>
          </w:p>
        </w:tc>
        <w:tc>
          <w:tcPr>
            <w:tcW w:w="721"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8</w:t>
            </w:r>
          </w:p>
        </w:tc>
        <w:tc>
          <w:tcPr>
            <w:tcW w:w="721"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9</w:t>
            </w:r>
          </w:p>
        </w:tc>
        <w:tc>
          <w:tcPr>
            <w:tcW w:w="721" w:type="pct"/>
            <w:tcBorders>
              <w:top w:val="nil"/>
              <w:left w:val="nil"/>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12</w:t>
            </w:r>
          </w:p>
        </w:tc>
        <w:tc>
          <w:tcPr>
            <w:tcW w:w="72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24</w:t>
            </w:r>
          </w:p>
        </w:tc>
        <w:tc>
          <w:tcPr>
            <w:tcW w:w="720" w:type="pct"/>
            <w:tcBorders>
              <w:top w:val="nil"/>
              <w:left w:val="single" w:color="auto" w:sz="4" w:space="0"/>
              <w:bottom w:val="single" w:color="000000" w:sz="4" w:space="0"/>
              <w:right w:val="single" w:color="000000" w:sz="12"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13.25</w:t>
            </w:r>
          </w:p>
        </w:tc>
      </w:tr>
      <w:tr>
        <w:tblPrEx>
          <w:tblCellMar>
            <w:top w:w="0" w:type="dxa"/>
            <w:left w:w="0" w:type="dxa"/>
            <w:bottom w:w="0" w:type="dxa"/>
            <w:right w:w="0" w:type="dxa"/>
          </w:tblCellMar>
        </w:tblPrEx>
        <w:trPr>
          <w:trHeight w:val="315" w:hRule="atLeast"/>
        </w:trPr>
        <w:tc>
          <w:tcPr>
            <w:tcW w:w="796" w:type="pct"/>
            <w:vMerge w:val="continue"/>
            <w:tcBorders>
              <w:top w:val="nil"/>
              <w:left w:val="single" w:color="000000" w:sz="12" w:space="0"/>
              <w:bottom w:val="single" w:color="000000" w:sz="4" w:space="0"/>
              <w:right w:val="single" w:color="000000" w:sz="4" w:space="0"/>
            </w:tcBorders>
            <w:vAlign w:val="center"/>
          </w:tcPr>
          <w:p>
            <w:pPr>
              <w:widowControl/>
              <w:adjustRightInd w:val="0"/>
              <w:snapToGrid w:val="0"/>
              <w:jc w:val="center"/>
              <w:rPr>
                <w:rFonts w:ascii="Times New Roman" w:hAnsi="Times New Roman"/>
                <w:b/>
                <w:bCs/>
                <w:color w:val="000000"/>
                <w:kern w:val="0"/>
              </w:rPr>
            </w:pPr>
          </w:p>
        </w:tc>
        <w:tc>
          <w:tcPr>
            <w:tcW w:w="598"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生物量</w:t>
            </w:r>
          </w:p>
        </w:tc>
        <w:tc>
          <w:tcPr>
            <w:tcW w:w="721"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0.32</w:t>
            </w:r>
          </w:p>
        </w:tc>
        <w:tc>
          <w:tcPr>
            <w:tcW w:w="721"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0.42</w:t>
            </w:r>
          </w:p>
        </w:tc>
        <w:tc>
          <w:tcPr>
            <w:tcW w:w="721" w:type="pct"/>
            <w:tcBorders>
              <w:top w:val="nil"/>
              <w:left w:val="nil"/>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0.48</w:t>
            </w:r>
          </w:p>
        </w:tc>
        <w:tc>
          <w:tcPr>
            <w:tcW w:w="72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0.72</w:t>
            </w:r>
          </w:p>
        </w:tc>
        <w:tc>
          <w:tcPr>
            <w:tcW w:w="720" w:type="pct"/>
            <w:tcBorders>
              <w:top w:val="nil"/>
              <w:left w:val="single" w:color="auto" w:sz="4" w:space="0"/>
              <w:bottom w:val="single" w:color="000000" w:sz="4" w:space="0"/>
              <w:right w:val="single" w:color="000000" w:sz="12"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0.49</w:t>
            </w:r>
          </w:p>
        </w:tc>
      </w:tr>
      <w:tr>
        <w:tblPrEx>
          <w:tblCellMar>
            <w:top w:w="0" w:type="dxa"/>
            <w:left w:w="0" w:type="dxa"/>
            <w:bottom w:w="0" w:type="dxa"/>
            <w:right w:w="0" w:type="dxa"/>
          </w:tblCellMar>
        </w:tblPrEx>
        <w:trPr>
          <w:trHeight w:val="315" w:hRule="atLeast"/>
        </w:trPr>
        <w:tc>
          <w:tcPr>
            <w:tcW w:w="796" w:type="pct"/>
            <w:vMerge w:val="restart"/>
            <w:tcBorders>
              <w:top w:val="nil"/>
              <w:left w:val="single" w:color="000000" w:sz="12"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b/>
                <w:bCs/>
                <w:color w:val="000000"/>
                <w:kern w:val="0"/>
              </w:rPr>
            </w:pPr>
            <w:r>
              <w:rPr>
                <w:rFonts w:ascii="Times New Roman" w:hAnsi="Times New Roman"/>
                <w:b/>
                <w:bCs/>
                <w:color w:val="000000"/>
                <w:kern w:val="0"/>
              </w:rPr>
              <w:t>总计</w:t>
            </w:r>
          </w:p>
        </w:tc>
        <w:tc>
          <w:tcPr>
            <w:tcW w:w="598"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密度</w:t>
            </w:r>
          </w:p>
        </w:tc>
        <w:tc>
          <w:tcPr>
            <w:tcW w:w="721"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36</w:t>
            </w:r>
          </w:p>
        </w:tc>
        <w:tc>
          <w:tcPr>
            <w:tcW w:w="721" w:type="pct"/>
            <w:tcBorders>
              <w:top w:val="nil"/>
              <w:left w:val="nil"/>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13</w:t>
            </w:r>
          </w:p>
        </w:tc>
        <w:tc>
          <w:tcPr>
            <w:tcW w:w="721" w:type="pct"/>
            <w:tcBorders>
              <w:top w:val="nil"/>
              <w:left w:val="nil"/>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18</w:t>
            </w:r>
          </w:p>
        </w:tc>
        <w:tc>
          <w:tcPr>
            <w:tcW w:w="72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58</w:t>
            </w:r>
          </w:p>
        </w:tc>
        <w:tc>
          <w:tcPr>
            <w:tcW w:w="720" w:type="pct"/>
            <w:tcBorders>
              <w:top w:val="nil"/>
              <w:left w:val="single" w:color="auto" w:sz="4" w:space="0"/>
              <w:bottom w:val="single" w:color="000000" w:sz="4" w:space="0"/>
              <w:right w:val="single" w:color="000000" w:sz="12"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31.25</w:t>
            </w:r>
          </w:p>
        </w:tc>
      </w:tr>
      <w:tr>
        <w:tblPrEx>
          <w:tblCellMar>
            <w:top w:w="0" w:type="dxa"/>
            <w:left w:w="0" w:type="dxa"/>
            <w:bottom w:w="0" w:type="dxa"/>
            <w:right w:w="0" w:type="dxa"/>
          </w:tblCellMar>
        </w:tblPrEx>
        <w:trPr>
          <w:trHeight w:val="315" w:hRule="atLeast"/>
        </w:trPr>
        <w:tc>
          <w:tcPr>
            <w:tcW w:w="796" w:type="pct"/>
            <w:vMerge w:val="continue"/>
            <w:tcBorders>
              <w:top w:val="nil"/>
              <w:left w:val="single" w:color="000000" w:sz="12" w:space="0"/>
              <w:bottom w:val="single" w:color="000000" w:sz="12" w:space="0"/>
              <w:right w:val="single" w:color="000000" w:sz="4" w:space="0"/>
            </w:tcBorders>
            <w:vAlign w:val="center"/>
          </w:tcPr>
          <w:p>
            <w:pPr>
              <w:widowControl/>
              <w:adjustRightInd w:val="0"/>
              <w:snapToGrid w:val="0"/>
              <w:jc w:val="center"/>
              <w:rPr>
                <w:rFonts w:ascii="Times New Roman" w:hAnsi="Times New Roman"/>
                <w:b/>
                <w:bCs/>
                <w:color w:val="000000"/>
                <w:kern w:val="0"/>
              </w:rPr>
            </w:pPr>
          </w:p>
        </w:tc>
        <w:tc>
          <w:tcPr>
            <w:tcW w:w="598" w:type="pct"/>
            <w:tcBorders>
              <w:top w:val="nil"/>
              <w:left w:val="nil"/>
              <w:bottom w:val="single" w:color="000000" w:sz="12"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kern w:val="0"/>
              </w:rPr>
              <w:t>生物量</w:t>
            </w:r>
          </w:p>
        </w:tc>
        <w:tc>
          <w:tcPr>
            <w:tcW w:w="721" w:type="pct"/>
            <w:tcBorders>
              <w:top w:val="nil"/>
              <w:left w:val="nil"/>
              <w:bottom w:val="single" w:color="000000" w:sz="12"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1.67</w:t>
            </w:r>
          </w:p>
        </w:tc>
        <w:tc>
          <w:tcPr>
            <w:tcW w:w="721" w:type="pct"/>
            <w:tcBorders>
              <w:top w:val="nil"/>
              <w:left w:val="nil"/>
              <w:bottom w:val="single" w:color="000000" w:sz="12" w:space="0"/>
              <w:right w:val="single" w:color="000000"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0.73</w:t>
            </w:r>
          </w:p>
        </w:tc>
        <w:tc>
          <w:tcPr>
            <w:tcW w:w="721" w:type="pct"/>
            <w:tcBorders>
              <w:top w:val="nil"/>
              <w:left w:val="nil"/>
              <w:bottom w:val="single" w:color="000000" w:sz="12" w:space="0"/>
              <w:right w:val="single" w:color="auto" w:sz="4"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0.9</w:t>
            </w:r>
          </w:p>
        </w:tc>
        <w:tc>
          <w:tcPr>
            <w:tcW w:w="721" w:type="pct"/>
            <w:tcBorders>
              <w:top w:val="single" w:color="auto" w:sz="4" w:space="0"/>
              <w:left w:val="single" w:color="auto" w:sz="4" w:space="0"/>
              <w:bottom w:val="single" w:color="000000" w:sz="12" w:space="0"/>
              <w:right w:val="single" w:color="auto" w:sz="4" w:space="0"/>
            </w:tcBorders>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24.46</w:t>
            </w:r>
          </w:p>
        </w:tc>
        <w:tc>
          <w:tcPr>
            <w:tcW w:w="720" w:type="pct"/>
            <w:tcBorders>
              <w:top w:val="nil"/>
              <w:left w:val="single" w:color="auto" w:sz="4" w:space="0"/>
              <w:bottom w:val="single" w:color="000000" w:sz="12" w:space="0"/>
              <w:right w:val="single" w:color="000000" w:sz="12" w:space="0"/>
            </w:tcBorders>
            <w:shd w:val="clear" w:color="auto" w:fill="auto"/>
            <w:vAlign w:val="center"/>
          </w:tcPr>
          <w:p>
            <w:pPr>
              <w:widowControl/>
              <w:adjustRightInd w:val="0"/>
              <w:snapToGrid w:val="0"/>
              <w:jc w:val="center"/>
              <w:rPr>
                <w:rFonts w:ascii="Times New Roman" w:hAnsi="Times New Roman"/>
                <w:color w:val="000000"/>
                <w:kern w:val="0"/>
              </w:rPr>
            </w:pPr>
            <w:r>
              <w:rPr>
                <w:rFonts w:ascii="Times New Roman" w:hAnsi="Times New Roman"/>
                <w:color w:val="000000"/>
              </w:rPr>
              <w:t>6.94</w:t>
            </w:r>
          </w:p>
        </w:tc>
      </w:tr>
    </w:tbl>
    <w:p>
      <w:pPr>
        <w:widowControl/>
        <w:adjustRightInd w:val="0"/>
        <w:snapToGrid w:val="0"/>
        <w:spacing w:line="360" w:lineRule="auto"/>
        <w:ind w:firstLine="482" w:firstLineChars="200"/>
        <w:jc w:val="left"/>
        <w:rPr>
          <w:rFonts w:ascii="Times New Roman" w:hAnsi="Times New Roman" w:eastAsiaTheme="minorEastAsia"/>
          <w:b/>
          <w:kern w:val="0"/>
          <w:sz w:val="24"/>
          <w:szCs w:val="24"/>
        </w:rPr>
      </w:pPr>
    </w:p>
    <w:p>
      <w:pPr>
        <w:pStyle w:val="5"/>
        <w:rPr>
          <w:rFonts w:eastAsiaTheme="minorEastAsia"/>
        </w:rPr>
      </w:pPr>
      <w:r>
        <w:rPr>
          <w:rFonts w:eastAsiaTheme="minorEastAsia"/>
        </w:rPr>
        <w:t>水生维管束植物</w:t>
      </w:r>
    </w:p>
    <w:p>
      <w:pPr>
        <w:wordWrap w:val="0"/>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根据调查，保护区江段共有水生维管束植物36种。沉水植物有金鱼藻（</w:t>
      </w:r>
      <w:r>
        <w:rPr>
          <w:rFonts w:ascii="Times New Roman" w:hAnsi="Times New Roman" w:eastAsiaTheme="minorEastAsia"/>
          <w:i/>
          <w:iCs/>
          <w:kern w:val="0"/>
          <w:sz w:val="24"/>
          <w:szCs w:val="24"/>
        </w:rPr>
        <w:t>Ceratophyllum demersum</w:t>
      </w:r>
      <w:r>
        <w:rPr>
          <w:rFonts w:ascii="Times New Roman" w:hAnsi="Times New Roman" w:eastAsiaTheme="minorEastAsia"/>
          <w:bCs/>
          <w:sz w:val="24"/>
          <w:szCs w:val="24"/>
        </w:rPr>
        <w:t>）、菹草（</w:t>
      </w:r>
      <w:r>
        <w:rPr>
          <w:rFonts w:ascii="Times New Roman" w:hAnsi="Times New Roman" w:eastAsiaTheme="minorEastAsia"/>
          <w:bCs/>
          <w:i/>
          <w:sz w:val="24"/>
          <w:szCs w:val="24"/>
        </w:rPr>
        <w:t>Potamogeton crispus</w:t>
      </w:r>
      <w:r>
        <w:rPr>
          <w:rFonts w:ascii="Times New Roman" w:hAnsi="Times New Roman" w:eastAsiaTheme="minorEastAsia"/>
          <w:bCs/>
          <w:sz w:val="24"/>
          <w:szCs w:val="24"/>
        </w:rPr>
        <w:t>）等；挺水植物有</w:t>
      </w:r>
      <w:r>
        <w:rPr>
          <w:rFonts w:ascii="Times New Roman" w:hAnsi="Times New Roman" w:eastAsiaTheme="minorEastAsia"/>
          <w:color w:val="000000"/>
          <w:kern w:val="0"/>
          <w:sz w:val="24"/>
          <w:szCs w:val="24"/>
        </w:rPr>
        <w:t>水蓼（</w:t>
      </w:r>
      <w:r>
        <w:rPr>
          <w:rFonts w:ascii="Times New Roman" w:hAnsi="Times New Roman" w:eastAsiaTheme="minorEastAsia"/>
          <w:i/>
          <w:iCs/>
          <w:color w:val="000000"/>
          <w:kern w:val="0"/>
          <w:sz w:val="24"/>
          <w:szCs w:val="24"/>
        </w:rPr>
        <w:t>Polygonum hydropiper</w:t>
      </w:r>
      <w:r>
        <w:rPr>
          <w:rFonts w:ascii="Times New Roman" w:hAnsi="Times New Roman" w:eastAsiaTheme="minorEastAsia"/>
          <w:color w:val="000000"/>
          <w:kern w:val="0"/>
          <w:sz w:val="24"/>
          <w:szCs w:val="24"/>
        </w:rPr>
        <w:t>）、</w:t>
      </w:r>
      <w:r>
        <w:rPr>
          <w:rFonts w:ascii="Times New Roman" w:hAnsi="Times New Roman"/>
          <w:color w:val="000000"/>
          <w:kern w:val="0"/>
          <w:sz w:val="24"/>
          <w:szCs w:val="24"/>
        </w:rPr>
        <w:t>虉草（</w:t>
      </w:r>
      <w:r>
        <w:rPr>
          <w:rFonts w:ascii="Times New Roman" w:hAnsi="Times New Roman"/>
          <w:i/>
          <w:iCs/>
          <w:color w:val="000000"/>
          <w:kern w:val="0"/>
          <w:sz w:val="24"/>
          <w:szCs w:val="24"/>
        </w:rPr>
        <w:t>Phalaris arundinacea</w:t>
      </w:r>
      <w:r>
        <w:rPr>
          <w:rFonts w:ascii="Times New Roman" w:hAnsi="Times New Roman"/>
          <w:color w:val="000000"/>
          <w:kern w:val="0"/>
          <w:sz w:val="24"/>
          <w:szCs w:val="24"/>
        </w:rPr>
        <w:t>）</w:t>
      </w:r>
      <w:r>
        <w:rPr>
          <w:rFonts w:ascii="Times New Roman" w:hAnsi="Times New Roman"/>
          <w:i/>
          <w:iCs/>
          <w:color w:val="000000"/>
          <w:kern w:val="0"/>
          <w:sz w:val="24"/>
          <w:szCs w:val="24"/>
        </w:rPr>
        <w:t>、</w:t>
      </w:r>
      <w:r>
        <w:rPr>
          <w:rFonts w:ascii="Times New Roman" w:hAnsi="Times New Roman"/>
          <w:color w:val="000000"/>
          <w:kern w:val="0"/>
          <w:sz w:val="24"/>
          <w:szCs w:val="24"/>
        </w:rPr>
        <w:t>芦蒿（</w:t>
      </w:r>
      <w:r>
        <w:rPr>
          <w:rFonts w:ascii="Times New Roman" w:hAnsi="Times New Roman"/>
          <w:i/>
          <w:iCs/>
          <w:color w:val="000000"/>
          <w:kern w:val="0"/>
          <w:sz w:val="24"/>
          <w:szCs w:val="24"/>
        </w:rPr>
        <w:t>Artemisia selengensis</w:t>
      </w:r>
      <w:r>
        <w:rPr>
          <w:rFonts w:ascii="Times New Roman" w:hAnsi="Times New Roman"/>
          <w:color w:val="000000"/>
          <w:kern w:val="0"/>
          <w:sz w:val="24"/>
          <w:szCs w:val="24"/>
        </w:rPr>
        <w:t>）</w:t>
      </w:r>
      <w:r>
        <w:rPr>
          <w:rFonts w:ascii="Times New Roman" w:hAnsi="Times New Roman" w:eastAsiaTheme="minorEastAsia"/>
          <w:kern w:val="0"/>
          <w:sz w:val="24"/>
          <w:szCs w:val="24"/>
        </w:rPr>
        <w:t>等；浮叶植物有</w:t>
      </w:r>
      <w:r>
        <w:rPr>
          <w:rFonts w:ascii="Times New Roman" w:hAnsi="Times New Roman" w:eastAsiaTheme="minorEastAsia"/>
          <w:color w:val="000000"/>
          <w:kern w:val="0"/>
          <w:sz w:val="24"/>
          <w:szCs w:val="24"/>
        </w:rPr>
        <w:t>水鳖（</w:t>
      </w:r>
      <w:r>
        <w:rPr>
          <w:rFonts w:ascii="Times New Roman" w:hAnsi="Times New Roman" w:eastAsiaTheme="minorEastAsia"/>
          <w:i/>
          <w:iCs/>
          <w:kern w:val="0"/>
          <w:sz w:val="24"/>
          <w:szCs w:val="24"/>
        </w:rPr>
        <w:t>Hydrocharis dubia</w:t>
      </w:r>
      <w:r>
        <w:rPr>
          <w:rFonts w:ascii="Times New Roman" w:hAnsi="Times New Roman" w:eastAsiaTheme="minorEastAsia"/>
          <w:color w:val="000000"/>
          <w:kern w:val="0"/>
          <w:sz w:val="24"/>
          <w:szCs w:val="24"/>
        </w:rPr>
        <w:t>）等；漂浮植物有凤眼蓝（</w:t>
      </w:r>
      <w:r>
        <w:rPr>
          <w:rFonts w:ascii="Times New Roman" w:hAnsi="Times New Roman" w:eastAsiaTheme="minorEastAsia"/>
          <w:i/>
          <w:iCs/>
          <w:kern w:val="0"/>
          <w:sz w:val="24"/>
          <w:szCs w:val="24"/>
        </w:rPr>
        <w:t>Eichhornia crassipes</w:t>
      </w:r>
      <w:r>
        <w:rPr>
          <w:rFonts w:ascii="Times New Roman" w:hAnsi="Times New Roman" w:eastAsiaTheme="minorEastAsia"/>
          <w:color w:val="000000"/>
          <w:kern w:val="0"/>
          <w:sz w:val="24"/>
          <w:szCs w:val="24"/>
        </w:rPr>
        <w:t>）、</w:t>
      </w:r>
      <w:r>
        <w:rPr>
          <w:rFonts w:ascii="Times New Roman" w:hAnsi="Times New Roman" w:eastAsiaTheme="minorEastAsia"/>
          <w:kern w:val="0"/>
          <w:sz w:val="24"/>
          <w:szCs w:val="24"/>
        </w:rPr>
        <w:t>浮萍（</w:t>
      </w:r>
      <w:r>
        <w:rPr>
          <w:rFonts w:ascii="Times New Roman" w:hAnsi="Times New Roman" w:eastAsiaTheme="minorEastAsia"/>
          <w:i/>
          <w:iCs/>
          <w:kern w:val="0"/>
          <w:sz w:val="24"/>
          <w:szCs w:val="24"/>
        </w:rPr>
        <w:t>Lemna minor</w:t>
      </w:r>
      <w:r>
        <w:rPr>
          <w:rFonts w:ascii="Times New Roman" w:hAnsi="Times New Roman" w:eastAsiaTheme="minorEastAsia"/>
          <w:kern w:val="0"/>
          <w:sz w:val="24"/>
          <w:szCs w:val="24"/>
        </w:rPr>
        <w:t>）、满江红（</w:t>
      </w:r>
      <w:r>
        <w:rPr>
          <w:rFonts w:ascii="Times New Roman" w:hAnsi="Times New Roman"/>
          <w:i/>
          <w:sz w:val="24"/>
          <w:szCs w:val="24"/>
        </w:rPr>
        <w:t>Azolla imbricata</w:t>
      </w:r>
      <w:r>
        <w:rPr>
          <w:rFonts w:ascii="Times New Roman" w:hAnsi="Times New Roman" w:eastAsiaTheme="minorEastAsia"/>
          <w:kern w:val="0"/>
          <w:sz w:val="24"/>
          <w:szCs w:val="24"/>
        </w:rPr>
        <w:t>）等。</w:t>
      </w:r>
      <w:r>
        <w:rPr>
          <w:rFonts w:ascii="Times New Roman" w:hAnsi="Times New Roman" w:eastAsiaTheme="minorEastAsia"/>
          <w:bCs/>
          <w:sz w:val="24"/>
          <w:szCs w:val="24"/>
        </w:rPr>
        <w:t>工程区常水位以下水生植物稀少，常水位线上分布较多的湿生植物，如</w:t>
      </w:r>
      <w:r>
        <w:rPr>
          <w:rFonts w:ascii="Times New Roman" w:hAnsi="Times New Roman"/>
          <w:color w:val="000000"/>
          <w:kern w:val="0"/>
          <w:sz w:val="24"/>
          <w:szCs w:val="24"/>
        </w:rPr>
        <w:t>芦</w:t>
      </w:r>
      <w:r>
        <w:rPr>
          <w:rFonts w:ascii="Times New Roman" w:hAnsi="Times New Roman"/>
          <w:sz w:val="24"/>
          <w:szCs w:val="24"/>
        </w:rPr>
        <w:t>蒿（</w:t>
      </w:r>
      <w:r>
        <w:rPr>
          <w:rFonts w:ascii="Times New Roman" w:hAnsi="Times New Roman"/>
          <w:i/>
          <w:sz w:val="24"/>
          <w:szCs w:val="24"/>
        </w:rPr>
        <w:t>Artemisia selengensis</w:t>
      </w:r>
      <w:r>
        <w:rPr>
          <w:rFonts w:ascii="Times New Roman" w:hAnsi="Times New Roman"/>
          <w:sz w:val="24"/>
          <w:szCs w:val="24"/>
        </w:rPr>
        <w:t>）、芦苇（</w:t>
      </w:r>
      <w:r>
        <w:rPr>
          <w:rFonts w:ascii="Times New Roman" w:hAnsi="Times New Roman"/>
          <w:i/>
          <w:sz w:val="24"/>
          <w:szCs w:val="24"/>
        </w:rPr>
        <w:t>Phragmites australis</w:t>
      </w:r>
      <w:r>
        <w:rPr>
          <w:rFonts w:ascii="Times New Roman" w:hAnsi="Times New Roman"/>
          <w:sz w:val="24"/>
          <w:szCs w:val="24"/>
        </w:rPr>
        <w:t>）、南荻（</w:t>
      </w:r>
      <w:r>
        <w:rPr>
          <w:rFonts w:ascii="Times New Roman" w:hAnsi="Times New Roman"/>
          <w:i/>
          <w:sz w:val="24"/>
          <w:szCs w:val="24"/>
        </w:rPr>
        <w:t>Triarrhena lutarioriparia</w:t>
      </w:r>
      <w:r>
        <w:rPr>
          <w:rFonts w:ascii="Times New Roman" w:hAnsi="Times New Roman"/>
          <w:sz w:val="24"/>
          <w:szCs w:val="24"/>
        </w:rPr>
        <w:t>）等</w:t>
      </w:r>
      <w:r>
        <w:rPr>
          <w:rFonts w:ascii="Times New Roman" w:hAnsi="Times New Roman" w:eastAsiaTheme="minorEastAsia"/>
          <w:bCs/>
          <w:sz w:val="24"/>
          <w:szCs w:val="24"/>
        </w:rPr>
        <w:t>。</w:t>
      </w:r>
    </w:p>
    <w:p>
      <w:pPr>
        <w:pStyle w:val="4"/>
        <w:rPr>
          <w:szCs w:val="24"/>
        </w:rPr>
      </w:pPr>
      <w:bookmarkStart w:id="108" w:name="_Toc630_WPSOffice_Level3"/>
      <w:bookmarkStart w:id="109" w:name="_Toc515895871"/>
      <w:bookmarkStart w:id="110" w:name="_Toc38835303"/>
      <w:r>
        <w:rPr>
          <w:szCs w:val="24"/>
        </w:rPr>
        <w:t>保护区结构和功能完整性评价</w:t>
      </w:r>
      <w:bookmarkEnd w:id="108"/>
      <w:bookmarkEnd w:id="109"/>
      <w:bookmarkEnd w:id="110"/>
    </w:p>
    <w:p>
      <w:pPr>
        <w:wordWrap w:val="0"/>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保护区结构完整性包括生境完整性和生物完整性。其中生境完整性包括水质、水量（包括水文节律）、栖息地（包括复杂性与连通性）；生物完整性包括生物多样性（恢复力的重要保障）和生物群落结构（食物网结构）。以下分别从生境完整性和生物完整性对保护区进行评价。</w:t>
      </w:r>
    </w:p>
    <w:p>
      <w:pPr>
        <w:pStyle w:val="5"/>
      </w:pPr>
      <w:r>
        <w:t>生境完整性评价</w:t>
      </w:r>
    </w:p>
    <w:p>
      <w:pPr>
        <w:adjustRightInd w:val="0"/>
        <w:snapToGrid w:val="0"/>
        <w:spacing w:line="276" w:lineRule="auto"/>
        <w:jc w:val="center"/>
        <w:rPr>
          <w:rFonts w:ascii="Times New Roman" w:hAnsi="Times New Roman" w:eastAsia="B8+仿宋"/>
          <w:b/>
          <w:sz w:val="24"/>
          <w:szCs w:val="24"/>
        </w:rPr>
      </w:pPr>
      <w:r>
        <w:rPr>
          <w:rFonts w:ascii="Times New Roman" w:hAnsi="Times New Roman"/>
          <w:b/>
          <w:sz w:val="24"/>
          <w:szCs w:val="24"/>
        </w:rPr>
        <w:t>表4.8-11  河流栖息地</w:t>
      </w:r>
      <w:r>
        <w:rPr>
          <w:rFonts w:ascii="Times New Roman" w:hAnsi="Times New Roman" w:eastAsia="B8+仿宋"/>
          <w:b/>
          <w:sz w:val="24"/>
          <w:szCs w:val="24"/>
        </w:rPr>
        <w:t>评价指标</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243"/>
        <w:gridCol w:w="2093"/>
        <w:gridCol w:w="1820"/>
        <w:gridCol w:w="1820"/>
        <w:gridCol w:w="21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jc w:val="center"/>
        </w:trPr>
        <w:tc>
          <w:tcPr>
            <w:tcW w:w="683" w:type="pct"/>
            <w:vAlign w:val="center"/>
          </w:tcPr>
          <w:p>
            <w:pPr>
              <w:adjustRightInd w:val="0"/>
              <w:snapToGrid w:val="0"/>
              <w:jc w:val="center"/>
              <w:rPr>
                <w:rFonts w:ascii="Times New Roman" w:hAnsi="Times New Roman"/>
                <w:b/>
              </w:rPr>
            </w:pPr>
            <w:r>
              <w:rPr>
                <w:rFonts w:ascii="Times New Roman" w:hAnsi="Times New Roman"/>
                <w:b/>
              </w:rPr>
              <w:t>评价指标</w:t>
            </w:r>
          </w:p>
        </w:tc>
        <w:tc>
          <w:tcPr>
            <w:tcW w:w="1150" w:type="pct"/>
            <w:vAlign w:val="center"/>
          </w:tcPr>
          <w:p>
            <w:pPr>
              <w:adjustRightInd w:val="0"/>
              <w:snapToGrid w:val="0"/>
              <w:jc w:val="center"/>
              <w:rPr>
                <w:rFonts w:ascii="Times New Roman" w:hAnsi="Times New Roman"/>
                <w:b/>
              </w:rPr>
            </w:pPr>
            <w:r>
              <w:rPr>
                <w:rFonts w:ascii="Times New Roman" w:hAnsi="Times New Roman"/>
                <w:b/>
              </w:rPr>
              <w:t>好</w:t>
            </w:r>
          </w:p>
        </w:tc>
        <w:tc>
          <w:tcPr>
            <w:tcW w:w="1000" w:type="pct"/>
            <w:vAlign w:val="center"/>
          </w:tcPr>
          <w:p>
            <w:pPr>
              <w:adjustRightInd w:val="0"/>
              <w:snapToGrid w:val="0"/>
              <w:jc w:val="center"/>
              <w:rPr>
                <w:rFonts w:ascii="Times New Roman" w:hAnsi="Times New Roman"/>
                <w:b/>
              </w:rPr>
            </w:pPr>
            <w:r>
              <w:rPr>
                <w:rFonts w:ascii="Times New Roman" w:hAnsi="Times New Roman"/>
                <w:b/>
              </w:rPr>
              <w:t>较好</w:t>
            </w:r>
          </w:p>
        </w:tc>
        <w:tc>
          <w:tcPr>
            <w:tcW w:w="1000" w:type="pct"/>
            <w:vAlign w:val="center"/>
          </w:tcPr>
          <w:p>
            <w:pPr>
              <w:adjustRightInd w:val="0"/>
              <w:snapToGrid w:val="0"/>
              <w:jc w:val="center"/>
              <w:rPr>
                <w:rFonts w:ascii="Times New Roman" w:hAnsi="Times New Roman"/>
                <w:b/>
              </w:rPr>
            </w:pPr>
            <w:r>
              <w:rPr>
                <w:rFonts w:ascii="Times New Roman" w:hAnsi="Times New Roman"/>
                <w:b/>
              </w:rPr>
              <w:t>一般</w:t>
            </w:r>
          </w:p>
        </w:tc>
        <w:tc>
          <w:tcPr>
            <w:tcW w:w="1167" w:type="pct"/>
            <w:vAlign w:val="center"/>
          </w:tcPr>
          <w:p>
            <w:pPr>
              <w:adjustRightInd w:val="0"/>
              <w:snapToGrid w:val="0"/>
              <w:jc w:val="center"/>
              <w:rPr>
                <w:rFonts w:ascii="Times New Roman" w:hAnsi="Times New Roman"/>
                <w:b/>
              </w:rPr>
            </w:pPr>
            <w:r>
              <w:rPr>
                <w:rFonts w:ascii="Times New Roman" w:hAnsi="Times New Roman"/>
                <w:b/>
              </w:rPr>
              <w:t>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83" w:type="pct"/>
            <w:vAlign w:val="center"/>
          </w:tcPr>
          <w:p>
            <w:pPr>
              <w:adjustRightInd w:val="0"/>
              <w:snapToGrid w:val="0"/>
              <w:rPr>
                <w:rFonts w:ascii="Times New Roman" w:hAnsi="Times New Roman"/>
              </w:rPr>
            </w:pPr>
            <w:r>
              <w:rPr>
                <w:rFonts w:ascii="Times New Roman" w:hAnsi="Times New Roman"/>
              </w:rPr>
              <w:t>1底质</w:t>
            </w:r>
          </w:p>
        </w:tc>
        <w:tc>
          <w:tcPr>
            <w:tcW w:w="1150" w:type="pct"/>
            <w:vAlign w:val="center"/>
          </w:tcPr>
          <w:p>
            <w:pPr>
              <w:adjustRightInd w:val="0"/>
              <w:snapToGrid w:val="0"/>
              <w:rPr>
                <w:rFonts w:ascii="Times New Roman" w:hAnsi="Times New Roman"/>
              </w:rPr>
            </w:pPr>
            <w:r>
              <w:rPr>
                <w:rFonts w:ascii="Times New Roman" w:hAnsi="Times New Roman"/>
              </w:rPr>
              <w:t>75%以上是碎石、鹅卵石、大石，余为细沙等沉积物</w:t>
            </w:r>
          </w:p>
        </w:tc>
        <w:tc>
          <w:tcPr>
            <w:tcW w:w="1000" w:type="pct"/>
            <w:vAlign w:val="center"/>
          </w:tcPr>
          <w:p>
            <w:pPr>
              <w:adjustRightInd w:val="0"/>
              <w:snapToGrid w:val="0"/>
              <w:rPr>
                <w:rFonts w:ascii="Times New Roman" w:hAnsi="Times New Roman"/>
              </w:rPr>
            </w:pPr>
            <w:r>
              <w:rPr>
                <w:rFonts w:ascii="Times New Roman" w:hAnsi="Times New Roman"/>
              </w:rPr>
              <w:t>50%~75%是碎石、鹅卵石、大石，余为细沙等沉积物</w:t>
            </w:r>
          </w:p>
        </w:tc>
        <w:tc>
          <w:tcPr>
            <w:tcW w:w="1000" w:type="pct"/>
            <w:vAlign w:val="center"/>
          </w:tcPr>
          <w:p>
            <w:pPr>
              <w:adjustRightInd w:val="0"/>
              <w:snapToGrid w:val="0"/>
              <w:rPr>
                <w:rFonts w:ascii="Times New Roman" w:hAnsi="Times New Roman"/>
              </w:rPr>
            </w:pPr>
            <w:r>
              <w:rPr>
                <w:rFonts w:ascii="Times New Roman" w:hAnsi="Times New Roman"/>
              </w:rPr>
              <w:t>25%~50%是碎石、鹅卵石、大石，余为细沙等沉积物</w:t>
            </w:r>
          </w:p>
        </w:tc>
        <w:tc>
          <w:tcPr>
            <w:tcW w:w="1167" w:type="pct"/>
            <w:vAlign w:val="center"/>
          </w:tcPr>
          <w:p>
            <w:pPr>
              <w:adjustRightInd w:val="0"/>
              <w:snapToGrid w:val="0"/>
              <w:rPr>
                <w:rFonts w:ascii="Times New Roman" w:hAnsi="Times New Roman"/>
              </w:rPr>
            </w:pPr>
            <w:r>
              <w:rPr>
                <w:rFonts w:ascii="Times New Roman" w:hAnsi="Times New Roman"/>
              </w:rPr>
              <w:t>碎石、鹅卵石、大石少于25%，余为细沙等沉积物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83" w:type="pct"/>
            <w:vAlign w:val="center"/>
          </w:tcPr>
          <w:p>
            <w:pPr>
              <w:adjustRightInd w:val="0"/>
              <w:snapToGrid w:val="0"/>
              <w:rPr>
                <w:rFonts w:ascii="Times New Roman" w:hAnsi="Times New Roman"/>
              </w:rPr>
            </w:pPr>
            <w:r>
              <w:rPr>
                <w:rFonts w:ascii="Times New Roman" w:hAnsi="Times New Roman"/>
              </w:rPr>
              <w:t>2栖境复杂性</w:t>
            </w:r>
          </w:p>
        </w:tc>
        <w:tc>
          <w:tcPr>
            <w:tcW w:w="1150" w:type="pct"/>
            <w:vAlign w:val="center"/>
          </w:tcPr>
          <w:p>
            <w:pPr>
              <w:adjustRightInd w:val="0"/>
              <w:snapToGrid w:val="0"/>
              <w:rPr>
                <w:rFonts w:ascii="Times New Roman" w:hAnsi="Times New Roman"/>
              </w:rPr>
            </w:pPr>
            <w:r>
              <w:rPr>
                <w:rFonts w:ascii="Times New Roman" w:hAnsi="Times New Roman"/>
              </w:rPr>
              <w:t>有水生植被、枯枝落叶、倒木、倒凹堤岸和巨石等各种小栖境</w:t>
            </w:r>
          </w:p>
        </w:tc>
        <w:tc>
          <w:tcPr>
            <w:tcW w:w="1000" w:type="pct"/>
            <w:vAlign w:val="center"/>
          </w:tcPr>
          <w:p>
            <w:pPr>
              <w:adjustRightInd w:val="0"/>
              <w:snapToGrid w:val="0"/>
              <w:rPr>
                <w:rFonts w:ascii="Times New Roman" w:hAnsi="Times New Roman"/>
              </w:rPr>
            </w:pPr>
            <w:r>
              <w:rPr>
                <w:rFonts w:ascii="Times New Roman" w:hAnsi="Times New Roman"/>
              </w:rPr>
              <w:t>有水生植被、枯枝落叶和倒凹堤岸等小栖境</w:t>
            </w:r>
          </w:p>
        </w:tc>
        <w:tc>
          <w:tcPr>
            <w:tcW w:w="1000" w:type="pct"/>
            <w:vAlign w:val="center"/>
          </w:tcPr>
          <w:p>
            <w:pPr>
              <w:adjustRightInd w:val="0"/>
              <w:snapToGrid w:val="0"/>
              <w:rPr>
                <w:rFonts w:ascii="Times New Roman" w:hAnsi="Times New Roman"/>
              </w:rPr>
            </w:pPr>
            <w:r>
              <w:rPr>
                <w:rFonts w:ascii="Times New Roman" w:hAnsi="Times New Roman"/>
              </w:rPr>
              <w:t>以1种或2种小栖境为主</w:t>
            </w:r>
          </w:p>
        </w:tc>
        <w:tc>
          <w:tcPr>
            <w:tcW w:w="1167" w:type="pct"/>
            <w:vAlign w:val="center"/>
          </w:tcPr>
          <w:p>
            <w:pPr>
              <w:adjustRightInd w:val="0"/>
              <w:snapToGrid w:val="0"/>
              <w:rPr>
                <w:rFonts w:ascii="Times New Roman" w:hAnsi="Times New Roman"/>
              </w:rPr>
            </w:pPr>
            <w:r>
              <w:rPr>
                <w:rFonts w:ascii="Times New Roman" w:hAnsi="Times New Roman"/>
              </w:rPr>
              <w:t>以1种小栖境为主，底质多以淤泥或细沙为主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83" w:type="pct"/>
            <w:vAlign w:val="center"/>
          </w:tcPr>
          <w:p>
            <w:pPr>
              <w:adjustRightInd w:val="0"/>
              <w:snapToGrid w:val="0"/>
              <w:rPr>
                <w:rFonts w:ascii="Times New Roman" w:hAnsi="Times New Roman"/>
              </w:rPr>
            </w:pPr>
            <w:r>
              <w:rPr>
                <w:rFonts w:ascii="Times New Roman" w:hAnsi="Times New Roman"/>
              </w:rPr>
              <w:t>3速度和深度结合特性</w:t>
            </w:r>
          </w:p>
        </w:tc>
        <w:tc>
          <w:tcPr>
            <w:tcW w:w="1150" w:type="pct"/>
            <w:vAlign w:val="center"/>
          </w:tcPr>
          <w:p>
            <w:pPr>
              <w:adjustRightInd w:val="0"/>
              <w:snapToGrid w:val="0"/>
              <w:rPr>
                <w:rFonts w:ascii="Times New Roman" w:hAnsi="Times New Roman"/>
              </w:rPr>
            </w:pPr>
            <w:r>
              <w:rPr>
                <w:rFonts w:ascii="Times New Roman" w:hAnsi="Times New Roman"/>
              </w:rPr>
              <w:t>慢-深、慢-浅、快-深和快-浅4种类型均有出现，且近乎是平均分布</w:t>
            </w:r>
          </w:p>
        </w:tc>
        <w:tc>
          <w:tcPr>
            <w:tcW w:w="1000" w:type="pct"/>
            <w:vAlign w:val="center"/>
          </w:tcPr>
          <w:p>
            <w:pPr>
              <w:adjustRightInd w:val="0"/>
              <w:snapToGrid w:val="0"/>
              <w:rPr>
                <w:rFonts w:ascii="Times New Roman" w:hAnsi="Times New Roman"/>
              </w:rPr>
            </w:pPr>
            <w:r>
              <w:rPr>
                <w:rFonts w:ascii="Times New Roman" w:hAnsi="Times New Roman"/>
              </w:rPr>
              <w:t>只有3种情况出现（如果是快-浅没有出现，分值比缺少其它的情况分值低）</w:t>
            </w:r>
          </w:p>
        </w:tc>
        <w:tc>
          <w:tcPr>
            <w:tcW w:w="1000" w:type="pct"/>
            <w:vAlign w:val="center"/>
          </w:tcPr>
          <w:p>
            <w:pPr>
              <w:adjustRightInd w:val="0"/>
              <w:snapToGrid w:val="0"/>
              <w:rPr>
                <w:rFonts w:ascii="Times New Roman" w:hAnsi="Times New Roman"/>
              </w:rPr>
            </w:pPr>
            <w:r>
              <w:rPr>
                <w:rFonts w:ascii="Times New Roman" w:hAnsi="Times New Roman"/>
              </w:rPr>
              <w:t>只有2种情况出现（如果快-浅和慢-浅没有出现，分值要低）</w:t>
            </w:r>
          </w:p>
        </w:tc>
        <w:tc>
          <w:tcPr>
            <w:tcW w:w="1167" w:type="pct"/>
            <w:vAlign w:val="center"/>
          </w:tcPr>
          <w:p>
            <w:pPr>
              <w:adjustRightInd w:val="0"/>
              <w:snapToGrid w:val="0"/>
              <w:rPr>
                <w:rFonts w:ascii="Times New Roman" w:hAnsi="Times New Roman"/>
              </w:rPr>
            </w:pPr>
            <w:r>
              <w:rPr>
                <w:rFonts w:ascii="Times New Roman" w:hAnsi="Times New Roman"/>
              </w:rPr>
              <w:t>只有1种类型出现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83" w:type="pct"/>
            <w:vAlign w:val="center"/>
          </w:tcPr>
          <w:p>
            <w:pPr>
              <w:adjustRightInd w:val="0"/>
              <w:snapToGrid w:val="0"/>
              <w:rPr>
                <w:rFonts w:ascii="Times New Roman" w:hAnsi="Times New Roman"/>
              </w:rPr>
            </w:pPr>
            <w:r>
              <w:rPr>
                <w:rFonts w:ascii="Times New Roman" w:hAnsi="Times New Roman"/>
              </w:rPr>
              <w:t>4堤岸稳定性</w:t>
            </w:r>
          </w:p>
        </w:tc>
        <w:tc>
          <w:tcPr>
            <w:tcW w:w="1150" w:type="pct"/>
            <w:vAlign w:val="center"/>
          </w:tcPr>
          <w:p>
            <w:pPr>
              <w:adjustRightInd w:val="0"/>
              <w:snapToGrid w:val="0"/>
              <w:rPr>
                <w:rFonts w:ascii="Times New Roman" w:hAnsi="Times New Roman"/>
              </w:rPr>
            </w:pPr>
            <w:r>
              <w:rPr>
                <w:rFonts w:ascii="Times New Roman" w:hAnsi="Times New Roman"/>
              </w:rPr>
              <w:t>堤岸很稳定，无侵蚀痕迹，观察范围内 （100m）有小于5%的堤岸受到了损害</w:t>
            </w:r>
          </w:p>
        </w:tc>
        <w:tc>
          <w:tcPr>
            <w:tcW w:w="1000" w:type="pct"/>
            <w:vAlign w:val="center"/>
          </w:tcPr>
          <w:p>
            <w:pPr>
              <w:adjustRightInd w:val="0"/>
              <w:snapToGrid w:val="0"/>
              <w:rPr>
                <w:rFonts w:ascii="Times New Roman" w:hAnsi="Times New Roman"/>
              </w:rPr>
            </w:pPr>
            <w:r>
              <w:rPr>
                <w:rFonts w:ascii="Times New Roman" w:hAnsi="Times New Roman"/>
              </w:rPr>
              <w:t>比较稳定，观察范围内（100m）有 5%~30%的面积出现了侵蚀现象</w:t>
            </w:r>
          </w:p>
        </w:tc>
        <w:tc>
          <w:tcPr>
            <w:tcW w:w="1000" w:type="pct"/>
            <w:vAlign w:val="center"/>
          </w:tcPr>
          <w:p>
            <w:pPr>
              <w:adjustRightInd w:val="0"/>
              <w:snapToGrid w:val="0"/>
              <w:rPr>
                <w:rFonts w:ascii="Times New Roman" w:hAnsi="Times New Roman"/>
              </w:rPr>
            </w:pPr>
            <w:r>
              <w:rPr>
                <w:rFonts w:ascii="Times New Roman" w:hAnsi="Times New Roman"/>
              </w:rPr>
              <w:t>观察范围内30%~60%的面积发生了侵蚀，且有可能会在洪水期间发生大的隐患</w:t>
            </w:r>
          </w:p>
        </w:tc>
        <w:tc>
          <w:tcPr>
            <w:tcW w:w="1167" w:type="pct"/>
            <w:vAlign w:val="center"/>
          </w:tcPr>
          <w:p>
            <w:pPr>
              <w:adjustRightInd w:val="0"/>
              <w:snapToGrid w:val="0"/>
              <w:rPr>
                <w:rFonts w:ascii="Times New Roman" w:hAnsi="Times New Roman"/>
              </w:rPr>
            </w:pPr>
            <w:r>
              <w:rPr>
                <w:rFonts w:ascii="Times New Roman" w:hAnsi="Times New Roman"/>
              </w:rPr>
              <w:t>观察范围内 60%以上的堤岸发生了侵蚀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83" w:type="pct"/>
            <w:vAlign w:val="center"/>
          </w:tcPr>
          <w:p>
            <w:pPr>
              <w:adjustRightInd w:val="0"/>
              <w:snapToGrid w:val="0"/>
              <w:rPr>
                <w:rFonts w:ascii="Times New Roman" w:hAnsi="Times New Roman"/>
              </w:rPr>
            </w:pPr>
            <w:r>
              <w:rPr>
                <w:rFonts w:ascii="Times New Roman" w:hAnsi="Times New Roman"/>
              </w:rPr>
              <w:t>5河道变化</w:t>
            </w:r>
          </w:p>
        </w:tc>
        <w:tc>
          <w:tcPr>
            <w:tcW w:w="1150" w:type="pct"/>
            <w:vAlign w:val="center"/>
          </w:tcPr>
          <w:p>
            <w:pPr>
              <w:adjustRightInd w:val="0"/>
              <w:snapToGrid w:val="0"/>
              <w:rPr>
                <w:rFonts w:ascii="Times New Roman" w:hAnsi="Times New Roman"/>
              </w:rPr>
            </w:pPr>
            <w:r>
              <w:rPr>
                <w:rFonts w:ascii="Times New Roman" w:hAnsi="Times New Roman"/>
              </w:rPr>
              <w:t>渠道化没有出现或很少出现，河道维持正常模式</w:t>
            </w:r>
          </w:p>
        </w:tc>
        <w:tc>
          <w:tcPr>
            <w:tcW w:w="1000" w:type="pct"/>
            <w:vAlign w:val="center"/>
          </w:tcPr>
          <w:p>
            <w:pPr>
              <w:adjustRightInd w:val="0"/>
              <w:snapToGrid w:val="0"/>
              <w:rPr>
                <w:rFonts w:ascii="Times New Roman" w:hAnsi="Times New Roman"/>
              </w:rPr>
            </w:pPr>
            <w:r>
              <w:rPr>
                <w:rFonts w:ascii="Times New Roman" w:hAnsi="Times New Roman"/>
              </w:rPr>
              <w:t>渠道化出现较少，通常在桥墩周围处出现渠道化，对水生生物影响较小</w:t>
            </w:r>
          </w:p>
        </w:tc>
        <w:tc>
          <w:tcPr>
            <w:tcW w:w="1000" w:type="pct"/>
            <w:vAlign w:val="center"/>
          </w:tcPr>
          <w:p>
            <w:pPr>
              <w:adjustRightInd w:val="0"/>
              <w:snapToGrid w:val="0"/>
              <w:rPr>
                <w:rFonts w:ascii="Times New Roman" w:hAnsi="Times New Roman"/>
              </w:rPr>
            </w:pPr>
            <w:r>
              <w:rPr>
                <w:rFonts w:ascii="Times New Roman" w:hAnsi="Times New Roman"/>
              </w:rPr>
              <w:t>渠道化比较广泛，在两岸有筑堤或桥梁支柱出现，对水生生物有一定影响</w:t>
            </w:r>
          </w:p>
        </w:tc>
        <w:tc>
          <w:tcPr>
            <w:tcW w:w="1167" w:type="pct"/>
            <w:vAlign w:val="center"/>
          </w:tcPr>
          <w:p>
            <w:pPr>
              <w:adjustRightInd w:val="0"/>
              <w:snapToGrid w:val="0"/>
              <w:rPr>
                <w:rFonts w:ascii="Times New Roman" w:hAnsi="Times New Roman"/>
              </w:rPr>
            </w:pPr>
            <w:r>
              <w:rPr>
                <w:rFonts w:ascii="Times New Roman" w:hAnsi="Times New Roman"/>
              </w:rPr>
              <w:t>河岸由铁丝和水泥固定，对水生生物的影响很严重，使其生活环境完全改变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83" w:type="pct"/>
            <w:vAlign w:val="center"/>
          </w:tcPr>
          <w:p>
            <w:pPr>
              <w:adjustRightInd w:val="0"/>
              <w:snapToGrid w:val="0"/>
              <w:rPr>
                <w:rFonts w:ascii="Times New Roman" w:hAnsi="Times New Roman"/>
              </w:rPr>
            </w:pPr>
            <w:r>
              <w:rPr>
                <w:rFonts w:ascii="Times New Roman" w:hAnsi="Times New Roman"/>
              </w:rPr>
              <w:t>6河水水量状况</w:t>
            </w:r>
          </w:p>
        </w:tc>
        <w:tc>
          <w:tcPr>
            <w:tcW w:w="1150" w:type="pct"/>
            <w:vAlign w:val="center"/>
          </w:tcPr>
          <w:p>
            <w:pPr>
              <w:adjustRightInd w:val="0"/>
              <w:snapToGrid w:val="0"/>
              <w:rPr>
                <w:rFonts w:ascii="Times New Roman" w:hAnsi="Times New Roman"/>
              </w:rPr>
            </w:pPr>
            <w:r>
              <w:rPr>
                <w:rFonts w:ascii="Times New Roman" w:hAnsi="Times New Roman"/>
              </w:rPr>
              <w:t>水量较大，河水淹没到河岸两测，或仅有少量的河道暴露</w:t>
            </w:r>
          </w:p>
        </w:tc>
        <w:tc>
          <w:tcPr>
            <w:tcW w:w="1000" w:type="pct"/>
            <w:vAlign w:val="center"/>
          </w:tcPr>
          <w:p>
            <w:pPr>
              <w:adjustRightInd w:val="0"/>
              <w:snapToGrid w:val="0"/>
              <w:rPr>
                <w:rFonts w:ascii="Times New Roman" w:hAnsi="Times New Roman"/>
              </w:rPr>
            </w:pPr>
            <w:r>
              <w:rPr>
                <w:rFonts w:ascii="Times New Roman" w:hAnsi="Times New Roman"/>
              </w:rPr>
              <w:t>水量比较大，河水淹没75%左右的河道</w:t>
            </w:r>
          </w:p>
        </w:tc>
        <w:tc>
          <w:tcPr>
            <w:tcW w:w="1000" w:type="pct"/>
            <w:vAlign w:val="center"/>
          </w:tcPr>
          <w:p>
            <w:pPr>
              <w:adjustRightInd w:val="0"/>
              <w:snapToGrid w:val="0"/>
              <w:rPr>
                <w:rFonts w:ascii="Times New Roman" w:hAnsi="Times New Roman"/>
              </w:rPr>
            </w:pPr>
            <w:r>
              <w:rPr>
                <w:rFonts w:ascii="Times New Roman" w:hAnsi="Times New Roman"/>
              </w:rPr>
              <w:t>水量一般，河水淹没25%~75%的河道</w:t>
            </w:r>
          </w:p>
        </w:tc>
        <w:tc>
          <w:tcPr>
            <w:tcW w:w="1167" w:type="pct"/>
            <w:vAlign w:val="center"/>
          </w:tcPr>
          <w:p>
            <w:pPr>
              <w:adjustRightInd w:val="0"/>
              <w:snapToGrid w:val="0"/>
              <w:rPr>
                <w:rFonts w:ascii="Times New Roman" w:hAnsi="Times New Roman"/>
              </w:rPr>
            </w:pPr>
            <w:r>
              <w:rPr>
                <w:rFonts w:ascii="Times New Roman" w:hAnsi="Times New Roman"/>
              </w:rPr>
              <w:t>水量很小，河道干涸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83" w:type="pct"/>
            <w:vAlign w:val="center"/>
          </w:tcPr>
          <w:p>
            <w:pPr>
              <w:adjustRightInd w:val="0"/>
              <w:snapToGrid w:val="0"/>
              <w:rPr>
                <w:rFonts w:ascii="Times New Roman" w:hAnsi="Times New Roman"/>
              </w:rPr>
            </w:pPr>
            <w:r>
              <w:rPr>
                <w:rFonts w:ascii="Times New Roman" w:hAnsi="Times New Roman"/>
              </w:rPr>
              <w:t>7植被多样性</w:t>
            </w:r>
          </w:p>
        </w:tc>
        <w:tc>
          <w:tcPr>
            <w:tcW w:w="1150" w:type="pct"/>
            <w:vAlign w:val="center"/>
          </w:tcPr>
          <w:p>
            <w:pPr>
              <w:adjustRightInd w:val="0"/>
              <w:snapToGrid w:val="0"/>
              <w:rPr>
                <w:rFonts w:ascii="Times New Roman" w:hAnsi="Times New Roman"/>
              </w:rPr>
            </w:pPr>
            <w:r>
              <w:rPr>
                <w:rFonts w:ascii="Times New Roman" w:hAnsi="Times New Roman"/>
              </w:rPr>
              <w:t>河岸周围植被种类很多，面积大。50%以上的堤岸覆盖有植被</w:t>
            </w:r>
          </w:p>
        </w:tc>
        <w:tc>
          <w:tcPr>
            <w:tcW w:w="1000" w:type="pct"/>
            <w:vAlign w:val="center"/>
          </w:tcPr>
          <w:p>
            <w:pPr>
              <w:adjustRightInd w:val="0"/>
              <w:snapToGrid w:val="0"/>
              <w:rPr>
                <w:rFonts w:ascii="Times New Roman" w:hAnsi="Times New Roman"/>
              </w:rPr>
            </w:pPr>
            <w:r>
              <w:rPr>
                <w:rFonts w:ascii="Times New Roman" w:hAnsi="Times New Roman"/>
              </w:rPr>
              <w:t>河岸周围植被种类比较多，面积一般。50%~25%堤岸覆盖有植被</w:t>
            </w:r>
          </w:p>
        </w:tc>
        <w:tc>
          <w:tcPr>
            <w:tcW w:w="1000" w:type="pct"/>
            <w:vAlign w:val="center"/>
          </w:tcPr>
          <w:p>
            <w:pPr>
              <w:adjustRightInd w:val="0"/>
              <w:snapToGrid w:val="0"/>
              <w:rPr>
                <w:rFonts w:ascii="Times New Roman" w:hAnsi="Times New Roman"/>
              </w:rPr>
            </w:pPr>
            <w:r>
              <w:rPr>
                <w:rFonts w:ascii="Times New Roman" w:hAnsi="Times New Roman"/>
              </w:rPr>
              <w:t>河岸周围植被种类比较少，面积较小。少于25%的堤岸覆盖有植被</w:t>
            </w:r>
          </w:p>
        </w:tc>
        <w:tc>
          <w:tcPr>
            <w:tcW w:w="1167" w:type="pct"/>
            <w:vAlign w:val="center"/>
          </w:tcPr>
          <w:p>
            <w:pPr>
              <w:adjustRightInd w:val="0"/>
              <w:snapToGrid w:val="0"/>
              <w:rPr>
                <w:rFonts w:ascii="Times New Roman" w:hAnsi="Times New Roman"/>
              </w:rPr>
            </w:pPr>
            <w:r>
              <w:rPr>
                <w:rFonts w:ascii="Times New Roman" w:hAnsi="Times New Roman"/>
              </w:rPr>
              <w:t>河岸周围几乎没有任何植被。无堤岸覆盖，无植被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83" w:type="pct"/>
            <w:vAlign w:val="center"/>
          </w:tcPr>
          <w:p>
            <w:pPr>
              <w:adjustRightInd w:val="0"/>
              <w:snapToGrid w:val="0"/>
              <w:rPr>
                <w:rFonts w:ascii="Times New Roman" w:hAnsi="Times New Roman"/>
              </w:rPr>
            </w:pPr>
            <w:r>
              <w:rPr>
                <w:rFonts w:ascii="Times New Roman" w:hAnsi="Times New Roman"/>
              </w:rPr>
              <w:t>8水质状况</w:t>
            </w:r>
          </w:p>
        </w:tc>
        <w:tc>
          <w:tcPr>
            <w:tcW w:w="1150" w:type="pct"/>
            <w:vAlign w:val="center"/>
          </w:tcPr>
          <w:p>
            <w:pPr>
              <w:adjustRightInd w:val="0"/>
              <w:snapToGrid w:val="0"/>
              <w:rPr>
                <w:rFonts w:ascii="Times New Roman" w:hAnsi="Times New Roman"/>
              </w:rPr>
            </w:pPr>
            <w:r>
              <w:rPr>
                <w:rFonts w:ascii="Times New Roman" w:hAnsi="Times New Roman"/>
              </w:rPr>
              <w:t>很清澈，无任何异味，河水静置后无沉淀物质</w:t>
            </w:r>
          </w:p>
        </w:tc>
        <w:tc>
          <w:tcPr>
            <w:tcW w:w="1000" w:type="pct"/>
            <w:vAlign w:val="center"/>
          </w:tcPr>
          <w:p>
            <w:pPr>
              <w:adjustRightInd w:val="0"/>
              <w:snapToGrid w:val="0"/>
              <w:rPr>
                <w:rFonts w:ascii="Times New Roman" w:hAnsi="Times New Roman"/>
              </w:rPr>
            </w:pPr>
            <w:r>
              <w:rPr>
                <w:rFonts w:ascii="Times New Roman" w:hAnsi="Times New Roman"/>
              </w:rPr>
              <w:t>比较清澈，有少量的异味，河水静置后有少量的沉淀物质</w:t>
            </w:r>
          </w:p>
        </w:tc>
        <w:tc>
          <w:tcPr>
            <w:tcW w:w="1000" w:type="pct"/>
            <w:vAlign w:val="center"/>
          </w:tcPr>
          <w:p>
            <w:pPr>
              <w:adjustRightInd w:val="0"/>
              <w:snapToGrid w:val="0"/>
              <w:rPr>
                <w:rFonts w:ascii="Times New Roman" w:hAnsi="Times New Roman"/>
              </w:rPr>
            </w:pPr>
            <w:r>
              <w:rPr>
                <w:rFonts w:ascii="Times New Roman" w:hAnsi="Times New Roman"/>
              </w:rPr>
              <w:t>比较浑浊，有异味，河水静置后有沉淀物质</w:t>
            </w:r>
          </w:p>
        </w:tc>
        <w:tc>
          <w:tcPr>
            <w:tcW w:w="1167" w:type="pct"/>
            <w:vAlign w:val="center"/>
          </w:tcPr>
          <w:p>
            <w:pPr>
              <w:adjustRightInd w:val="0"/>
              <w:snapToGrid w:val="0"/>
              <w:rPr>
                <w:rFonts w:ascii="Times New Roman" w:hAnsi="Times New Roman"/>
              </w:rPr>
            </w:pPr>
            <w:r>
              <w:rPr>
                <w:rFonts w:ascii="Times New Roman" w:hAnsi="Times New Roman"/>
              </w:rPr>
              <w:t>很浑浊，有大量的刺激性气体溢出，河水静置后沉淀物很多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83" w:type="pct"/>
            <w:vAlign w:val="center"/>
          </w:tcPr>
          <w:p>
            <w:pPr>
              <w:adjustRightInd w:val="0"/>
              <w:snapToGrid w:val="0"/>
              <w:rPr>
                <w:rFonts w:ascii="Times New Roman" w:hAnsi="Times New Roman"/>
              </w:rPr>
            </w:pPr>
            <w:r>
              <w:rPr>
                <w:rFonts w:ascii="Times New Roman" w:hAnsi="Times New Roman"/>
              </w:rPr>
              <w:t>9人类活动</w:t>
            </w:r>
          </w:p>
        </w:tc>
        <w:tc>
          <w:tcPr>
            <w:tcW w:w="1150" w:type="pct"/>
            <w:vAlign w:val="center"/>
          </w:tcPr>
          <w:p>
            <w:pPr>
              <w:adjustRightInd w:val="0"/>
              <w:snapToGrid w:val="0"/>
              <w:rPr>
                <w:rFonts w:ascii="Times New Roman" w:hAnsi="Times New Roman"/>
              </w:rPr>
            </w:pPr>
            <w:r>
              <w:rPr>
                <w:rFonts w:ascii="Times New Roman" w:hAnsi="Times New Roman"/>
              </w:rPr>
              <w:t>无人类活动干扰或少有</w:t>
            </w:r>
          </w:p>
        </w:tc>
        <w:tc>
          <w:tcPr>
            <w:tcW w:w="1000" w:type="pct"/>
            <w:vAlign w:val="center"/>
          </w:tcPr>
          <w:p>
            <w:pPr>
              <w:adjustRightInd w:val="0"/>
              <w:snapToGrid w:val="0"/>
              <w:rPr>
                <w:rFonts w:ascii="Times New Roman" w:hAnsi="Times New Roman"/>
              </w:rPr>
            </w:pPr>
            <w:r>
              <w:rPr>
                <w:rFonts w:ascii="Times New Roman" w:hAnsi="Times New Roman"/>
              </w:rPr>
              <w:t>人类干扰较小，有少量的步行者或自行车通过</w:t>
            </w:r>
          </w:p>
        </w:tc>
        <w:tc>
          <w:tcPr>
            <w:tcW w:w="1000" w:type="pct"/>
            <w:vAlign w:val="center"/>
          </w:tcPr>
          <w:p>
            <w:pPr>
              <w:adjustRightInd w:val="0"/>
              <w:snapToGrid w:val="0"/>
              <w:rPr>
                <w:rFonts w:ascii="Times New Roman" w:hAnsi="Times New Roman"/>
              </w:rPr>
            </w:pPr>
            <w:r>
              <w:rPr>
                <w:rFonts w:ascii="Times New Roman" w:hAnsi="Times New Roman"/>
              </w:rPr>
              <w:t>人类干扰较大，并有少量的机动车通过</w:t>
            </w:r>
          </w:p>
        </w:tc>
        <w:tc>
          <w:tcPr>
            <w:tcW w:w="1167" w:type="pct"/>
            <w:vAlign w:val="center"/>
          </w:tcPr>
          <w:p>
            <w:pPr>
              <w:adjustRightInd w:val="0"/>
              <w:snapToGrid w:val="0"/>
              <w:rPr>
                <w:rFonts w:ascii="Times New Roman" w:hAnsi="Times New Roman"/>
              </w:rPr>
            </w:pPr>
            <w:r>
              <w:rPr>
                <w:rFonts w:ascii="Times New Roman" w:hAnsi="Times New Roman"/>
              </w:rPr>
              <w:t>人类干扰很大，交通要道必经之路，经常有机动车通过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83" w:type="pct"/>
            <w:vAlign w:val="center"/>
          </w:tcPr>
          <w:p>
            <w:pPr>
              <w:adjustRightInd w:val="0"/>
              <w:snapToGrid w:val="0"/>
              <w:rPr>
                <w:rFonts w:ascii="Times New Roman" w:hAnsi="Times New Roman"/>
              </w:rPr>
            </w:pPr>
            <w:r>
              <w:rPr>
                <w:rFonts w:ascii="Times New Roman" w:hAnsi="Times New Roman"/>
              </w:rPr>
              <w:t>10河岸土地利用类型</w:t>
            </w:r>
          </w:p>
        </w:tc>
        <w:tc>
          <w:tcPr>
            <w:tcW w:w="1150" w:type="pct"/>
            <w:vAlign w:val="center"/>
          </w:tcPr>
          <w:p>
            <w:pPr>
              <w:adjustRightInd w:val="0"/>
              <w:snapToGrid w:val="0"/>
              <w:rPr>
                <w:rFonts w:ascii="Times New Roman" w:hAnsi="Times New Roman"/>
              </w:rPr>
            </w:pPr>
            <w:r>
              <w:rPr>
                <w:rFonts w:ascii="Times New Roman" w:hAnsi="Times New Roman"/>
              </w:rPr>
              <w:t>河岸两侧无耕作土壤，营养丰富</w:t>
            </w:r>
          </w:p>
        </w:tc>
        <w:tc>
          <w:tcPr>
            <w:tcW w:w="1000" w:type="pct"/>
            <w:vAlign w:val="center"/>
          </w:tcPr>
          <w:p>
            <w:pPr>
              <w:adjustRightInd w:val="0"/>
              <w:snapToGrid w:val="0"/>
              <w:rPr>
                <w:rFonts w:ascii="Times New Roman" w:hAnsi="Times New Roman"/>
              </w:rPr>
            </w:pPr>
            <w:r>
              <w:rPr>
                <w:rFonts w:ascii="Times New Roman" w:hAnsi="Times New Roman"/>
              </w:rPr>
              <w:t>河岸一侧无耕作土壤，另一侧为耕作土壤</w:t>
            </w:r>
          </w:p>
        </w:tc>
        <w:tc>
          <w:tcPr>
            <w:tcW w:w="1000" w:type="pct"/>
            <w:vAlign w:val="center"/>
          </w:tcPr>
          <w:p>
            <w:pPr>
              <w:adjustRightInd w:val="0"/>
              <w:snapToGrid w:val="0"/>
              <w:rPr>
                <w:rFonts w:ascii="Times New Roman" w:hAnsi="Times New Roman"/>
              </w:rPr>
            </w:pPr>
            <w:r>
              <w:rPr>
                <w:rFonts w:ascii="Times New Roman" w:hAnsi="Times New Roman"/>
              </w:rPr>
              <w:t>河岸两侧耕作土壤，需要施加化肥和农药</w:t>
            </w:r>
          </w:p>
        </w:tc>
        <w:tc>
          <w:tcPr>
            <w:tcW w:w="1167" w:type="pct"/>
            <w:vAlign w:val="center"/>
          </w:tcPr>
          <w:p>
            <w:pPr>
              <w:adjustRightInd w:val="0"/>
              <w:snapToGrid w:val="0"/>
              <w:rPr>
                <w:rFonts w:ascii="Times New Roman" w:hAnsi="Times New Roman"/>
              </w:rPr>
            </w:pPr>
            <w:r>
              <w:rPr>
                <w:rFonts w:ascii="Times New Roman" w:hAnsi="Times New Roman"/>
              </w:rPr>
              <w:t>河岸两侧为耕作废弃的裸露的风化土壤层，营养物质很少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83" w:type="pct"/>
            <w:vAlign w:val="center"/>
          </w:tcPr>
          <w:p>
            <w:pPr>
              <w:adjustRightInd w:val="0"/>
              <w:snapToGrid w:val="0"/>
              <w:jc w:val="center"/>
              <w:rPr>
                <w:rFonts w:ascii="Times New Roman" w:hAnsi="Times New Roman"/>
              </w:rPr>
            </w:pPr>
            <w:r>
              <w:rPr>
                <w:rFonts w:ascii="Times New Roman" w:hAnsi="Times New Roman"/>
              </w:rPr>
              <w:t>分值</w:t>
            </w:r>
          </w:p>
        </w:tc>
        <w:tc>
          <w:tcPr>
            <w:tcW w:w="1150" w:type="pct"/>
            <w:vAlign w:val="center"/>
          </w:tcPr>
          <w:p>
            <w:pPr>
              <w:adjustRightInd w:val="0"/>
              <w:snapToGrid w:val="0"/>
              <w:rPr>
                <w:rFonts w:ascii="Times New Roman" w:hAnsi="Times New Roman"/>
              </w:rPr>
            </w:pPr>
            <w:r>
              <w:rPr>
                <w:rFonts w:ascii="Times New Roman" w:hAnsi="Times New Roman"/>
              </w:rPr>
              <w:t>20，19，18，17，16</w:t>
            </w:r>
          </w:p>
        </w:tc>
        <w:tc>
          <w:tcPr>
            <w:tcW w:w="1000" w:type="pct"/>
            <w:vAlign w:val="center"/>
          </w:tcPr>
          <w:p>
            <w:pPr>
              <w:adjustRightInd w:val="0"/>
              <w:snapToGrid w:val="0"/>
              <w:rPr>
                <w:rFonts w:ascii="Times New Roman" w:hAnsi="Times New Roman"/>
              </w:rPr>
            </w:pPr>
            <w:r>
              <w:rPr>
                <w:rFonts w:ascii="Times New Roman" w:hAnsi="Times New Roman"/>
              </w:rPr>
              <w:t>15，14，13，12，11</w:t>
            </w:r>
          </w:p>
        </w:tc>
        <w:tc>
          <w:tcPr>
            <w:tcW w:w="1000" w:type="pct"/>
            <w:vAlign w:val="center"/>
          </w:tcPr>
          <w:p>
            <w:pPr>
              <w:adjustRightInd w:val="0"/>
              <w:snapToGrid w:val="0"/>
              <w:rPr>
                <w:rFonts w:ascii="Times New Roman" w:hAnsi="Times New Roman"/>
              </w:rPr>
            </w:pPr>
            <w:r>
              <w:rPr>
                <w:rFonts w:ascii="Times New Roman" w:hAnsi="Times New Roman"/>
              </w:rPr>
              <w:t>10，9，8，7，6</w:t>
            </w:r>
          </w:p>
        </w:tc>
        <w:tc>
          <w:tcPr>
            <w:tcW w:w="1167" w:type="pct"/>
            <w:vAlign w:val="center"/>
          </w:tcPr>
          <w:p>
            <w:pPr>
              <w:adjustRightInd w:val="0"/>
              <w:snapToGrid w:val="0"/>
              <w:rPr>
                <w:rFonts w:ascii="Times New Roman" w:hAnsi="Times New Roman"/>
              </w:rPr>
            </w:pPr>
            <w:r>
              <w:rPr>
                <w:rFonts w:ascii="Times New Roman" w:hAnsi="Times New Roman"/>
              </w:rPr>
              <w:t>5，4，3，2，1，0</w:t>
            </w:r>
          </w:p>
        </w:tc>
      </w:tr>
    </w:tbl>
    <w:p>
      <w:pPr>
        <w:adjustRightInd w:val="0"/>
        <w:snapToGrid w:val="0"/>
        <w:spacing w:line="360" w:lineRule="auto"/>
        <w:ind w:firstLine="480" w:firstLineChars="200"/>
        <w:rPr>
          <w:rFonts w:ascii="Times New Roman" w:hAnsi="Times New Roman"/>
          <w:sz w:val="24"/>
          <w:szCs w:val="24"/>
        </w:rPr>
      </w:pP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根据质量状况优劣程度，将指标分成 4个级别，分值是通过现场调查，目测评分的方法获取。每个指标20分，4个级别的分值范围为：20~16（好）、15~11（较好）、10~6（一般）、5~1（差）。采取累计求和的方式计算栖息地综合指数（I），10项指标总和的满分为200分。根据综合指数值的分布范围划分栖息地环境等级，认为小于25%分位数值为好的等级，介于25%和40%之间为较好等级，介于40%和55%之间为一般等级，介于55%和70%之间为较差等级，小于75%分位值的为差等级。</w:t>
      </w:r>
    </w:p>
    <w:p>
      <w:pPr>
        <w:adjustRightInd w:val="0"/>
        <w:snapToGrid w:val="0"/>
        <w:jc w:val="center"/>
        <w:rPr>
          <w:rFonts w:ascii="Times New Roman" w:hAnsi="Times New Roman"/>
          <w:b/>
          <w:sz w:val="24"/>
          <w:szCs w:val="24"/>
        </w:rPr>
      </w:pPr>
      <w:bookmarkStart w:id="111" w:name="_Toc5856_WPSOffice_Level3"/>
      <w:bookmarkStart w:id="112" w:name="_Toc9786_WPSOffice_Level3"/>
      <w:bookmarkStart w:id="113" w:name="_Toc7824_WPSOffice_Level3"/>
      <w:bookmarkStart w:id="114" w:name="_Toc5547_WPSOffice_Level3"/>
      <w:bookmarkStart w:id="115" w:name="_Toc13670_WPSOffice_Level3"/>
      <w:r>
        <w:rPr>
          <w:rFonts w:ascii="Times New Roman" w:hAnsi="Times New Roman"/>
          <w:b/>
          <w:sz w:val="24"/>
          <w:szCs w:val="24"/>
        </w:rPr>
        <w:t>表4.8-12  河流栖息地综合指数的分级标准</w:t>
      </w:r>
      <w:bookmarkEnd w:id="111"/>
      <w:bookmarkEnd w:id="112"/>
      <w:bookmarkEnd w:id="113"/>
      <w:bookmarkEnd w:id="114"/>
      <w:bookmarkEnd w:id="115"/>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965"/>
        <w:gridCol w:w="2965"/>
        <w:gridCol w:w="31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9" w:type="pct"/>
            <w:tcMar>
              <w:top w:w="0" w:type="dxa"/>
              <w:left w:w="0" w:type="dxa"/>
              <w:bottom w:w="0" w:type="dxa"/>
              <w:right w:w="0" w:type="dxa"/>
            </w:tcMar>
            <w:vAlign w:val="center"/>
          </w:tcPr>
          <w:p>
            <w:pPr>
              <w:adjustRightInd w:val="0"/>
              <w:snapToGrid w:val="0"/>
              <w:jc w:val="center"/>
              <w:rPr>
                <w:rFonts w:ascii="Times New Roman" w:hAnsi="Times New Roman"/>
                <w:b/>
              </w:rPr>
            </w:pPr>
            <w:r>
              <w:rPr>
                <w:rFonts w:ascii="Times New Roman" w:hAnsi="Times New Roman"/>
                <w:b/>
              </w:rPr>
              <w:t>水平</w:t>
            </w:r>
          </w:p>
        </w:tc>
        <w:tc>
          <w:tcPr>
            <w:tcW w:w="1629" w:type="pct"/>
            <w:tcMar>
              <w:top w:w="0" w:type="dxa"/>
              <w:left w:w="0" w:type="dxa"/>
              <w:bottom w:w="0" w:type="dxa"/>
              <w:right w:w="0" w:type="dxa"/>
            </w:tcMar>
            <w:vAlign w:val="center"/>
          </w:tcPr>
          <w:p>
            <w:pPr>
              <w:adjustRightInd w:val="0"/>
              <w:snapToGrid w:val="0"/>
              <w:jc w:val="center"/>
              <w:rPr>
                <w:rFonts w:ascii="Times New Roman" w:hAnsi="Times New Roman"/>
                <w:b/>
              </w:rPr>
            </w:pPr>
            <w:r>
              <w:rPr>
                <w:rFonts w:ascii="Times New Roman" w:hAnsi="Times New Roman"/>
                <w:b/>
              </w:rPr>
              <w:t>分布概率</w:t>
            </w:r>
          </w:p>
        </w:tc>
        <w:tc>
          <w:tcPr>
            <w:tcW w:w="1742" w:type="pct"/>
            <w:tcMar>
              <w:top w:w="0" w:type="dxa"/>
              <w:left w:w="0" w:type="dxa"/>
              <w:bottom w:w="0" w:type="dxa"/>
              <w:right w:w="0" w:type="dxa"/>
            </w:tcMar>
            <w:vAlign w:val="center"/>
          </w:tcPr>
          <w:p>
            <w:pPr>
              <w:adjustRightInd w:val="0"/>
              <w:snapToGrid w:val="0"/>
              <w:jc w:val="center"/>
              <w:rPr>
                <w:rFonts w:ascii="Times New Roman" w:hAnsi="Times New Roman"/>
                <w:b/>
              </w:rPr>
            </w:pPr>
            <w:r>
              <w:rPr>
                <w:rFonts w:ascii="Times New Roman" w:hAnsi="Times New Roman"/>
                <w:b/>
              </w:rPr>
              <w:t>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9" w:type="pct"/>
            <w:tcMar>
              <w:top w:w="0" w:type="dxa"/>
              <w:left w:w="0" w:type="dxa"/>
              <w:bottom w:w="0" w:type="dxa"/>
              <w:right w:w="0" w:type="dxa"/>
            </w:tcMar>
            <w:vAlign w:val="center"/>
          </w:tcPr>
          <w:p>
            <w:pPr>
              <w:adjustRightInd w:val="0"/>
              <w:snapToGrid w:val="0"/>
              <w:jc w:val="center"/>
              <w:rPr>
                <w:rFonts w:ascii="Times New Roman" w:hAnsi="Times New Roman"/>
              </w:rPr>
            </w:pPr>
            <w:r>
              <w:rPr>
                <w:rFonts w:ascii="Times New Roman" w:hAnsi="Times New Roman"/>
              </w:rPr>
              <w:t>好</w:t>
            </w:r>
          </w:p>
        </w:tc>
        <w:tc>
          <w:tcPr>
            <w:tcW w:w="1629" w:type="pct"/>
            <w:tcMar>
              <w:top w:w="0" w:type="dxa"/>
              <w:left w:w="0" w:type="dxa"/>
              <w:bottom w:w="0" w:type="dxa"/>
              <w:right w:w="0" w:type="dxa"/>
            </w:tcMar>
            <w:vAlign w:val="center"/>
          </w:tcPr>
          <w:p>
            <w:pPr>
              <w:adjustRightInd w:val="0"/>
              <w:snapToGrid w:val="0"/>
              <w:jc w:val="center"/>
              <w:rPr>
                <w:rFonts w:ascii="Times New Roman" w:hAnsi="Times New Roman"/>
              </w:rPr>
            </w:pPr>
            <w:r>
              <w:rPr>
                <w:rFonts w:ascii="Times New Roman" w:hAnsi="Times New Roman"/>
              </w:rPr>
              <w:t>&lt;25%</w:t>
            </w:r>
          </w:p>
        </w:tc>
        <w:tc>
          <w:tcPr>
            <w:tcW w:w="1742" w:type="pct"/>
            <w:tcMar>
              <w:top w:w="0" w:type="dxa"/>
              <w:left w:w="0" w:type="dxa"/>
              <w:bottom w:w="0" w:type="dxa"/>
              <w:right w:w="0" w:type="dxa"/>
            </w:tcMar>
            <w:vAlign w:val="center"/>
          </w:tcPr>
          <w:p>
            <w:pPr>
              <w:adjustRightInd w:val="0"/>
              <w:snapToGrid w:val="0"/>
              <w:jc w:val="center"/>
              <w:rPr>
                <w:rFonts w:ascii="Times New Roman" w:hAnsi="Times New Roman"/>
              </w:rPr>
            </w:pPr>
            <w:r>
              <w:rPr>
                <w:rFonts w:ascii="Times New Roman" w:hAnsi="Times New Roman"/>
              </w:rPr>
              <w:t>&gt;150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9" w:type="pct"/>
            <w:tcMar>
              <w:top w:w="0" w:type="dxa"/>
              <w:left w:w="0" w:type="dxa"/>
              <w:bottom w:w="0" w:type="dxa"/>
              <w:right w:w="0" w:type="dxa"/>
            </w:tcMar>
            <w:vAlign w:val="center"/>
          </w:tcPr>
          <w:p>
            <w:pPr>
              <w:adjustRightInd w:val="0"/>
              <w:snapToGrid w:val="0"/>
              <w:jc w:val="center"/>
              <w:rPr>
                <w:rFonts w:ascii="Times New Roman" w:hAnsi="Times New Roman"/>
              </w:rPr>
            </w:pPr>
            <w:r>
              <w:rPr>
                <w:rFonts w:ascii="Times New Roman" w:hAnsi="Times New Roman"/>
              </w:rPr>
              <w:t>较好</w:t>
            </w:r>
          </w:p>
        </w:tc>
        <w:tc>
          <w:tcPr>
            <w:tcW w:w="1629" w:type="pct"/>
            <w:tcMar>
              <w:top w:w="0" w:type="dxa"/>
              <w:left w:w="0" w:type="dxa"/>
              <w:bottom w:w="0" w:type="dxa"/>
              <w:right w:w="0" w:type="dxa"/>
            </w:tcMar>
            <w:vAlign w:val="center"/>
          </w:tcPr>
          <w:p>
            <w:pPr>
              <w:adjustRightInd w:val="0"/>
              <w:snapToGrid w:val="0"/>
              <w:jc w:val="center"/>
              <w:rPr>
                <w:rFonts w:ascii="Times New Roman" w:hAnsi="Times New Roman"/>
              </w:rPr>
            </w:pPr>
            <w:r>
              <w:rPr>
                <w:rFonts w:ascii="Times New Roman" w:hAnsi="Times New Roman"/>
              </w:rPr>
              <w:t>25%~40%</w:t>
            </w:r>
          </w:p>
        </w:tc>
        <w:tc>
          <w:tcPr>
            <w:tcW w:w="1742" w:type="pct"/>
            <w:tcMar>
              <w:top w:w="0" w:type="dxa"/>
              <w:left w:w="0" w:type="dxa"/>
              <w:bottom w:w="0" w:type="dxa"/>
              <w:right w:w="0" w:type="dxa"/>
            </w:tcMar>
            <w:vAlign w:val="center"/>
          </w:tcPr>
          <w:p>
            <w:pPr>
              <w:adjustRightInd w:val="0"/>
              <w:snapToGrid w:val="0"/>
              <w:jc w:val="center"/>
              <w:rPr>
                <w:rFonts w:ascii="Times New Roman" w:hAnsi="Times New Roman"/>
              </w:rPr>
            </w:pPr>
            <w:r>
              <w:rPr>
                <w:rFonts w:ascii="Times New Roman" w:hAnsi="Times New Roman"/>
              </w:rPr>
              <w:t>120&lt;I≤150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9" w:type="pct"/>
            <w:tcMar>
              <w:top w:w="0" w:type="dxa"/>
              <w:left w:w="0" w:type="dxa"/>
              <w:bottom w:w="0" w:type="dxa"/>
              <w:right w:w="0" w:type="dxa"/>
            </w:tcMar>
            <w:vAlign w:val="center"/>
          </w:tcPr>
          <w:p>
            <w:pPr>
              <w:adjustRightInd w:val="0"/>
              <w:snapToGrid w:val="0"/>
              <w:jc w:val="center"/>
              <w:rPr>
                <w:rFonts w:ascii="Times New Roman" w:hAnsi="Times New Roman"/>
              </w:rPr>
            </w:pPr>
            <w:r>
              <w:rPr>
                <w:rFonts w:ascii="Times New Roman" w:hAnsi="Times New Roman"/>
              </w:rPr>
              <w:t>一般</w:t>
            </w:r>
          </w:p>
        </w:tc>
        <w:tc>
          <w:tcPr>
            <w:tcW w:w="1629" w:type="pct"/>
            <w:tcMar>
              <w:top w:w="0" w:type="dxa"/>
              <w:left w:w="0" w:type="dxa"/>
              <w:bottom w:w="0" w:type="dxa"/>
              <w:right w:w="0" w:type="dxa"/>
            </w:tcMar>
            <w:vAlign w:val="center"/>
          </w:tcPr>
          <w:p>
            <w:pPr>
              <w:adjustRightInd w:val="0"/>
              <w:snapToGrid w:val="0"/>
              <w:jc w:val="center"/>
              <w:rPr>
                <w:rFonts w:ascii="Times New Roman" w:hAnsi="Times New Roman"/>
              </w:rPr>
            </w:pPr>
            <w:r>
              <w:rPr>
                <w:rFonts w:ascii="Times New Roman" w:hAnsi="Times New Roman"/>
              </w:rPr>
              <w:t>40%~55%</w:t>
            </w:r>
          </w:p>
        </w:tc>
        <w:tc>
          <w:tcPr>
            <w:tcW w:w="1742" w:type="pct"/>
            <w:tcMar>
              <w:top w:w="0" w:type="dxa"/>
              <w:left w:w="0" w:type="dxa"/>
              <w:bottom w:w="0" w:type="dxa"/>
              <w:right w:w="0" w:type="dxa"/>
            </w:tcMar>
            <w:vAlign w:val="center"/>
          </w:tcPr>
          <w:p>
            <w:pPr>
              <w:adjustRightInd w:val="0"/>
              <w:snapToGrid w:val="0"/>
              <w:jc w:val="center"/>
              <w:rPr>
                <w:rFonts w:ascii="Times New Roman" w:hAnsi="Times New Roman"/>
              </w:rPr>
            </w:pPr>
            <w:r>
              <w:rPr>
                <w:rFonts w:ascii="Times New Roman" w:hAnsi="Times New Roman"/>
              </w:rPr>
              <w:t>90&lt;I≤120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629" w:type="pct"/>
            <w:tcMar>
              <w:top w:w="0" w:type="dxa"/>
              <w:left w:w="0" w:type="dxa"/>
              <w:bottom w:w="0" w:type="dxa"/>
              <w:right w:w="0" w:type="dxa"/>
            </w:tcMar>
            <w:vAlign w:val="center"/>
          </w:tcPr>
          <w:p>
            <w:pPr>
              <w:adjustRightInd w:val="0"/>
              <w:snapToGrid w:val="0"/>
              <w:jc w:val="center"/>
              <w:rPr>
                <w:rFonts w:ascii="Times New Roman" w:hAnsi="Times New Roman"/>
              </w:rPr>
            </w:pPr>
            <w:r>
              <w:rPr>
                <w:rFonts w:ascii="Times New Roman" w:hAnsi="Times New Roman"/>
              </w:rPr>
              <w:t>较差</w:t>
            </w:r>
          </w:p>
        </w:tc>
        <w:tc>
          <w:tcPr>
            <w:tcW w:w="1629" w:type="pct"/>
            <w:tcMar>
              <w:top w:w="0" w:type="dxa"/>
              <w:left w:w="0" w:type="dxa"/>
              <w:bottom w:w="0" w:type="dxa"/>
              <w:right w:w="0" w:type="dxa"/>
            </w:tcMar>
            <w:vAlign w:val="center"/>
          </w:tcPr>
          <w:p>
            <w:pPr>
              <w:adjustRightInd w:val="0"/>
              <w:snapToGrid w:val="0"/>
              <w:jc w:val="center"/>
              <w:rPr>
                <w:rFonts w:ascii="Times New Roman" w:hAnsi="Times New Roman"/>
              </w:rPr>
            </w:pPr>
            <w:r>
              <w:rPr>
                <w:rFonts w:ascii="Times New Roman" w:hAnsi="Times New Roman"/>
              </w:rPr>
              <w:t>55%~70%</w:t>
            </w:r>
          </w:p>
        </w:tc>
        <w:tc>
          <w:tcPr>
            <w:tcW w:w="1742" w:type="pct"/>
            <w:tcMar>
              <w:top w:w="0" w:type="dxa"/>
              <w:left w:w="0" w:type="dxa"/>
              <w:bottom w:w="0" w:type="dxa"/>
              <w:right w:w="0" w:type="dxa"/>
            </w:tcMar>
            <w:vAlign w:val="center"/>
          </w:tcPr>
          <w:p>
            <w:pPr>
              <w:adjustRightInd w:val="0"/>
              <w:snapToGrid w:val="0"/>
              <w:jc w:val="center"/>
              <w:rPr>
                <w:rFonts w:ascii="Times New Roman" w:hAnsi="Times New Roman"/>
              </w:rPr>
            </w:pPr>
            <w:r>
              <w:rPr>
                <w:rFonts w:ascii="Times New Roman" w:hAnsi="Times New Roman"/>
              </w:rPr>
              <w:t>60&lt;I≤90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629" w:type="pct"/>
            <w:tcMar>
              <w:top w:w="0" w:type="dxa"/>
              <w:left w:w="0" w:type="dxa"/>
              <w:bottom w:w="0" w:type="dxa"/>
              <w:right w:w="0" w:type="dxa"/>
            </w:tcMar>
            <w:vAlign w:val="center"/>
          </w:tcPr>
          <w:p>
            <w:pPr>
              <w:adjustRightInd w:val="0"/>
              <w:snapToGrid w:val="0"/>
              <w:jc w:val="center"/>
              <w:rPr>
                <w:rFonts w:ascii="Times New Roman" w:hAnsi="Times New Roman"/>
              </w:rPr>
            </w:pPr>
            <w:r>
              <w:rPr>
                <w:rFonts w:ascii="Times New Roman" w:hAnsi="Times New Roman"/>
              </w:rPr>
              <w:t>差</w:t>
            </w:r>
          </w:p>
        </w:tc>
        <w:tc>
          <w:tcPr>
            <w:tcW w:w="1629" w:type="pct"/>
            <w:tcMar>
              <w:top w:w="0" w:type="dxa"/>
              <w:left w:w="0" w:type="dxa"/>
              <w:bottom w:w="0" w:type="dxa"/>
              <w:right w:w="0" w:type="dxa"/>
            </w:tcMar>
            <w:vAlign w:val="center"/>
          </w:tcPr>
          <w:p>
            <w:pPr>
              <w:adjustRightInd w:val="0"/>
              <w:snapToGrid w:val="0"/>
              <w:jc w:val="center"/>
              <w:rPr>
                <w:rFonts w:ascii="Times New Roman" w:hAnsi="Times New Roman"/>
              </w:rPr>
            </w:pPr>
            <w:r>
              <w:rPr>
                <w:rFonts w:ascii="Times New Roman" w:hAnsi="Times New Roman"/>
              </w:rPr>
              <w:t>&gt;70%</w:t>
            </w:r>
          </w:p>
        </w:tc>
        <w:tc>
          <w:tcPr>
            <w:tcW w:w="1742" w:type="pct"/>
            <w:tcMar>
              <w:top w:w="0" w:type="dxa"/>
              <w:left w:w="0" w:type="dxa"/>
              <w:bottom w:w="0" w:type="dxa"/>
              <w:right w:w="0" w:type="dxa"/>
            </w:tcMar>
            <w:vAlign w:val="center"/>
          </w:tcPr>
          <w:p>
            <w:pPr>
              <w:adjustRightInd w:val="0"/>
              <w:snapToGrid w:val="0"/>
              <w:jc w:val="center"/>
              <w:rPr>
                <w:rFonts w:ascii="Times New Roman" w:hAnsi="Times New Roman"/>
              </w:rPr>
            </w:pPr>
            <w:r>
              <w:rPr>
                <w:rFonts w:ascii="Times New Roman" w:hAnsi="Times New Roman"/>
              </w:rPr>
              <w:t>≤60</w:t>
            </w:r>
          </w:p>
        </w:tc>
      </w:tr>
    </w:tbl>
    <w:p>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ascii="Times New Roman" w:hAnsi="Times New Roman"/>
          <w:b/>
          <w:sz w:val="24"/>
          <w:szCs w:val="24"/>
        </w:rPr>
      </w:pPr>
      <w:bookmarkStart w:id="116" w:name="_Toc5077_WPSOffice_Level3"/>
      <w:bookmarkStart w:id="117" w:name="_Toc31350_WPSOffice_Level3"/>
      <w:bookmarkStart w:id="118" w:name="_Toc30249_WPSOffice_Level3"/>
      <w:bookmarkStart w:id="119" w:name="_Toc1714_WPSOffice_Level3"/>
      <w:bookmarkStart w:id="120" w:name="_Toc21999_WPSOffice_Level3"/>
    </w:p>
    <w:p>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ascii="Times New Roman" w:hAnsi="Times New Roman"/>
          <w:b/>
          <w:sz w:val="24"/>
          <w:szCs w:val="24"/>
        </w:rPr>
      </w:pPr>
      <w:r>
        <w:rPr>
          <w:rFonts w:ascii="Times New Roman" w:hAnsi="Times New Roman"/>
          <w:b/>
          <w:sz w:val="24"/>
          <w:szCs w:val="24"/>
        </w:rPr>
        <w:t>表4.8-13  保护区栖息地质量评价结果</w:t>
      </w:r>
      <w:bookmarkEnd w:id="116"/>
      <w:bookmarkEnd w:id="117"/>
      <w:bookmarkEnd w:id="118"/>
      <w:bookmarkEnd w:id="119"/>
      <w:bookmarkEnd w:id="120"/>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310"/>
        <w:gridCol w:w="4281"/>
        <w:gridCol w:w="35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72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b/>
                <w:kern w:val="0"/>
              </w:rPr>
            </w:pPr>
            <w:r>
              <w:rPr>
                <w:rFonts w:ascii="Times New Roman" w:hAnsi="Times New Roman"/>
                <w:b/>
                <w:kern w:val="0"/>
              </w:rPr>
              <w:t>序号</w:t>
            </w:r>
          </w:p>
        </w:tc>
        <w:tc>
          <w:tcPr>
            <w:tcW w:w="235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b/>
                <w:kern w:val="0"/>
              </w:rPr>
            </w:pPr>
            <w:r>
              <w:rPr>
                <w:rFonts w:ascii="Times New Roman" w:hAnsi="Times New Roman"/>
                <w:b/>
                <w:kern w:val="0"/>
              </w:rPr>
              <w:t>平均指标</w:t>
            </w:r>
          </w:p>
        </w:tc>
        <w:tc>
          <w:tcPr>
            <w:tcW w:w="192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b/>
                <w:kern w:val="0"/>
              </w:rPr>
            </w:pPr>
            <w:r>
              <w:rPr>
                <w:rFonts w:ascii="Times New Roman" w:hAnsi="Times New Roman"/>
                <w:b/>
                <w:kern w:val="0"/>
              </w:rPr>
              <w:t>评分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kern w:val="0"/>
              </w:rPr>
              <w:t>1</w:t>
            </w:r>
          </w:p>
        </w:tc>
        <w:tc>
          <w:tcPr>
            <w:tcW w:w="235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kern w:val="0"/>
              </w:rPr>
              <w:t>底质</w:t>
            </w:r>
          </w:p>
        </w:tc>
        <w:tc>
          <w:tcPr>
            <w:tcW w:w="192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kern w:val="0"/>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kern w:val="0"/>
              </w:rPr>
              <w:t>2</w:t>
            </w:r>
          </w:p>
        </w:tc>
        <w:tc>
          <w:tcPr>
            <w:tcW w:w="235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kern w:val="0"/>
              </w:rPr>
              <w:t>栖境复杂性</w:t>
            </w:r>
          </w:p>
        </w:tc>
        <w:tc>
          <w:tcPr>
            <w:tcW w:w="192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kern w:val="0"/>
              </w:rPr>
              <w:t>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kern w:val="0"/>
              </w:rPr>
              <w:t>3</w:t>
            </w:r>
          </w:p>
        </w:tc>
        <w:tc>
          <w:tcPr>
            <w:tcW w:w="235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kern w:val="0"/>
              </w:rPr>
              <w:t>速度和深度结合特性</w:t>
            </w:r>
          </w:p>
        </w:tc>
        <w:tc>
          <w:tcPr>
            <w:tcW w:w="192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kern w:val="0"/>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kern w:val="0"/>
              </w:rPr>
              <w:t>4</w:t>
            </w:r>
          </w:p>
        </w:tc>
        <w:tc>
          <w:tcPr>
            <w:tcW w:w="235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kern w:val="0"/>
              </w:rPr>
              <w:t>堤岸稳定性</w:t>
            </w:r>
          </w:p>
        </w:tc>
        <w:tc>
          <w:tcPr>
            <w:tcW w:w="192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kern w:val="0"/>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kern w:val="0"/>
              </w:rPr>
              <w:t>5</w:t>
            </w:r>
          </w:p>
        </w:tc>
        <w:tc>
          <w:tcPr>
            <w:tcW w:w="235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kern w:val="0"/>
              </w:rPr>
              <w:t>河道变化</w:t>
            </w:r>
          </w:p>
        </w:tc>
        <w:tc>
          <w:tcPr>
            <w:tcW w:w="192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kern w:val="0"/>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kern w:val="0"/>
              </w:rPr>
              <w:t>6</w:t>
            </w:r>
          </w:p>
        </w:tc>
        <w:tc>
          <w:tcPr>
            <w:tcW w:w="235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kern w:val="0"/>
              </w:rPr>
              <w:t>河水水量状况</w:t>
            </w:r>
          </w:p>
        </w:tc>
        <w:tc>
          <w:tcPr>
            <w:tcW w:w="192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kern w:val="0"/>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kern w:val="0"/>
              </w:rPr>
              <w:t>7</w:t>
            </w:r>
          </w:p>
        </w:tc>
        <w:tc>
          <w:tcPr>
            <w:tcW w:w="235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kern w:val="0"/>
              </w:rPr>
              <w:t>植被多样性</w:t>
            </w:r>
          </w:p>
        </w:tc>
        <w:tc>
          <w:tcPr>
            <w:tcW w:w="192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kern w:val="0"/>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kern w:val="0"/>
              </w:rPr>
              <w:t>8</w:t>
            </w:r>
          </w:p>
        </w:tc>
        <w:tc>
          <w:tcPr>
            <w:tcW w:w="235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kern w:val="0"/>
              </w:rPr>
              <w:t>水质状况</w:t>
            </w:r>
          </w:p>
        </w:tc>
        <w:tc>
          <w:tcPr>
            <w:tcW w:w="192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kern w:val="0"/>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kern w:val="0"/>
              </w:rPr>
              <w:t>9</w:t>
            </w:r>
          </w:p>
        </w:tc>
        <w:tc>
          <w:tcPr>
            <w:tcW w:w="235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kern w:val="0"/>
              </w:rPr>
              <w:t>人类活动</w:t>
            </w:r>
          </w:p>
        </w:tc>
        <w:tc>
          <w:tcPr>
            <w:tcW w:w="192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kern w:val="0"/>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kern w:val="0"/>
              </w:rPr>
              <w:t>10</w:t>
            </w:r>
          </w:p>
        </w:tc>
        <w:tc>
          <w:tcPr>
            <w:tcW w:w="235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kern w:val="0"/>
              </w:rPr>
              <w:t>河岸土地利用类型</w:t>
            </w:r>
          </w:p>
        </w:tc>
        <w:tc>
          <w:tcPr>
            <w:tcW w:w="192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kern w:val="0"/>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kern w:val="0"/>
              </w:rPr>
              <w:t>分值</w:t>
            </w:r>
          </w:p>
        </w:tc>
        <w:tc>
          <w:tcPr>
            <w:tcW w:w="235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p>
        </w:tc>
        <w:tc>
          <w:tcPr>
            <w:tcW w:w="192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kern w:val="0"/>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0"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rPr>
              <w:t>水平</w:t>
            </w:r>
          </w:p>
        </w:tc>
        <w:tc>
          <w:tcPr>
            <w:tcW w:w="2352"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p>
        </w:tc>
        <w:tc>
          <w:tcPr>
            <w:tcW w:w="1928" w:type="pc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kern w:val="0"/>
              </w:rPr>
            </w:pPr>
            <w:r>
              <w:rPr>
                <w:rFonts w:ascii="Times New Roman" w:hAnsi="Times New Roman"/>
                <w:kern w:val="0"/>
              </w:rPr>
              <w:t>一般</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sz w:val="24"/>
          <w:szCs w:val="24"/>
        </w:rPr>
      </w:pPr>
      <w:r>
        <w:rPr>
          <w:rFonts w:ascii="Times New Roman" w:hAnsi="Times New Roman"/>
          <w:sz w:val="24"/>
          <w:szCs w:val="24"/>
        </w:rPr>
        <w:t>洞庭湖口铜鱼短颌鲚国家级水产种质资源保护区位于长江中游。根据2019年11月岳阳市环境质量状况，保护区所在的岳阳长江段城陵矶点位水质为</w:t>
      </w:r>
      <w:r>
        <w:rPr>
          <w:rFonts w:hint="eastAsia" w:ascii="宋体" w:hAnsi="宋体" w:cs="宋体"/>
          <w:sz w:val="24"/>
          <w:szCs w:val="24"/>
        </w:rPr>
        <w:t>Ⅱ</w:t>
      </w:r>
      <w:r>
        <w:rPr>
          <w:rFonts w:ascii="Times New Roman" w:hAnsi="Times New Roman"/>
          <w:sz w:val="24"/>
          <w:szCs w:val="24"/>
        </w:rPr>
        <w:t>类标准。</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从保护区栖息地质量评价结果可以看出，保护区作为鱼类栖息地的质量一般，主要体现在水质状况较好、堤岸稳定性较好、河道渠道化较少，人类活动干扰大、植被多样性较低等。</w:t>
      </w:r>
    </w:p>
    <w:p>
      <w:pPr>
        <w:pStyle w:val="5"/>
      </w:pPr>
      <w:r>
        <w:t>生物完整性评价</w:t>
      </w:r>
    </w:p>
    <w:p>
      <w:pPr>
        <w:wordWrap w:val="0"/>
        <w:spacing w:line="360" w:lineRule="auto"/>
        <w:ind w:firstLine="470" w:firstLineChars="196"/>
        <w:rPr>
          <w:rFonts w:ascii="Times New Roman" w:hAnsi="Times New Roman"/>
          <w:bCs/>
          <w:sz w:val="24"/>
          <w:szCs w:val="24"/>
        </w:rPr>
      </w:pPr>
      <w:r>
        <w:rPr>
          <w:rFonts w:ascii="Times New Roman" w:hAnsi="Times New Roman"/>
          <w:bCs/>
          <w:sz w:val="24"/>
          <w:szCs w:val="24"/>
        </w:rPr>
        <w:t>结合国内外研究方法和评价体系，建立起的适合保护区鱼类调查方法与湖泊特征的IBI指标体系表4.8-14和</w:t>
      </w:r>
      <w:r>
        <w:rPr>
          <w:rFonts w:ascii="Times New Roman" w:hAnsi="Times New Roman"/>
          <w:sz w:val="24"/>
          <w:szCs w:val="24"/>
        </w:rPr>
        <w:t>表</w:t>
      </w:r>
      <w:r>
        <w:rPr>
          <w:rFonts w:ascii="Times New Roman" w:hAnsi="Times New Roman"/>
          <w:bCs/>
          <w:sz w:val="24"/>
          <w:szCs w:val="24"/>
        </w:rPr>
        <w:t>4.8-15所示。</w:t>
      </w:r>
    </w:p>
    <w:p>
      <w:pPr>
        <w:spacing w:line="276" w:lineRule="auto"/>
        <w:jc w:val="center"/>
        <w:rPr>
          <w:rFonts w:ascii="Times New Roman" w:hAnsi="Times New Roman"/>
          <w:bCs/>
          <w:sz w:val="24"/>
          <w:szCs w:val="24"/>
        </w:rPr>
      </w:pPr>
      <w:r>
        <w:rPr>
          <w:rFonts w:ascii="Times New Roman" w:hAnsi="Times New Roman"/>
          <w:b/>
          <w:kern w:val="0"/>
          <w:sz w:val="24"/>
          <w:szCs w:val="24"/>
        </w:rPr>
        <w:t>表4.8-14  适合长江中游的F-IBI指标体系</w:t>
      </w:r>
    </w:p>
    <w:tbl>
      <w:tblPr>
        <w:tblStyle w:val="71"/>
        <w:tblW w:w="5000" w:type="pct"/>
        <w:jc w:val="center"/>
        <w:tblLayout w:type="autofit"/>
        <w:tblCellMar>
          <w:top w:w="0" w:type="dxa"/>
          <w:left w:w="0" w:type="dxa"/>
          <w:bottom w:w="0" w:type="dxa"/>
          <w:right w:w="0" w:type="dxa"/>
        </w:tblCellMar>
      </w:tblPr>
      <w:tblGrid>
        <w:gridCol w:w="4273"/>
        <w:gridCol w:w="1414"/>
        <w:gridCol w:w="1336"/>
        <w:gridCol w:w="1352"/>
        <w:gridCol w:w="725"/>
      </w:tblGrid>
      <w:tr>
        <w:tblPrEx>
          <w:tblCellMar>
            <w:top w:w="0" w:type="dxa"/>
            <w:left w:w="0" w:type="dxa"/>
            <w:bottom w:w="0" w:type="dxa"/>
            <w:right w:w="0" w:type="dxa"/>
          </w:tblCellMar>
        </w:tblPrEx>
        <w:trPr>
          <w:trHeight w:val="340" w:hRule="atLeast"/>
          <w:tblHeader/>
          <w:jc w:val="center"/>
        </w:trPr>
        <w:tc>
          <w:tcPr>
            <w:tcW w:w="2348" w:type="pct"/>
            <w:tcBorders>
              <w:top w:val="single" w:color="auto" w:sz="12" w:space="0"/>
              <w:left w:val="single" w:color="auto" w:sz="12"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b/>
                <w:bCs/>
                <w:kern w:val="0"/>
              </w:rPr>
            </w:pPr>
            <w:r>
              <w:rPr>
                <w:rFonts w:ascii="Times New Roman" w:hAnsi="Times New Roman"/>
                <w:b/>
                <w:bCs/>
                <w:kern w:val="0"/>
              </w:rPr>
              <w:t>评估项目</w:t>
            </w:r>
          </w:p>
        </w:tc>
        <w:tc>
          <w:tcPr>
            <w:tcW w:w="2254" w:type="pct"/>
            <w:gridSpan w:val="3"/>
            <w:tcBorders>
              <w:top w:val="single" w:color="auto" w:sz="12" w:space="0"/>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b/>
                <w:bCs/>
                <w:kern w:val="0"/>
              </w:rPr>
            </w:pPr>
            <w:r>
              <w:rPr>
                <w:rFonts w:ascii="Times New Roman" w:hAnsi="Times New Roman"/>
                <w:b/>
                <w:bCs/>
                <w:kern w:val="0"/>
              </w:rPr>
              <w:t>评分标准</w:t>
            </w:r>
          </w:p>
        </w:tc>
        <w:tc>
          <w:tcPr>
            <w:tcW w:w="398" w:type="pct"/>
            <w:tcBorders>
              <w:top w:val="single" w:color="auto" w:sz="12" w:space="0"/>
              <w:left w:val="nil"/>
              <w:bottom w:val="single" w:color="auto" w:sz="4" w:space="0"/>
              <w:right w:val="single" w:color="auto" w:sz="12" w:space="0"/>
            </w:tcBorders>
            <w:shd w:val="clear" w:color="auto" w:fill="auto"/>
            <w:vAlign w:val="center"/>
          </w:tcPr>
          <w:p>
            <w:pPr>
              <w:widowControl/>
              <w:adjustRightInd w:val="0"/>
              <w:snapToGrid w:val="0"/>
              <w:jc w:val="center"/>
              <w:rPr>
                <w:rFonts w:ascii="Times New Roman" w:hAnsi="Times New Roman"/>
                <w:b/>
                <w:bCs/>
                <w:kern w:val="0"/>
              </w:rPr>
            </w:pPr>
            <w:r>
              <w:rPr>
                <w:rFonts w:ascii="Times New Roman" w:hAnsi="Times New Roman"/>
                <w:b/>
                <w:kern w:val="0"/>
              </w:rPr>
              <w:t>评分</w:t>
            </w:r>
          </w:p>
        </w:tc>
      </w:tr>
      <w:tr>
        <w:tblPrEx>
          <w:tblCellMar>
            <w:top w:w="0" w:type="dxa"/>
            <w:left w:w="0" w:type="dxa"/>
            <w:bottom w:w="0" w:type="dxa"/>
            <w:right w:w="0" w:type="dxa"/>
          </w:tblCellMar>
        </w:tblPrEx>
        <w:trPr>
          <w:trHeight w:val="340" w:hRule="atLeast"/>
          <w:jc w:val="center"/>
        </w:trPr>
        <w:tc>
          <w:tcPr>
            <w:tcW w:w="2348" w:type="pct"/>
            <w:tcBorders>
              <w:top w:val="nil"/>
              <w:left w:val="single" w:color="auto" w:sz="12" w:space="0"/>
              <w:bottom w:val="single" w:color="auto" w:sz="4" w:space="0"/>
              <w:right w:val="single" w:color="auto" w:sz="4" w:space="0"/>
            </w:tcBorders>
            <w:shd w:val="clear" w:color="auto" w:fill="auto"/>
            <w:vAlign w:val="center"/>
          </w:tcPr>
          <w:p>
            <w:pPr>
              <w:widowControl/>
              <w:adjustRightInd w:val="0"/>
              <w:snapToGrid w:val="0"/>
              <w:jc w:val="left"/>
              <w:rPr>
                <w:rFonts w:ascii="Times New Roman" w:hAnsi="Times New Roman"/>
                <w:kern w:val="0"/>
              </w:rPr>
            </w:pPr>
          </w:p>
        </w:tc>
        <w:tc>
          <w:tcPr>
            <w:tcW w:w="777"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5</w:t>
            </w:r>
          </w:p>
        </w:tc>
        <w:tc>
          <w:tcPr>
            <w:tcW w:w="734"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3</w:t>
            </w:r>
          </w:p>
        </w:tc>
        <w:tc>
          <w:tcPr>
            <w:tcW w:w="74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1</w:t>
            </w:r>
          </w:p>
        </w:tc>
        <w:tc>
          <w:tcPr>
            <w:tcW w:w="398" w:type="pct"/>
            <w:tcBorders>
              <w:top w:val="nil"/>
              <w:left w:val="nil"/>
              <w:bottom w:val="single" w:color="auto" w:sz="4" w:space="0"/>
              <w:right w:val="single" w:color="auto" w:sz="12" w:space="0"/>
            </w:tcBorders>
            <w:shd w:val="clear" w:color="auto" w:fill="auto"/>
            <w:vAlign w:val="center"/>
          </w:tcPr>
          <w:p>
            <w:pPr>
              <w:widowControl/>
              <w:adjustRightInd w:val="0"/>
              <w:snapToGrid w:val="0"/>
              <w:jc w:val="left"/>
              <w:rPr>
                <w:rFonts w:ascii="Times New Roman" w:hAnsi="Times New Roman"/>
                <w:kern w:val="0"/>
              </w:rPr>
            </w:pPr>
            <w:r>
              <w:rPr>
                <w:rFonts w:ascii="Times New Roman" w:hAnsi="Times New Roman"/>
                <w:kern w:val="0"/>
              </w:rPr>
              <w:t>　</w:t>
            </w:r>
          </w:p>
        </w:tc>
      </w:tr>
      <w:tr>
        <w:tblPrEx>
          <w:tblCellMar>
            <w:top w:w="0" w:type="dxa"/>
            <w:left w:w="0" w:type="dxa"/>
            <w:bottom w:w="0" w:type="dxa"/>
            <w:right w:w="0" w:type="dxa"/>
          </w:tblCellMar>
        </w:tblPrEx>
        <w:trPr>
          <w:trHeight w:val="340" w:hRule="atLeast"/>
          <w:jc w:val="center"/>
        </w:trPr>
        <w:tc>
          <w:tcPr>
            <w:tcW w:w="4602" w:type="pct"/>
            <w:gridSpan w:val="4"/>
            <w:tcBorders>
              <w:top w:val="single" w:color="auto" w:sz="4" w:space="0"/>
              <w:left w:val="single" w:color="auto" w:sz="12" w:space="0"/>
              <w:bottom w:val="single" w:color="auto" w:sz="4" w:space="0"/>
              <w:right w:val="single" w:color="auto" w:sz="4" w:space="0"/>
            </w:tcBorders>
            <w:shd w:val="clear" w:color="auto" w:fill="auto"/>
            <w:vAlign w:val="center"/>
          </w:tcPr>
          <w:p>
            <w:pPr>
              <w:widowControl/>
              <w:adjustRightInd w:val="0"/>
              <w:snapToGrid w:val="0"/>
              <w:jc w:val="left"/>
              <w:rPr>
                <w:rFonts w:ascii="Times New Roman" w:hAnsi="Times New Roman"/>
                <w:kern w:val="0"/>
              </w:rPr>
            </w:pPr>
            <w:r>
              <w:rPr>
                <w:rFonts w:ascii="Times New Roman" w:hAnsi="Times New Roman"/>
                <w:kern w:val="0"/>
              </w:rPr>
              <w:t>种类丰富度与组成</w:t>
            </w:r>
          </w:p>
        </w:tc>
        <w:tc>
          <w:tcPr>
            <w:tcW w:w="398" w:type="pct"/>
            <w:tcBorders>
              <w:top w:val="nil"/>
              <w:left w:val="nil"/>
              <w:bottom w:val="single" w:color="auto" w:sz="4" w:space="0"/>
              <w:right w:val="single" w:color="auto" w:sz="12" w:space="0"/>
            </w:tcBorders>
            <w:shd w:val="clear" w:color="auto" w:fill="auto"/>
            <w:vAlign w:val="center"/>
          </w:tcPr>
          <w:p>
            <w:pPr>
              <w:widowControl/>
              <w:adjustRightInd w:val="0"/>
              <w:snapToGrid w:val="0"/>
              <w:jc w:val="left"/>
              <w:rPr>
                <w:rFonts w:ascii="Times New Roman" w:hAnsi="Times New Roman"/>
                <w:kern w:val="0"/>
              </w:rPr>
            </w:pPr>
            <w:r>
              <w:rPr>
                <w:rFonts w:ascii="Times New Roman" w:hAnsi="Times New Roman"/>
                <w:kern w:val="0"/>
              </w:rPr>
              <w:t>　</w:t>
            </w:r>
          </w:p>
        </w:tc>
      </w:tr>
      <w:tr>
        <w:tblPrEx>
          <w:tblCellMar>
            <w:top w:w="0" w:type="dxa"/>
            <w:left w:w="0" w:type="dxa"/>
            <w:bottom w:w="0" w:type="dxa"/>
            <w:right w:w="0" w:type="dxa"/>
          </w:tblCellMar>
        </w:tblPrEx>
        <w:trPr>
          <w:trHeight w:val="340" w:hRule="atLeast"/>
          <w:jc w:val="center"/>
        </w:trPr>
        <w:tc>
          <w:tcPr>
            <w:tcW w:w="2348" w:type="pct"/>
            <w:tcBorders>
              <w:top w:val="nil"/>
              <w:left w:val="single" w:color="auto" w:sz="12" w:space="0"/>
              <w:bottom w:val="single" w:color="auto" w:sz="4" w:space="0"/>
              <w:right w:val="single" w:color="auto" w:sz="4" w:space="0"/>
            </w:tcBorders>
            <w:shd w:val="clear" w:color="auto" w:fill="auto"/>
            <w:vAlign w:val="center"/>
          </w:tcPr>
          <w:p>
            <w:pPr>
              <w:widowControl/>
              <w:adjustRightInd w:val="0"/>
              <w:snapToGrid w:val="0"/>
              <w:jc w:val="left"/>
              <w:rPr>
                <w:rFonts w:ascii="Times New Roman" w:hAnsi="Times New Roman"/>
                <w:kern w:val="0"/>
              </w:rPr>
            </w:pPr>
            <w:r>
              <w:rPr>
                <w:rFonts w:ascii="Times New Roman" w:hAnsi="Times New Roman"/>
                <w:kern w:val="0"/>
              </w:rPr>
              <w:t>1.种类数占期望值的比例</w:t>
            </w:r>
          </w:p>
        </w:tc>
        <w:tc>
          <w:tcPr>
            <w:tcW w:w="777"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＞60%</w:t>
            </w:r>
          </w:p>
        </w:tc>
        <w:tc>
          <w:tcPr>
            <w:tcW w:w="734"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30%~60%</w:t>
            </w:r>
          </w:p>
        </w:tc>
        <w:tc>
          <w:tcPr>
            <w:tcW w:w="74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＜30%</w:t>
            </w:r>
          </w:p>
        </w:tc>
        <w:tc>
          <w:tcPr>
            <w:tcW w:w="398" w:type="pct"/>
            <w:tcBorders>
              <w:top w:val="nil"/>
              <w:left w:val="nil"/>
              <w:bottom w:val="single" w:color="auto" w:sz="4" w:space="0"/>
              <w:right w:val="single" w:color="auto" w:sz="12"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5</w:t>
            </w:r>
          </w:p>
        </w:tc>
      </w:tr>
      <w:tr>
        <w:tblPrEx>
          <w:tblCellMar>
            <w:top w:w="0" w:type="dxa"/>
            <w:left w:w="0" w:type="dxa"/>
            <w:bottom w:w="0" w:type="dxa"/>
            <w:right w:w="0" w:type="dxa"/>
          </w:tblCellMar>
        </w:tblPrEx>
        <w:trPr>
          <w:trHeight w:val="340" w:hRule="atLeast"/>
          <w:jc w:val="center"/>
        </w:trPr>
        <w:tc>
          <w:tcPr>
            <w:tcW w:w="2348" w:type="pct"/>
            <w:tcBorders>
              <w:top w:val="nil"/>
              <w:left w:val="single" w:color="auto" w:sz="12" w:space="0"/>
              <w:bottom w:val="single" w:color="auto" w:sz="4" w:space="0"/>
              <w:right w:val="single" w:color="auto" w:sz="4" w:space="0"/>
            </w:tcBorders>
            <w:shd w:val="clear" w:color="auto" w:fill="auto"/>
            <w:vAlign w:val="center"/>
          </w:tcPr>
          <w:p>
            <w:pPr>
              <w:widowControl/>
              <w:adjustRightInd w:val="0"/>
              <w:snapToGrid w:val="0"/>
              <w:jc w:val="left"/>
              <w:rPr>
                <w:rFonts w:ascii="Times New Roman" w:hAnsi="Times New Roman"/>
                <w:kern w:val="0"/>
              </w:rPr>
            </w:pPr>
            <w:r>
              <w:rPr>
                <w:rFonts w:ascii="Times New Roman" w:hAnsi="Times New Roman"/>
                <w:kern w:val="0"/>
              </w:rPr>
              <w:t>2.鲤科鱼类种类数百分比</w:t>
            </w:r>
          </w:p>
        </w:tc>
        <w:tc>
          <w:tcPr>
            <w:tcW w:w="777"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＜45%</w:t>
            </w:r>
          </w:p>
        </w:tc>
        <w:tc>
          <w:tcPr>
            <w:tcW w:w="734"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45%~60%</w:t>
            </w:r>
          </w:p>
        </w:tc>
        <w:tc>
          <w:tcPr>
            <w:tcW w:w="74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＞60%</w:t>
            </w:r>
          </w:p>
        </w:tc>
        <w:tc>
          <w:tcPr>
            <w:tcW w:w="398" w:type="pct"/>
            <w:tcBorders>
              <w:top w:val="nil"/>
              <w:left w:val="nil"/>
              <w:bottom w:val="single" w:color="auto" w:sz="4" w:space="0"/>
              <w:right w:val="single" w:color="auto" w:sz="12"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3</w:t>
            </w:r>
          </w:p>
        </w:tc>
      </w:tr>
      <w:tr>
        <w:tblPrEx>
          <w:tblCellMar>
            <w:top w:w="0" w:type="dxa"/>
            <w:left w:w="0" w:type="dxa"/>
            <w:bottom w:w="0" w:type="dxa"/>
            <w:right w:w="0" w:type="dxa"/>
          </w:tblCellMar>
        </w:tblPrEx>
        <w:trPr>
          <w:trHeight w:val="340" w:hRule="atLeast"/>
          <w:jc w:val="center"/>
        </w:trPr>
        <w:tc>
          <w:tcPr>
            <w:tcW w:w="2348" w:type="pct"/>
            <w:tcBorders>
              <w:top w:val="nil"/>
              <w:left w:val="single" w:color="auto" w:sz="12" w:space="0"/>
              <w:bottom w:val="single" w:color="auto" w:sz="4" w:space="0"/>
              <w:right w:val="single" w:color="auto" w:sz="4" w:space="0"/>
            </w:tcBorders>
            <w:shd w:val="clear" w:color="auto" w:fill="auto"/>
            <w:vAlign w:val="center"/>
          </w:tcPr>
          <w:p>
            <w:pPr>
              <w:widowControl/>
              <w:adjustRightInd w:val="0"/>
              <w:snapToGrid w:val="0"/>
              <w:jc w:val="left"/>
              <w:rPr>
                <w:rFonts w:ascii="Times New Roman" w:hAnsi="Times New Roman"/>
                <w:kern w:val="0"/>
              </w:rPr>
            </w:pPr>
            <w:r>
              <w:rPr>
                <w:rFonts w:ascii="Times New Roman" w:hAnsi="Times New Roman"/>
                <w:kern w:val="0"/>
              </w:rPr>
              <w:t>3.鳅科鱼类种类数百分比</w:t>
            </w:r>
          </w:p>
        </w:tc>
        <w:tc>
          <w:tcPr>
            <w:tcW w:w="777"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2%~4%</w:t>
            </w:r>
          </w:p>
        </w:tc>
        <w:tc>
          <w:tcPr>
            <w:tcW w:w="734"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4%~6%</w:t>
            </w:r>
          </w:p>
        </w:tc>
        <w:tc>
          <w:tcPr>
            <w:tcW w:w="74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6%~8%</w:t>
            </w:r>
          </w:p>
        </w:tc>
        <w:tc>
          <w:tcPr>
            <w:tcW w:w="398" w:type="pct"/>
            <w:tcBorders>
              <w:top w:val="nil"/>
              <w:left w:val="nil"/>
              <w:bottom w:val="single" w:color="auto" w:sz="4" w:space="0"/>
              <w:right w:val="single" w:color="auto" w:sz="12"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1</w:t>
            </w:r>
          </w:p>
        </w:tc>
      </w:tr>
      <w:tr>
        <w:tblPrEx>
          <w:tblCellMar>
            <w:top w:w="0" w:type="dxa"/>
            <w:left w:w="0" w:type="dxa"/>
            <w:bottom w:w="0" w:type="dxa"/>
            <w:right w:w="0" w:type="dxa"/>
          </w:tblCellMar>
        </w:tblPrEx>
        <w:trPr>
          <w:trHeight w:val="340" w:hRule="atLeast"/>
          <w:jc w:val="center"/>
        </w:trPr>
        <w:tc>
          <w:tcPr>
            <w:tcW w:w="2348" w:type="pct"/>
            <w:tcBorders>
              <w:top w:val="nil"/>
              <w:left w:val="single" w:color="auto" w:sz="12" w:space="0"/>
              <w:bottom w:val="single" w:color="auto" w:sz="4" w:space="0"/>
              <w:right w:val="single" w:color="auto" w:sz="4" w:space="0"/>
            </w:tcBorders>
            <w:shd w:val="clear" w:color="auto" w:fill="auto"/>
            <w:vAlign w:val="center"/>
          </w:tcPr>
          <w:p>
            <w:pPr>
              <w:widowControl/>
              <w:adjustRightInd w:val="0"/>
              <w:snapToGrid w:val="0"/>
              <w:jc w:val="left"/>
              <w:rPr>
                <w:rFonts w:ascii="Times New Roman" w:hAnsi="Times New Roman"/>
                <w:kern w:val="0"/>
              </w:rPr>
            </w:pPr>
            <w:r>
              <w:rPr>
                <w:rFonts w:ascii="Times New Roman" w:hAnsi="Times New Roman"/>
                <w:kern w:val="0"/>
              </w:rPr>
              <w:t>4.鲿科鱼类种类数百分比</w:t>
            </w:r>
          </w:p>
        </w:tc>
        <w:tc>
          <w:tcPr>
            <w:tcW w:w="777"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2%~5%</w:t>
            </w:r>
          </w:p>
        </w:tc>
        <w:tc>
          <w:tcPr>
            <w:tcW w:w="734"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5%~8%</w:t>
            </w:r>
          </w:p>
        </w:tc>
        <w:tc>
          <w:tcPr>
            <w:tcW w:w="74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8%~12%</w:t>
            </w:r>
          </w:p>
        </w:tc>
        <w:tc>
          <w:tcPr>
            <w:tcW w:w="398" w:type="pct"/>
            <w:tcBorders>
              <w:top w:val="nil"/>
              <w:left w:val="nil"/>
              <w:bottom w:val="single" w:color="auto" w:sz="4" w:space="0"/>
              <w:right w:val="single" w:color="auto" w:sz="12"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3</w:t>
            </w:r>
          </w:p>
        </w:tc>
      </w:tr>
      <w:tr>
        <w:tblPrEx>
          <w:tblCellMar>
            <w:top w:w="0" w:type="dxa"/>
            <w:left w:w="0" w:type="dxa"/>
            <w:bottom w:w="0" w:type="dxa"/>
            <w:right w:w="0" w:type="dxa"/>
          </w:tblCellMar>
        </w:tblPrEx>
        <w:trPr>
          <w:trHeight w:val="340" w:hRule="atLeast"/>
          <w:jc w:val="center"/>
        </w:trPr>
        <w:tc>
          <w:tcPr>
            <w:tcW w:w="2348" w:type="pct"/>
            <w:tcBorders>
              <w:top w:val="nil"/>
              <w:left w:val="single" w:color="auto" w:sz="12" w:space="0"/>
              <w:bottom w:val="single" w:color="auto" w:sz="4" w:space="0"/>
              <w:right w:val="single" w:color="auto" w:sz="4" w:space="0"/>
            </w:tcBorders>
            <w:shd w:val="clear" w:color="auto" w:fill="auto"/>
            <w:vAlign w:val="center"/>
          </w:tcPr>
          <w:p>
            <w:pPr>
              <w:widowControl/>
              <w:adjustRightInd w:val="0"/>
              <w:snapToGrid w:val="0"/>
              <w:jc w:val="left"/>
              <w:rPr>
                <w:rFonts w:ascii="Times New Roman" w:hAnsi="Times New Roman"/>
                <w:kern w:val="0"/>
              </w:rPr>
            </w:pPr>
            <w:r>
              <w:rPr>
                <w:rFonts w:ascii="Times New Roman" w:hAnsi="Times New Roman"/>
                <w:kern w:val="0"/>
              </w:rPr>
              <w:t>5.商业捕捞获得的鱼类科数</w:t>
            </w:r>
          </w:p>
        </w:tc>
        <w:tc>
          <w:tcPr>
            <w:tcW w:w="777"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＞18</w:t>
            </w:r>
          </w:p>
        </w:tc>
        <w:tc>
          <w:tcPr>
            <w:tcW w:w="734"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12~18</w:t>
            </w:r>
          </w:p>
        </w:tc>
        <w:tc>
          <w:tcPr>
            <w:tcW w:w="74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＜12</w:t>
            </w:r>
          </w:p>
        </w:tc>
        <w:tc>
          <w:tcPr>
            <w:tcW w:w="398" w:type="pct"/>
            <w:tcBorders>
              <w:top w:val="nil"/>
              <w:left w:val="nil"/>
              <w:bottom w:val="single" w:color="auto" w:sz="4" w:space="0"/>
              <w:right w:val="single" w:color="auto" w:sz="12"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3</w:t>
            </w:r>
          </w:p>
        </w:tc>
      </w:tr>
      <w:tr>
        <w:tblPrEx>
          <w:tblCellMar>
            <w:top w:w="0" w:type="dxa"/>
            <w:left w:w="0" w:type="dxa"/>
            <w:bottom w:w="0" w:type="dxa"/>
            <w:right w:w="0" w:type="dxa"/>
          </w:tblCellMar>
        </w:tblPrEx>
        <w:trPr>
          <w:trHeight w:val="340" w:hRule="atLeast"/>
          <w:jc w:val="center"/>
        </w:trPr>
        <w:tc>
          <w:tcPr>
            <w:tcW w:w="2348" w:type="pct"/>
            <w:tcBorders>
              <w:top w:val="nil"/>
              <w:left w:val="single" w:color="auto" w:sz="12" w:space="0"/>
              <w:bottom w:val="single" w:color="auto" w:sz="4" w:space="0"/>
              <w:right w:val="single" w:color="auto" w:sz="4" w:space="0"/>
            </w:tcBorders>
            <w:shd w:val="clear" w:color="auto" w:fill="auto"/>
            <w:vAlign w:val="center"/>
          </w:tcPr>
          <w:p>
            <w:pPr>
              <w:widowControl/>
              <w:adjustRightInd w:val="0"/>
              <w:snapToGrid w:val="0"/>
              <w:jc w:val="left"/>
              <w:rPr>
                <w:rFonts w:ascii="Times New Roman" w:hAnsi="Times New Roman"/>
                <w:kern w:val="0"/>
              </w:rPr>
            </w:pPr>
            <w:r>
              <w:rPr>
                <w:rFonts w:ascii="Times New Roman" w:hAnsi="Times New Roman"/>
                <w:kern w:val="0"/>
              </w:rPr>
              <w:t>6.鲫鱼（放养鱼类）比例</w:t>
            </w:r>
          </w:p>
        </w:tc>
        <w:tc>
          <w:tcPr>
            <w:tcW w:w="777"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7%~22%</w:t>
            </w:r>
          </w:p>
        </w:tc>
        <w:tc>
          <w:tcPr>
            <w:tcW w:w="734"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23%~38%</w:t>
            </w:r>
          </w:p>
        </w:tc>
        <w:tc>
          <w:tcPr>
            <w:tcW w:w="74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39%~54%</w:t>
            </w:r>
          </w:p>
        </w:tc>
        <w:tc>
          <w:tcPr>
            <w:tcW w:w="398" w:type="pct"/>
            <w:tcBorders>
              <w:top w:val="nil"/>
              <w:left w:val="nil"/>
              <w:bottom w:val="single" w:color="auto" w:sz="4" w:space="0"/>
              <w:right w:val="single" w:color="auto" w:sz="12"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5</w:t>
            </w:r>
          </w:p>
        </w:tc>
      </w:tr>
      <w:tr>
        <w:tblPrEx>
          <w:tblCellMar>
            <w:top w:w="0" w:type="dxa"/>
            <w:left w:w="0" w:type="dxa"/>
            <w:bottom w:w="0" w:type="dxa"/>
            <w:right w:w="0" w:type="dxa"/>
          </w:tblCellMar>
        </w:tblPrEx>
        <w:trPr>
          <w:trHeight w:val="340" w:hRule="atLeast"/>
          <w:jc w:val="center"/>
        </w:trPr>
        <w:tc>
          <w:tcPr>
            <w:tcW w:w="4602" w:type="pct"/>
            <w:gridSpan w:val="4"/>
            <w:tcBorders>
              <w:top w:val="single" w:color="auto" w:sz="4" w:space="0"/>
              <w:left w:val="single" w:color="auto" w:sz="12" w:space="0"/>
              <w:bottom w:val="single" w:color="auto" w:sz="4" w:space="0"/>
              <w:right w:val="single" w:color="auto" w:sz="4" w:space="0"/>
            </w:tcBorders>
            <w:shd w:val="clear" w:color="auto" w:fill="auto"/>
            <w:vAlign w:val="center"/>
          </w:tcPr>
          <w:p>
            <w:pPr>
              <w:widowControl/>
              <w:adjustRightInd w:val="0"/>
              <w:snapToGrid w:val="0"/>
              <w:jc w:val="left"/>
              <w:rPr>
                <w:rFonts w:ascii="Times New Roman" w:hAnsi="Times New Roman"/>
                <w:kern w:val="0"/>
              </w:rPr>
            </w:pPr>
            <w:r>
              <w:rPr>
                <w:rFonts w:ascii="Times New Roman" w:hAnsi="Times New Roman"/>
                <w:kern w:val="0"/>
              </w:rPr>
              <w:t>营养结构</w:t>
            </w:r>
          </w:p>
        </w:tc>
        <w:tc>
          <w:tcPr>
            <w:tcW w:w="398" w:type="pct"/>
            <w:tcBorders>
              <w:top w:val="nil"/>
              <w:left w:val="nil"/>
              <w:bottom w:val="single" w:color="auto" w:sz="4" w:space="0"/>
              <w:right w:val="single" w:color="auto" w:sz="12" w:space="0"/>
            </w:tcBorders>
            <w:shd w:val="clear" w:color="auto" w:fill="auto"/>
            <w:vAlign w:val="center"/>
          </w:tcPr>
          <w:p>
            <w:pPr>
              <w:widowControl/>
              <w:adjustRightInd w:val="0"/>
              <w:snapToGrid w:val="0"/>
              <w:jc w:val="left"/>
              <w:rPr>
                <w:rFonts w:ascii="Times New Roman" w:hAnsi="Times New Roman"/>
                <w:kern w:val="0"/>
              </w:rPr>
            </w:pPr>
            <w:r>
              <w:rPr>
                <w:rFonts w:ascii="Times New Roman" w:hAnsi="Times New Roman"/>
                <w:kern w:val="0"/>
              </w:rPr>
              <w:t>　</w:t>
            </w:r>
          </w:p>
        </w:tc>
      </w:tr>
      <w:tr>
        <w:tblPrEx>
          <w:tblCellMar>
            <w:top w:w="0" w:type="dxa"/>
            <w:left w:w="0" w:type="dxa"/>
            <w:bottom w:w="0" w:type="dxa"/>
            <w:right w:w="0" w:type="dxa"/>
          </w:tblCellMar>
        </w:tblPrEx>
        <w:trPr>
          <w:trHeight w:val="340" w:hRule="atLeast"/>
          <w:jc w:val="center"/>
        </w:trPr>
        <w:tc>
          <w:tcPr>
            <w:tcW w:w="2348" w:type="pct"/>
            <w:tcBorders>
              <w:top w:val="nil"/>
              <w:left w:val="single" w:color="auto" w:sz="12" w:space="0"/>
              <w:bottom w:val="single" w:color="auto" w:sz="4" w:space="0"/>
              <w:right w:val="single" w:color="auto" w:sz="4" w:space="0"/>
            </w:tcBorders>
            <w:shd w:val="clear" w:color="auto" w:fill="auto"/>
            <w:vAlign w:val="center"/>
          </w:tcPr>
          <w:p>
            <w:pPr>
              <w:widowControl/>
              <w:adjustRightInd w:val="0"/>
              <w:snapToGrid w:val="0"/>
              <w:jc w:val="left"/>
              <w:rPr>
                <w:rFonts w:ascii="Times New Roman" w:hAnsi="Times New Roman"/>
                <w:kern w:val="0"/>
              </w:rPr>
            </w:pPr>
            <w:r>
              <w:rPr>
                <w:rFonts w:ascii="Times New Roman" w:hAnsi="Times New Roman"/>
                <w:kern w:val="0"/>
              </w:rPr>
              <w:t>7.杂食性鱼类的数量比例</w:t>
            </w:r>
          </w:p>
        </w:tc>
        <w:tc>
          <w:tcPr>
            <w:tcW w:w="777"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＜10%</w:t>
            </w:r>
          </w:p>
        </w:tc>
        <w:tc>
          <w:tcPr>
            <w:tcW w:w="734"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10%~40%</w:t>
            </w:r>
          </w:p>
        </w:tc>
        <w:tc>
          <w:tcPr>
            <w:tcW w:w="74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＞40%</w:t>
            </w:r>
          </w:p>
        </w:tc>
        <w:tc>
          <w:tcPr>
            <w:tcW w:w="398" w:type="pct"/>
            <w:tcBorders>
              <w:top w:val="nil"/>
              <w:left w:val="nil"/>
              <w:bottom w:val="single" w:color="auto" w:sz="4" w:space="0"/>
              <w:right w:val="single" w:color="auto" w:sz="12"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3</w:t>
            </w:r>
          </w:p>
        </w:tc>
      </w:tr>
      <w:tr>
        <w:tblPrEx>
          <w:tblCellMar>
            <w:top w:w="0" w:type="dxa"/>
            <w:left w:w="0" w:type="dxa"/>
            <w:bottom w:w="0" w:type="dxa"/>
            <w:right w:w="0" w:type="dxa"/>
          </w:tblCellMar>
        </w:tblPrEx>
        <w:trPr>
          <w:trHeight w:val="340" w:hRule="atLeast"/>
          <w:jc w:val="center"/>
        </w:trPr>
        <w:tc>
          <w:tcPr>
            <w:tcW w:w="2348" w:type="pct"/>
            <w:tcBorders>
              <w:top w:val="nil"/>
              <w:left w:val="single" w:color="auto" w:sz="12" w:space="0"/>
              <w:bottom w:val="single" w:color="auto" w:sz="4" w:space="0"/>
              <w:right w:val="single" w:color="auto" w:sz="4" w:space="0"/>
            </w:tcBorders>
            <w:shd w:val="clear" w:color="auto" w:fill="auto"/>
            <w:vAlign w:val="center"/>
          </w:tcPr>
          <w:p>
            <w:pPr>
              <w:widowControl/>
              <w:adjustRightInd w:val="0"/>
              <w:snapToGrid w:val="0"/>
              <w:jc w:val="left"/>
              <w:rPr>
                <w:rFonts w:ascii="Times New Roman" w:hAnsi="Times New Roman"/>
                <w:kern w:val="0"/>
              </w:rPr>
            </w:pPr>
            <w:r>
              <w:rPr>
                <w:rFonts w:ascii="Times New Roman" w:hAnsi="Times New Roman"/>
                <w:kern w:val="0"/>
              </w:rPr>
              <w:t>8.底栖动物食性鱼类的数量比例</w:t>
            </w:r>
          </w:p>
        </w:tc>
        <w:tc>
          <w:tcPr>
            <w:tcW w:w="777"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＞45%</w:t>
            </w:r>
          </w:p>
        </w:tc>
        <w:tc>
          <w:tcPr>
            <w:tcW w:w="734"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20%~45%</w:t>
            </w:r>
          </w:p>
        </w:tc>
        <w:tc>
          <w:tcPr>
            <w:tcW w:w="74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＜20%</w:t>
            </w:r>
          </w:p>
        </w:tc>
        <w:tc>
          <w:tcPr>
            <w:tcW w:w="398" w:type="pct"/>
            <w:tcBorders>
              <w:top w:val="nil"/>
              <w:left w:val="nil"/>
              <w:bottom w:val="single" w:color="auto" w:sz="4" w:space="0"/>
              <w:right w:val="single" w:color="auto" w:sz="12"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3</w:t>
            </w:r>
          </w:p>
        </w:tc>
      </w:tr>
      <w:tr>
        <w:tblPrEx>
          <w:tblCellMar>
            <w:top w:w="0" w:type="dxa"/>
            <w:left w:w="0" w:type="dxa"/>
            <w:bottom w:w="0" w:type="dxa"/>
            <w:right w:w="0" w:type="dxa"/>
          </w:tblCellMar>
        </w:tblPrEx>
        <w:trPr>
          <w:trHeight w:val="340" w:hRule="atLeast"/>
          <w:jc w:val="center"/>
        </w:trPr>
        <w:tc>
          <w:tcPr>
            <w:tcW w:w="2348" w:type="pct"/>
            <w:tcBorders>
              <w:top w:val="nil"/>
              <w:left w:val="single" w:color="auto" w:sz="12" w:space="0"/>
              <w:bottom w:val="single" w:color="auto" w:sz="4" w:space="0"/>
              <w:right w:val="single" w:color="auto" w:sz="4" w:space="0"/>
            </w:tcBorders>
            <w:shd w:val="clear" w:color="auto" w:fill="auto"/>
            <w:vAlign w:val="center"/>
          </w:tcPr>
          <w:p>
            <w:pPr>
              <w:widowControl/>
              <w:adjustRightInd w:val="0"/>
              <w:snapToGrid w:val="0"/>
              <w:jc w:val="left"/>
              <w:rPr>
                <w:rFonts w:ascii="Times New Roman" w:hAnsi="Times New Roman"/>
                <w:kern w:val="0"/>
              </w:rPr>
            </w:pPr>
            <w:r>
              <w:rPr>
                <w:rFonts w:ascii="Times New Roman" w:hAnsi="Times New Roman"/>
                <w:kern w:val="0"/>
              </w:rPr>
              <w:t>9.鱼食性鱼类的数量比例</w:t>
            </w:r>
          </w:p>
        </w:tc>
        <w:tc>
          <w:tcPr>
            <w:tcW w:w="777"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＞10%</w:t>
            </w:r>
          </w:p>
        </w:tc>
        <w:tc>
          <w:tcPr>
            <w:tcW w:w="734"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5%~10%</w:t>
            </w:r>
          </w:p>
        </w:tc>
        <w:tc>
          <w:tcPr>
            <w:tcW w:w="74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＜5%</w:t>
            </w:r>
          </w:p>
        </w:tc>
        <w:tc>
          <w:tcPr>
            <w:tcW w:w="398" w:type="pct"/>
            <w:tcBorders>
              <w:top w:val="nil"/>
              <w:left w:val="nil"/>
              <w:bottom w:val="single" w:color="auto" w:sz="4" w:space="0"/>
              <w:right w:val="single" w:color="auto" w:sz="12"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5</w:t>
            </w:r>
          </w:p>
        </w:tc>
      </w:tr>
      <w:tr>
        <w:tblPrEx>
          <w:tblCellMar>
            <w:top w:w="0" w:type="dxa"/>
            <w:left w:w="0" w:type="dxa"/>
            <w:bottom w:w="0" w:type="dxa"/>
            <w:right w:w="0" w:type="dxa"/>
          </w:tblCellMar>
        </w:tblPrEx>
        <w:trPr>
          <w:trHeight w:val="340" w:hRule="atLeast"/>
          <w:jc w:val="center"/>
        </w:trPr>
        <w:tc>
          <w:tcPr>
            <w:tcW w:w="4602" w:type="pct"/>
            <w:gridSpan w:val="4"/>
            <w:tcBorders>
              <w:top w:val="single" w:color="auto" w:sz="4" w:space="0"/>
              <w:left w:val="single" w:color="auto" w:sz="12" w:space="0"/>
              <w:bottom w:val="single" w:color="auto" w:sz="4" w:space="0"/>
              <w:right w:val="single" w:color="auto" w:sz="4" w:space="0"/>
            </w:tcBorders>
            <w:shd w:val="clear" w:color="auto" w:fill="auto"/>
            <w:vAlign w:val="center"/>
          </w:tcPr>
          <w:p>
            <w:pPr>
              <w:widowControl/>
              <w:adjustRightInd w:val="0"/>
              <w:snapToGrid w:val="0"/>
              <w:jc w:val="left"/>
              <w:rPr>
                <w:rFonts w:ascii="Times New Roman" w:hAnsi="Times New Roman"/>
                <w:kern w:val="0"/>
              </w:rPr>
            </w:pPr>
            <w:r>
              <w:rPr>
                <w:rFonts w:ascii="Times New Roman" w:hAnsi="Times New Roman"/>
                <w:kern w:val="0"/>
              </w:rPr>
              <w:t>丰富度和个体健康状况</w:t>
            </w:r>
          </w:p>
        </w:tc>
        <w:tc>
          <w:tcPr>
            <w:tcW w:w="398" w:type="pct"/>
            <w:tcBorders>
              <w:top w:val="nil"/>
              <w:left w:val="nil"/>
              <w:bottom w:val="single" w:color="auto" w:sz="4" w:space="0"/>
              <w:right w:val="single" w:color="auto" w:sz="12" w:space="0"/>
            </w:tcBorders>
            <w:shd w:val="clear" w:color="auto" w:fill="auto"/>
            <w:vAlign w:val="center"/>
          </w:tcPr>
          <w:p>
            <w:pPr>
              <w:widowControl/>
              <w:adjustRightInd w:val="0"/>
              <w:snapToGrid w:val="0"/>
              <w:jc w:val="left"/>
              <w:rPr>
                <w:rFonts w:ascii="Times New Roman" w:hAnsi="Times New Roman"/>
                <w:kern w:val="0"/>
              </w:rPr>
            </w:pPr>
            <w:r>
              <w:rPr>
                <w:rFonts w:ascii="Times New Roman" w:hAnsi="Times New Roman"/>
                <w:kern w:val="0"/>
              </w:rPr>
              <w:t>　</w:t>
            </w:r>
          </w:p>
        </w:tc>
      </w:tr>
      <w:tr>
        <w:tblPrEx>
          <w:tblCellMar>
            <w:top w:w="0" w:type="dxa"/>
            <w:left w:w="0" w:type="dxa"/>
            <w:bottom w:w="0" w:type="dxa"/>
            <w:right w:w="0" w:type="dxa"/>
          </w:tblCellMar>
        </w:tblPrEx>
        <w:trPr>
          <w:trHeight w:val="340" w:hRule="atLeast"/>
          <w:jc w:val="center"/>
        </w:trPr>
        <w:tc>
          <w:tcPr>
            <w:tcW w:w="2348" w:type="pct"/>
            <w:tcBorders>
              <w:top w:val="nil"/>
              <w:left w:val="single" w:color="auto" w:sz="12" w:space="0"/>
              <w:bottom w:val="single" w:color="auto" w:sz="4" w:space="0"/>
              <w:right w:val="single" w:color="auto" w:sz="4" w:space="0"/>
            </w:tcBorders>
            <w:shd w:val="clear" w:color="auto" w:fill="auto"/>
            <w:vAlign w:val="center"/>
          </w:tcPr>
          <w:p>
            <w:pPr>
              <w:widowControl/>
              <w:adjustRightInd w:val="0"/>
              <w:snapToGrid w:val="0"/>
              <w:jc w:val="left"/>
              <w:rPr>
                <w:rFonts w:ascii="Times New Roman" w:hAnsi="Times New Roman"/>
                <w:kern w:val="0"/>
              </w:rPr>
            </w:pPr>
            <w:r>
              <w:rPr>
                <w:rFonts w:ascii="Times New Roman" w:hAnsi="Times New Roman"/>
                <w:kern w:val="0"/>
              </w:rPr>
              <w:t>10.单位渔产量</w:t>
            </w:r>
          </w:p>
        </w:tc>
        <w:tc>
          <w:tcPr>
            <w:tcW w:w="777"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＞100</w:t>
            </w:r>
          </w:p>
        </w:tc>
        <w:tc>
          <w:tcPr>
            <w:tcW w:w="734"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80~40</w:t>
            </w:r>
          </w:p>
        </w:tc>
        <w:tc>
          <w:tcPr>
            <w:tcW w:w="74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＜40</w:t>
            </w:r>
          </w:p>
        </w:tc>
        <w:tc>
          <w:tcPr>
            <w:tcW w:w="398" w:type="pct"/>
            <w:tcBorders>
              <w:top w:val="nil"/>
              <w:left w:val="nil"/>
              <w:bottom w:val="single" w:color="auto" w:sz="4" w:space="0"/>
              <w:right w:val="single" w:color="auto" w:sz="12"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3</w:t>
            </w:r>
          </w:p>
        </w:tc>
      </w:tr>
      <w:tr>
        <w:tblPrEx>
          <w:tblCellMar>
            <w:top w:w="0" w:type="dxa"/>
            <w:left w:w="0" w:type="dxa"/>
            <w:bottom w:w="0" w:type="dxa"/>
            <w:right w:w="0" w:type="dxa"/>
          </w:tblCellMar>
        </w:tblPrEx>
        <w:trPr>
          <w:trHeight w:val="340" w:hRule="atLeast"/>
          <w:jc w:val="center"/>
        </w:trPr>
        <w:tc>
          <w:tcPr>
            <w:tcW w:w="2348" w:type="pct"/>
            <w:tcBorders>
              <w:top w:val="nil"/>
              <w:left w:val="single" w:color="auto" w:sz="12" w:space="0"/>
              <w:bottom w:val="single" w:color="auto" w:sz="4" w:space="0"/>
              <w:right w:val="single" w:color="auto" w:sz="4" w:space="0"/>
            </w:tcBorders>
            <w:shd w:val="clear" w:color="auto" w:fill="auto"/>
            <w:vAlign w:val="center"/>
          </w:tcPr>
          <w:p>
            <w:pPr>
              <w:widowControl/>
              <w:adjustRightInd w:val="0"/>
              <w:snapToGrid w:val="0"/>
              <w:jc w:val="left"/>
              <w:rPr>
                <w:rFonts w:ascii="Times New Roman" w:hAnsi="Times New Roman"/>
                <w:kern w:val="0"/>
              </w:rPr>
            </w:pPr>
            <w:r>
              <w:rPr>
                <w:rFonts w:ascii="Times New Roman" w:hAnsi="Times New Roman"/>
                <w:kern w:val="0"/>
              </w:rPr>
              <w:t>11.外来种所占比例</w:t>
            </w:r>
          </w:p>
        </w:tc>
        <w:tc>
          <w:tcPr>
            <w:tcW w:w="777"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0%</w:t>
            </w:r>
          </w:p>
        </w:tc>
        <w:tc>
          <w:tcPr>
            <w:tcW w:w="734"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0~1%</w:t>
            </w:r>
          </w:p>
        </w:tc>
        <w:tc>
          <w:tcPr>
            <w:tcW w:w="74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＞1%</w:t>
            </w:r>
          </w:p>
        </w:tc>
        <w:tc>
          <w:tcPr>
            <w:tcW w:w="398" w:type="pct"/>
            <w:tcBorders>
              <w:top w:val="nil"/>
              <w:left w:val="nil"/>
              <w:bottom w:val="single" w:color="auto" w:sz="4" w:space="0"/>
              <w:right w:val="single" w:color="auto" w:sz="12"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3</w:t>
            </w:r>
          </w:p>
        </w:tc>
      </w:tr>
      <w:tr>
        <w:tblPrEx>
          <w:tblCellMar>
            <w:top w:w="0" w:type="dxa"/>
            <w:left w:w="0" w:type="dxa"/>
            <w:bottom w:w="0" w:type="dxa"/>
            <w:right w:w="0" w:type="dxa"/>
          </w:tblCellMar>
        </w:tblPrEx>
        <w:trPr>
          <w:trHeight w:val="340" w:hRule="atLeast"/>
          <w:jc w:val="center"/>
        </w:trPr>
        <w:tc>
          <w:tcPr>
            <w:tcW w:w="2348" w:type="pct"/>
            <w:tcBorders>
              <w:top w:val="nil"/>
              <w:left w:val="single" w:color="auto" w:sz="12" w:space="0"/>
              <w:bottom w:val="single" w:color="auto" w:sz="4" w:space="0"/>
              <w:right w:val="single" w:color="auto" w:sz="4" w:space="0"/>
            </w:tcBorders>
            <w:shd w:val="clear" w:color="auto" w:fill="auto"/>
            <w:vAlign w:val="center"/>
          </w:tcPr>
          <w:p>
            <w:pPr>
              <w:widowControl/>
              <w:adjustRightInd w:val="0"/>
              <w:snapToGrid w:val="0"/>
              <w:jc w:val="left"/>
              <w:rPr>
                <w:rFonts w:ascii="Times New Roman" w:hAnsi="Times New Roman"/>
                <w:kern w:val="0"/>
              </w:rPr>
            </w:pPr>
            <w:r>
              <w:rPr>
                <w:rFonts w:ascii="Times New Roman" w:hAnsi="Times New Roman"/>
                <w:kern w:val="0"/>
              </w:rPr>
              <w:t>12.感染疾病和外形异常个体所占比例</w:t>
            </w:r>
          </w:p>
        </w:tc>
        <w:tc>
          <w:tcPr>
            <w:tcW w:w="777"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0~2%</w:t>
            </w:r>
          </w:p>
        </w:tc>
        <w:tc>
          <w:tcPr>
            <w:tcW w:w="734"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2%~5%</w:t>
            </w:r>
          </w:p>
        </w:tc>
        <w:tc>
          <w:tcPr>
            <w:tcW w:w="743" w:type="pct"/>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＞5%</w:t>
            </w:r>
          </w:p>
        </w:tc>
        <w:tc>
          <w:tcPr>
            <w:tcW w:w="398" w:type="pct"/>
            <w:tcBorders>
              <w:top w:val="nil"/>
              <w:left w:val="nil"/>
              <w:bottom w:val="single" w:color="auto" w:sz="4" w:space="0"/>
              <w:right w:val="single" w:color="auto" w:sz="12"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5</w:t>
            </w:r>
          </w:p>
        </w:tc>
      </w:tr>
      <w:tr>
        <w:tblPrEx>
          <w:tblCellMar>
            <w:top w:w="0" w:type="dxa"/>
            <w:left w:w="0" w:type="dxa"/>
            <w:bottom w:w="0" w:type="dxa"/>
            <w:right w:w="0" w:type="dxa"/>
          </w:tblCellMar>
        </w:tblPrEx>
        <w:trPr>
          <w:trHeight w:val="340" w:hRule="atLeast"/>
          <w:jc w:val="center"/>
        </w:trPr>
        <w:tc>
          <w:tcPr>
            <w:tcW w:w="2348" w:type="pct"/>
            <w:tcBorders>
              <w:top w:val="nil"/>
              <w:left w:val="single" w:color="auto" w:sz="12" w:space="0"/>
              <w:bottom w:val="single" w:color="auto" w:sz="12"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合计</w:t>
            </w:r>
          </w:p>
        </w:tc>
        <w:tc>
          <w:tcPr>
            <w:tcW w:w="777" w:type="pct"/>
            <w:tcBorders>
              <w:top w:val="nil"/>
              <w:left w:val="nil"/>
              <w:bottom w:val="single" w:color="auto" w:sz="12"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p>
        </w:tc>
        <w:tc>
          <w:tcPr>
            <w:tcW w:w="734" w:type="pct"/>
            <w:tcBorders>
              <w:top w:val="nil"/>
              <w:left w:val="nil"/>
              <w:bottom w:val="single" w:color="auto" w:sz="12"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p>
        </w:tc>
        <w:tc>
          <w:tcPr>
            <w:tcW w:w="743" w:type="pct"/>
            <w:tcBorders>
              <w:top w:val="nil"/>
              <w:left w:val="nil"/>
              <w:bottom w:val="single" w:color="auto" w:sz="12" w:space="0"/>
              <w:right w:val="single" w:color="auto" w:sz="4" w:space="0"/>
            </w:tcBorders>
            <w:shd w:val="clear" w:color="auto" w:fill="auto"/>
            <w:vAlign w:val="center"/>
          </w:tcPr>
          <w:p>
            <w:pPr>
              <w:widowControl/>
              <w:adjustRightInd w:val="0"/>
              <w:snapToGrid w:val="0"/>
              <w:jc w:val="center"/>
              <w:rPr>
                <w:rFonts w:ascii="Times New Roman" w:hAnsi="Times New Roman"/>
                <w:kern w:val="0"/>
              </w:rPr>
            </w:pPr>
          </w:p>
        </w:tc>
        <w:tc>
          <w:tcPr>
            <w:tcW w:w="398" w:type="pct"/>
            <w:tcBorders>
              <w:top w:val="nil"/>
              <w:left w:val="nil"/>
              <w:bottom w:val="single" w:color="auto" w:sz="12" w:space="0"/>
              <w:right w:val="single" w:color="auto" w:sz="12" w:space="0"/>
            </w:tcBorders>
            <w:shd w:val="clear" w:color="auto" w:fill="auto"/>
            <w:vAlign w:val="center"/>
          </w:tcPr>
          <w:p>
            <w:pPr>
              <w:widowControl/>
              <w:adjustRightInd w:val="0"/>
              <w:snapToGrid w:val="0"/>
              <w:jc w:val="center"/>
              <w:rPr>
                <w:rFonts w:ascii="Times New Roman" w:hAnsi="Times New Roman"/>
                <w:kern w:val="0"/>
              </w:rPr>
            </w:pPr>
            <w:r>
              <w:rPr>
                <w:rFonts w:ascii="Times New Roman" w:hAnsi="Times New Roman"/>
                <w:kern w:val="0"/>
              </w:rPr>
              <w:t>42</w:t>
            </w:r>
          </w:p>
        </w:tc>
      </w:tr>
    </w:tbl>
    <w:p>
      <w:pPr>
        <w:spacing w:line="360" w:lineRule="auto"/>
        <w:jc w:val="center"/>
        <w:rPr>
          <w:rFonts w:ascii="Times New Roman" w:hAnsi="Times New Roman"/>
          <w:b/>
          <w:sz w:val="24"/>
          <w:szCs w:val="24"/>
        </w:rPr>
      </w:pPr>
      <w:bookmarkStart w:id="121" w:name="_Toc1986_WPSOffice_Level3"/>
      <w:bookmarkStart w:id="122" w:name="_Toc2747_WPSOffice_Level3"/>
      <w:bookmarkStart w:id="123" w:name="_Toc30778_WPSOffice_Level3"/>
      <w:bookmarkStart w:id="124" w:name="_Toc14418_WPSOffice_Level3"/>
      <w:bookmarkStart w:id="125" w:name="_Toc25887_WPSOffice_Level3"/>
      <w:r>
        <w:rPr>
          <w:rFonts w:ascii="Times New Roman" w:hAnsi="Times New Roman"/>
          <w:b/>
          <w:sz w:val="24"/>
          <w:szCs w:val="24"/>
        </w:rPr>
        <w:t>表4.8-15  鱼类生物完整性等级划分及特征</w:t>
      </w:r>
      <w:bookmarkEnd w:id="121"/>
      <w:bookmarkEnd w:id="122"/>
      <w:bookmarkEnd w:id="123"/>
      <w:bookmarkEnd w:id="124"/>
      <w:bookmarkEnd w:id="125"/>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03"/>
        <w:gridCol w:w="7167"/>
        <w:gridCol w:w="10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6" w:type="pct"/>
            <w:vAlign w:val="center"/>
          </w:tcPr>
          <w:p>
            <w:pPr>
              <w:adjustRightInd w:val="0"/>
              <w:snapToGrid w:val="0"/>
              <w:jc w:val="center"/>
              <w:rPr>
                <w:rFonts w:ascii="Times New Roman" w:hAnsi="Times New Roman"/>
                <w:b/>
              </w:rPr>
            </w:pPr>
            <w:r>
              <w:rPr>
                <w:rFonts w:ascii="Times New Roman" w:hAnsi="Times New Roman"/>
                <w:b/>
              </w:rPr>
              <w:t>FIBI数值</w:t>
            </w:r>
          </w:p>
        </w:tc>
        <w:tc>
          <w:tcPr>
            <w:tcW w:w="3938" w:type="pct"/>
            <w:vAlign w:val="center"/>
          </w:tcPr>
          <w:p>
            <w:pPr>
              <w:adjustRightInd w:val="0"/>
              <w:snapToGrid w:val="0"/>
              <w:jc w:val="center"/>
              <w:rPr>
                <w:rFonts w:ascii="Times New Roman" w:hAnsi="Times New Roman"/>
                <w:b/>
              </w:rPr>
            </w:pPr>
            <w:r>
              <w:rPr>
                <w:rFonts w:ascii="Times New Roman" w:hAnsi="Times New Roman"/>
                <w:b/>
              </w:rPr>
              <w:t>特征完整性</w:t>
            </w:r>
          </w:p>
        </w:tc>
        <w:tc>
          <w:tcPr>
            <w:tcW w:w="566" w:type="pct"/>
            <w:vAlign w:val="center"/>
          </w:tcPr>
          <w:p>
            <w:pPr>
              <w:adjustRightInd w:val="0"/>
              <w:snapToGrid w:val="0"/>
              <w:jc w:val="center"/>
              <w:rPr>
                <w:rFonts w:ascii="Times New Roman" w:hAnsi="Times New Roman"/>
                <w:b/>
              </w:rPr>
            </w:pPr>
            <w:r>
              <w:rPr>
                <w:rFonts w:ascii="Times New Roman" w:hAnsi="Times New Roman"/>
                <w:b/>
              </w:rPr>
              <w:t>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6" w:type="pct"/>
            <w:vAlign w:val="center"/>
          </w:tcPr>
          <w:p>
            <w:pPr>
              <w:adjustRightInd w:val="0"/>
              <w:snapToGrid w:val="0"/>
              <w:jc w:val="center"/>
              <w:rPr>
                <w:rFonts w:ascii="Times New Roman" w:hAnsi="Times New Roman"/>
              </w:rPr>
            </w:pPr>
            <w:r>
              <w:rPr>
                <w:rFonts w:ascii="Times New Roman" w:hAnsi="Times New Roman"/>
              </w:rPr>
              <w:t>58~60</w:t>
            </w:r>
          </w:p>
        </w:tc>
        <w:tc>
          <w:tcPr>
            <w:tcW w:w="3938" w:type="pct"/>
            <w:vAlign w:val="center"/>
          </w:tcPr>
          <w:p>
            <w:pPr>
              <w:adjustRightInd w:val="0"/>
              <w:snapToGrid w:val="0"/>
              <w:rPr>
                <w:rFonts w:ascii="Times New Roman" w:hAnsi="Times New Roman"/>
              </w:rPr>
            </w:pPr>
            <w:r>
              <w:rPr>
                <w:rFonts w:ascii="Times New Roman" w:hAnsi="Times New Roman"/>
              </w:rPr>
              <w:t>相对而言没有人类的干扰，依地理区系、湖泊(河流)大小和生境特点，所有期望出现的种类，包括耐受性极差的种类都存在，并有完整的年龄级；平衡的营养结构，极少数天然杂交和感染疾病的个体；极少或没有引进种。</w:t>
            </w:r>
          </w:p>
        </w:tc>
        <w:tc>
          <w:tcPr>
            <w:tcW w:w="566" w:type="pct"/>
            <w:vAlign w:val="center"/>
          </w:tcPr>
          <w:p>
            <w:pPr>
              <w:adjustRightInd w:val="0"/>
              <w:snapToGrid w:val="0"/>
              <w:jc w:val="center"/>
              <w:rPr>
                <w:rFonts w:ascii="Times New Roman" w:hAnsi="Times New Roman"/>
              </w:rPr>
            </w:pPr>
            <w:r>
              <w:rPr>
                <w:rFonts w:ascii="Times New Roman" w:hAnsi="Times New Roman"/>
              </w:rPr>
              <w:t>极好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6" w:type="pct"/>
            <w:vAlign w:val="center"/>
          </w:tcPr>
          <w:p>
            <w:pPr>
              <w:adjustRightInd w:val="0"/>
              <w:snapToGrid w:val="0"/>
              <w:jc w:val="center"/>
              <w:rPr>
                <w:rFonts w:ascii="Times New Roman" w:hAnsi="Times New Roman"/>
              </w:rPr>
            </w:pPr>
            <w:r>
              <w:rPr>
                <w:rFonts w:ascii="Times New Roman" w:hAnsi="Times New Roman"/>
              </w:rPr>
              <w:t>48~52</w:t>
            </w:r>
          </w:p>
        </w:tc>
        <w:tc>
          <w:tcPr>
            <w:tcW w:w="3938" w:type="pct"/>
            <w:vAlign w:val="center"/>
          </w:tcPr>
          <w:p>
            <w:pPr>
              <w:adjustRightInd w:val="0"/>
              <w:snapToGrid w:val="0"/>
              <w:rPr>
                <w:rFonts w:ascii="Times New Roman" w:hAnsi="Times New Roman"/>
              </w:rPr>
            </w:pPr>
            <w:r>
              <w:rPr>
                <w:rFonts w:ascii="Times New Roman" w:hAnsi="Times New Roman"/>
              </w:rPr>
              <w:t>由于耐受性极差的种类的消失，种类丰度略低于期望值；某些种类的数量，年龄结构和大小分布低于期望值标准，营养结构显示出某种压力低，但仍有极少天然杂交和感染疾病的个体；引进种个体的数量比例通常很低。</w:t>
            </w:r>
          </w:p>
        </w:tc>
        <w:tc>
          <w:tcPr>
            <w:tcW w:w="566" w:type="pct"/>
            <w:vAlign w:val="center"/>
          </w:tcPr>
          <w:p>
            <w:pPr>
              <w:adjustRightInd w:val="0"/>
              <w:snapToGrid w:val="0"/>
              <w:jc w:val="center"/>
              <w:rPr>
                <w:rFonts w:ascii="Times New Roman" w:hAnsi="Times New Roman"/>
              </w:rPr>
            </w:pPr>
            <w:r>
              <w:rPr>
                <w:rFonts w:ascii="Times New Roman" w:hAnsi="Times New Roman"/>
              </w:rPr>
              <w:t>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6" w:type="pct"/>
            <w:vAlign w:val="center"/>
          </w:tcPr>
          <w:p>
            <w:pPr>
              <w:adjustRightInd w:val="0"/>
              <w:snapToGrid w:val="0"/>
              <w:jc w:val="center"/>
              <w:rPr>
                <w:rFonts w:ascii="Times New Roman" w:hAnsi="Times New Roman"/>
              </w:rPr>
            </w:pPr>
            <w:r>
              <w:rPr>
                <w:rFonts w:ascii="Times New Roman" w:hAnsi="Times New Roman"/>
              </w:rPr>
              <w:t>40~44</w:t>
            </w:r>
          </w:p>
        </w:tc>
        <w:tc>
          <w:tcPr>
            <w:tcW w:w="3938" w:type="pct"/>
            <w:vAlign w:val="center"/>
          </w:tcPr>
          <w:p>
            <w:pPr>
              <w:adjustRightInd w:val="0"/>
              <w:snapToGrid w:val="0"/>
              <w:rPr>
                <w:rFonts w:ascii="Times New Roman" w:hAnsi="Times New Roman"/>
              </w:rPr>
            </w:pPr>
            <w:r>
              <w:rPr>
                <w:rFonts w:ascii="Times New Roman" w:hAnsi="Times New Roman"/>
              </w:rPr>
              <w:t>环境恶化的讯号增加，包括耐受性差的种类消失，较少的种类和通常的种类数量下降，杂食性鱼类和耐受强种类的频度增加使营养结构偏斜；高年龄级个体和顶级肉食者可能罕见，天然杂交和感染疾病的个体的出现高于一般水平；引进种个体的数量比例上升。</w:t>
            </w:r>
          </w:p>
        </w:tc>
        <w:tc>
          <w:tcPr>
            <w:tcW w:w="566" w:type="pct"/>
            <w:vAlign w:val="center"/>
          </w:tcPr>
          <w:p>
            <w:pPr>
              <w:adjustRightInd w:val="0"/>
              <w:snapToGrid w:val="0"/>
              <w:jc w:val="center"/>
              <w:rPr>
                <w:rFonts w:ascii="Times New Roman" w:hAnsi="Times New Roman"/>
              </w:rPr>
            </w:pPr>
            <w:r>
              <w:rPr>
                <w:rFonts w:ascii="Times New Roman" w:hAnsi="Times New Roman"/>
              </w:rPr>
              <w:t>一般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6" w:type="pct"/>
            <w:vAlign w:val="center"/>
          </w:tcPr>
          <w:p>
            <w:pPr>
              <w:adjustRightInd w:val="0"/>
              <w:snapToGrid w:val="0"/>
              <w:jc w:val="center"/>
              <w:rPr>
                <w:rFonts w:ascii="Times New Roman" w:hAnsi="Times New Roman"/>
              </w:rPr>
            </w:pPr>
            <w:r>
              <w:rPr>
                <w:rFonts w:ascii="Times New Roman" w:hAnsi="Times New Roman"/>
              </w:rPr>
              <w:t>28~34</w:t>
            </w:r>
          </w:p>
        </w:tc>
        <w:tc>
          <w:tcPr>
            <w:tcW w:w="3938" w:type="pct"/>
            <w:vAlign w:val="center"/>
          </w:tcPr>
          <w:p>
            <w:pPr>
              <w:adjustRightInd w:val="0"/>
              <w:snapToGrid w:val="0"/>
              <w:rPr>
                <w:rFonts w:ascii="Times New Roman" w:hAnsi="Times New Roman"/>
              </w:rPr>
            </w:pPr>
            <w:r>
              <w:rPr>
                <w:rFonts w:ascii="Times New Roman" w:hAnsi="Times New Roman"/>
              </w:rPr>
              <w:t>少数种类，主要是杂食性种类，耐受性强的种类，适应多种栖息地的种类或引进种类等，占据优势，极少顶级肉食者；年龄级缺失，数量、生长和提质指标下降，天然杂交和感染疾病个体出现较多。</w:t>
            </w:r>
          </w:p>
        </w:tc>
        <w:tc>
          <w:tcPr>
            <w:tcW w:w="566" w:type="pct"/>
            <w:vAlign w:val="center"/>
          </w:tcPr>
          <w:p>
            <w:pPr>
              <w:adjustRightInd w:val="0"/>
              <w:snapToGrid w:val="0"/>
              <w:jc w:val="center"/>
              <w:rPr>
                <w:rFonts w:ascii="Times New Roman" w:hAnsi="Times New Roman"/>
              </w:rPr>
            </w:pPr>
            <w:r>
              <w:rPr>
                <w:rFonts w:ascii="Times New Roman" w:hAnsi="Times New Roman"/>
              </w:rPr>
              <w:t>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6" w:type="pct"/>
            <w:vAlign w:val="center"/>
          </w:tcPr>
          <w:p>
            <w:pPr>
              <w:adjustRightInd w:val="0"/>
              <w:snapToGrid w:val="0"/>
              <w:jc w:val="center"/>
              <w:rPr>
                <w:rFonts w:ascii="Times New Roman" w:hAnsi="Times New Roman"/>
              </w:rPr>
            </w:pPr>
            <w:r>
              <w:rPr>
                <w:rFonts w:ascii="Times New Roman" w:hAnsi="Times New Roman"/>
              </w:rPr>
              <w:t>12~22</w:t>
            </w:r>
          </w:p>
        </w:tc>
        <w:tc>
          <w:tcPr>
            <w:tcW w:w="3938" w:type="pct"/>
            <w:vAlign w:val="center"/>
          </w:tcPr>
          <w:p>
            <w:pPr>
              <w:adjustRightInd w:val="0"/>
              <w:snapToGrid w:val="0"/>
              <w:rPr>
                <w:rFonts w:ascii="Times New Roman" w:hAnsi="Times New Roman"/>
              </w:rPr>
            </w:pPr>
            <w:r>
              <w:rPr>
                <w:rFonts w:ascii="Times New Roman" w:hAnsi="Times New Roman"/>
              </w:rPr>
              <w:t>除引进种和耐受性强的杂食性种类外，鱼类较少；天然杂交个体很普遍，感染疾病和寄生虫，鳍损坏和其它外形异常的个体的比例很高。</w:t>
            </w:r>
          </w:p>
        </w:tc>
        <w:tc>
          <w:tcPr>
            <w:tcW w:w="566" w:type="pct"/>
            <w:vAlign w:val="center"/>
          </w:tcPr>
          <w:p>
            <w:pPr>
              <w:adjustRightInd w:val="0"/>
              <w:snapToGrid w:val="0"/>
              <w:jc w:val="center"/>
              <w:rPr>
                <w:rFonts w:ascii="Times New Roman" w:hAnsi="Times New Roman"/>
              </w:rPr>
            </w:pPr>
            <w:r>
              <w:rPr>
                <w:rFonts w:ascii="Times New Roman" w:hAnsi="Times New Roman"/>
              </w:rPr>
              <w:t>极差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6" w:type="pct"/>
            <w:vAlign w:val="center"/>
          </w:tcPr>
          <w:p>
            <w:pPr>
              <w:adjustRightInd w:val="0"/>
              <w:snapToGrid w:val="0"/>
              <w:jc w:val="center"/>
              <w:rPr>
                <w:rFonts w:ascii="Times New Roman" w:hAnsi="Times New Roman"/>
              </w:rPr>
            </w:pPr>
            <w:r>
              <w:rPr>
                <w:rFonts w:ascii="Times New Roman" w:hAnsi="Times New Roman"/>
              </w:rPr>
              <w:t>&lt;12</w:t>
            </w:r>
          </w:p>
        </w:tc>
        <w:tc>
          <w:tcPr>
            <w:tcW w:w="3938" w:type="pct"/>
            <w:vAlign w:val="center"/>
          </w:tcPr>
          <w:p>
            <w:pPr>
              <w:adjustRightInd w:val="0"/>
              <w:snapToGrid w:val="0"/>
              <w:rPr>
                <w:rFonts w:ascii="Times New Roman" w:hAnsi="Times New Roman"/>
              </w:rPr>
            </w:pPr>
            <w:r>
              <w:rPr>
                <w:rFonts w:ascii="Times New Roman" w:hAnsi="Times New Roman"/>
              </w:rPr>
              <w:t>重复采样，没有发现鱼。</w:t>
            </w:r>
          </w:p>
        </w:tc>
        <w:tc>
          <w:tcPr>
            <w:tcW w:w="566" w:type="pct"/>
            <w:vAlign w:val="center"/>
          </w:tcPr>
          <w:p>
            <w:pPr>
              <w:adjustRightInd w:val="0"/>
              <w:snapToGrid w:val="0"/>
              <w:jc w:val="center"/>
              <w:rPr>
                <w:rFonts w:ascii="Times New Roman" w:hAnsi="Times New Roman"/>
              </w:rPr>
            </w:pPr>
            <w:r>
              <w:rPr>
                <w:rFonts w:ascii="Times New Roman" w:hAnsi="Times New Roman"/>
              </w:rPr>
              <w:t>没有鱼</w:t>
            </w:r>
          </w:p>
        </w:tc>
      </w:tr>
    </w:tbl>
    <w:p>
      <w:pPr>
        <w:wordWrap w:val="0"/>
        <w:spacing w:before="156" w:beforeLines="50" w:line="360" w:lineRule="auto"/>
        <w:ind w:firstLine="470" w:firstLineChars="196"/>
        <w:rPr>
          <w:rFonts w:ascii="Times New Roman" w:hAnsi="Times New Roman"/>
          <w:sz w:val="24"/>
          <w:szCs w:val="24"/>
        </w:rPr>
      </w:pPr>
      <w:r>
        <w:rPr>
          <w:rFonts w:ascii="Times New Roman" w:hAnsi="Times New Roman"/>
          <w:sz w:val="24"/>
          <w:szCs w:val="24"/>
        </w:rPr>
        <w:t>保护区为沟通洞庭湖与长江联系的水域，洞庭湖纳长江“三口”和湖南“四水”之水，从城陵矶注入长江，该水域渔业资源丰富，水生态系统结构完整，分布有众多鱼类产卵场、索饵场、越冬场和鱼类等水生动物洄游通道，鱼类种群结构齐全，保护区功能完整。</w:t>
      </w:r>
    </w:p>
    <w:p>
      <w:pPr>
        <w:wordWrap w:val="0"/>
        <w:spacing w:line="360" w:lineRule="auto"/>
        <w:ind w:firstLine="470" w:firstLineChars="196"/>
        <w:rPr>
          <w:rFonts w:ascii="Times New Roman" w:hAnsi="Times New Roman"/>
          <w:sz w:val="24"/>
          <w:szCs w:val="24"/>
        </w:rPr>
      </w:pPr>
      <w:r>
        <w:rPr>
          <w:rFonts w:ascii="Times New Roman" w:hAnsi="Times New Roman"/>
          <w:sz w:val="24"/>
          <w:szCs w:val="24"/>
        </w:rPr>
        <w:t>经统计，保护区IBI指标体系的评分为42分，对应的鱼类生物完整性等级为一般。保护区河段位于洞庭湖口，水上船舶通航频繁，人为干扰较大。保护区鱼类主要以产黏性或沉性卵的定居性鱼类组成，鲤以及草鱼、鲢等四大家鱼在渔获物中比例较大；短颌鲚和铜鱼、贝氏䱗、蛇鮈等渔获较多，保护区面积较大，周围生境保护一般。</w:t>
      </w:r>
    </w:p>
    <w:p>
      <w:pPr>
        <w:wordWrap w:val="0"/>
        <w:spacing w:line="360" w:lineRule="auto"/>
        <w:rPr>
          <w:rFonts w:ascii="Times New Roman" w:hAnsi="Times New Roman"/>
          <w:sz w:val="24"/>
          <w:szCs w:val="24"/>
        </w:rPr>
      </w:pPr>
    </w:p>
    <w:p>
      <w:pPr>
        <w:pStyle w:val="6"/>
        <w:ind w:firstLine="480"/>
        <w:rPr>
          <w:rFonts w:cs="Times New Roman" w:eastAsiaTheme="minorEastAsia"/>
        </w:rPr>
        <w:sectPr>
          <w:headerReference r:id="rId12" w:type="default"/>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2"/>
        <w:spacing w:line="480" w:lineRule="auto"/>
        <w:ind w:left="431" w:hanging="431"/>
        <w:jc w:val="center"/>
        <w:rPr>
          <w:rFonts w:eastAsiaTheme="minorEastAsia"/>
          <w:b/>
          <w:sz w:val="32"/>
          <w:szCs w:val="32"/>
        </w:rPr>
      </w:pPr>
      <w:bookmarkStart w:id="126" w:name="_Toc23047"/>
      <w:r>
        <w:rPr>
          <w:rFonts w:eastAsiaTheme="minorEastAsia"/>
          <w:b/>
          <w:sz w:val="32"/>
          <w:szCs w:val="32"/>
        </w:rPr>
        <w:t>环境可行性分析</w:t>
      </w:r>
      <w:bookmarkEnd w:id="126"/>
    </w:p>
    <w:p>
      <w:pPr>
        <w:pStyle w:val="3"/>
        <w:rPr>
          <w:rFonts w:ascii="Times New Roman" w:hAnsi="Times New Roman" w:eastAsiaTheme="minorEastAsia"/>
          <w:b/>
        </w:rPr>
      </w:pPr>
      <w:bookmarkStart w:id="127" w:name="_Toc26370"/>
      <w:r>
        <w:rPr>
          <w:rFonts w:ascii="Times New Roman" w:hAnsi="Times New Roman" w:eastAsiaTheme="minorEastAsia"/>
          <w:b/>
        </w:rPr>
        <w:t>项目建设必要性</w:t>
      </w:r>
      <w:bookmarkEnd w:id="127"/>
    </w:p>
    <w:p>
      <w:pPr>
        <w:autoSpaceDE w:val="0"/>
        <w:autoSpaceDN w:val="0"/>
        <w:adjustRightInd w:val="0"/>
        <w:snapToGrid w:val="0"/>
        <w:spacing w:line="360" w:lineRule="auto"/>
        <w:ind w:firstLine="482" w:firstLineChars="200"/>
        <w:rPr>
          <w:rFonts w:ascii="Times New Roman" w:hAnsi="Times New Roman" w:eastAsiaTheme="minorEastAsia"/>
          <w:b/>
          <w:bCs/>
          <w:sz w:val="24"/>
          <w:szCs w:val="24"/>
        </w:rPr>
      </w:pPr>
      <w:r>
        <w:rPr>
          <w:rFonts w:ascii="Times New Roman" w:hAnsi="Times New Roman" w:eastAsiaTheme="minorEastAsia"/>
          <w:b/>
          <w:bCs/>
          <w:sz w:val="24"/>
          <w:szCs w:val="24"/>
        </w:rPr>
        <w:t>1、本项目的建设是满足岳阳电厂生产物流需要。</w:t>
      </w:r>
    </w:p>
    <w:p>
      <w:pPr>
        <w:autoSpaceDE w:val="0"/>
        <w:autoSpaceDN w:val="0"/>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近年来由于电厂码头2#泊位靠泊船型的局限性，只作为枯水季节卸小船或需联合作业时才投入运行。电厂码头90%以上煤船卸载作业是由1#泊位完成的。电厂码头1#泊位及皮带机卸煤线原设计卸煤量为6000~8000吨/天，为保证全厂6台机组发电需要，现阶段日卸煤量已达14000吨/天，卸煤线日平均工作时间达20小时以上，全年工作时间在300天以上，这已是1#泊位水路卸煤能力的极限状态，但仍难以满足全厂发电卸煤的需要。电厂甚至采取了链斗卸船机和抓斗卸船机联合作业、运行人员换班不停机、设置卸煤量奖项等多项措施，卸煤线已是长时间、超负荷的运行，卸煤能力已无潜力可挖，但仍不能满足全厂高负荷时段、大采购方式时对水路煤卸载的要求。电厂年耗煤量约480万吨/年，最大耗煤量可达600万吨/年。且随着煤炭供应市场的变化，水运来煤较铁路来煤经济性更佳，电厂约有90%的燃料煤都将从水路调入，430万吨/年的水运调入量依靠现有码头根本无法实现。因此，进行2#泊位改造，提高码头的卸载量，是满足岳阳电厂生产物流需要。</w:t>
      </w:r>
    </w:p>
    <w:p>
      <w:pPr>
        <w:autoSpaceDE w:val="0"/>
        <w:autoSpaceDN w:val="0"/>
        <w:adjustRightInd w:val="0"/>
        <w:snapToGrid w:val="0"/>
        <w:spacing w:line="360" w:lineRule="auto"/>
        <w:ind w:firstLine="482" w:firstLineChars="200"/>
        <w:rPr>
          <w:rFonts w:ascii="Times New Roman" w:hAnsi="Times New Roman" w:eastAsiaTheme="minorEastAsia"/>
          <w:b/>
          <w:bCs/>
          <w:sz w:val="24"/>
          <w:szCs w:val="24"/>
        </w:rPr>
      </w:pPr>
      <w:r>
        <w:rPr>
          <w:rFonts w:ascii="Times New Roman" w:hAnsi="Times New Roman" w:eastAsiaTheme="minorEastAsia"/>
          <w:b/>
          <w:bCs/>
          <w:sz w:val="24"/>
          <w:szCs w:val="24"/>
        </w:rPr>
        <w:t>2、本项目的建设是提高煤炭供应保障性，消除安全隐患，满足岳阳电厂安全生产的需要。</w:t>
      </w:r>
    </w:p>
    <w:p>
      <w:pPr>
        <w:autoSpaceDE w:val="0"/>
        <w:autoSpaceDN w:val="0"/>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近年来电厂码头90%以上煤船卸载作业是由1#泊位完成的，2#泊位鉴于靠泊船型的局限性，只作为枯水季节卸小船或需联合作业时才投入运行。而电厂1#泊位水路卸煤线目前只配备一套2×16t-35m的浮式抓斗吊卸船机和一条卸煤皮带线（C1皮带机、C2皮带机），目前这种长时间、超设计能力的工作方式对设备的可靠性和运行操作要求极高，运行操作人员和设备维护人员一直处于高度紧张状态，人员和设备都极为疲劳。一旦1#泊位停产检修，将严重影响电厂的生产，因此急需采取有效措施，提高码头泊位卸煤保障性，确保安全生产。因此，对2#泊位进行改造，是保证电厂燃料供应的需要，消除安全隐患，提高煤炭供应保障性，满足岳阳电厂安全生产的需要。</w:t>
      </w:r>
    </w:p>
    <w:p>
      <w:pPr>
        <w:autoSpaceDE w:val="0"/>
        <w:autoSpaceDN w:val="0"/>
        <w:adjustRightInd w:val="0"/>
        <w:snapToGrid w:val="0"/>
        <w:spacing w:line="360" w:lineRule="auto"/>
        <w:ind w:firstLine="482" w:firstLineChars="200"/>
        <w:rPr>
          <w:rFonts w:ascii="Times New Roman" w:hAnsi="Times New Roman" w:eastAsiaTheme="minorEastAsia"/>
          <w:b/>
          <w:bCs/>
          <w:sz w:val="24"/>
          <w:szCs w:val="24"/>
        </w:rPr>
      </w:pPr>
      <w:r>
        <w:rPr>
          <w:rFonts w:ascii="Times New Roman" w:hAnsi="Times New Roman" w:eastAsiaTheme="minorEastAsia"/>
          <w:b/>
          <w:bCs/>
          <w:sz w:val="24"/>
          <w:szCs w:val="24"/>
        </w:rPr>
        <w:t>3、本项目的建设是落实湖南省政府关于推进长江岸线湖南段港口码头专项整治工作的需要。</w:t>
      </w:r>
    </w:p>
    <w:p>
      <w:pPr>
        <w:autoSpaceDE w:val="0"/>
        <w:autoSpaceDN w:val="0"/>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为贯彻落实习近平总书记在深入推动长江经济带发展座谈会和岳阳视察时的重要讲话精神，2018年5月至今，湖南省多次专题研究推进长江岸线湖南段港口码头专项整治工作。根据2018年5月湘府阅〔2018〕33号文《长江推进长江岸线湖南段港口码头专项整治工作的第二次会议纪要》，正在运行的华能电厂码头需要提质改造。因此本项目的建设是落实湖南省政府关于推进长江岸线湖南段港口码头专项整治工作的需要。</w:t>
      </w:r>
    </w:p>
    <w:p>
      <w:pPr>
        <w:autoSpaceDE w:val="0"/>
        <w:autoSpaceDN w:val="0"/>
        <w:adjustRightInd w:val="0"/>
        <w:snapToGrid w:val="0"/>
        <w:spacing w:line="360" w:lineRule="auto"/>
        <w:ind w:firstLine="482" w:firstLineChars="200"/>
        <w:rPr>
          <w:rFonts w:ascii="Times New Roman" w:hAnsi="Times New Roman" w:eastAsiaTheme="minorEastAsia"/>
          <w:b/>
          <w:bCs/>
          <w:sz w:val="24"/>
          <w:szCs w:val="24"/>
        </w:rPr>
      </w:pPr>
      <w:r>
        <w:rPr>
          <w:rFonts w:ascii="Times New Roman" w:hAnsi="Times New Roman" w:eastAsiaTheme="minorEastAsia"/>
          <w:b/>
          <w:bCs/>
          <w:sz w:val="24"/>
          <w:szCs w:val="24"/>
        </w:rPr>
        <w:t>4、本项目的建设是电厂降低燃料成本，提高经济效益的需要。</w:t>
      </w:r>
    </w:p>
    <w:p>
      <w:pPr>
        <w:autoSpaceDE w:val="0"/>
        <w:autoSpaceDN w:val="0"/>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受近年国家能源结构政策调整及煤炭价格持续上涨影响，燃煤电厂生产经营压力逐渐增大，为降低燃料成本，提高经营效益水平及赢利能力，岳阳电厂积极应对市场变化，调整进煤结构。岳阳电厂经济煤种主要为长江上游川煤及海进江印尼烟煤，据初步测算，水运来煤较铁路来煤节省运费50元/吨，对2#泊位进行改造，提高码头水运卸煤能力，对于电厂加大经济煤种的采购，降低全厂生产成本都将有较好的效应，整体效益将很可观。因此，本项目的建设是电厂降低燃料成本，提高经济效益的需要。</w:t>
      </w:r>
    </w:p>
    <w:p>
      <w:pPr>
        <w:autoSpaceDE w:val="0"/>
        <w:autoSpaceDN w:val="0"/>
        <w:adjustRightInd w:val="0"/>
        <w:snapToGrid w:val="0"/>
        <w:spacing w:line="360" w:lineRule="auto"/>
        <w:ind w:firstLine="482" w:firstLineChars="200"/>
        <w:rPr>
          <w:rFonts w:ascii="Times New Roman" w:hAnsi="Times New Roman" w:eastAsiaTheme="minorEastAsia"/>
          <w:b/>
          <w:bCs/>
          <w:sz w:val="24"/>
          <w:szCs w:val="24"/>
        </w:rPr>
      </w:pPr>
      <w:r>
        <w:rPr>
          <w:rFonts w:ascii="Times New Roman" w:hAnsi="Times New Roman" w:eastAsiaTheme="minorEastAsia"/>
          <w:b/>
          <w:bCs/>
          <w:sz w:val="24"/>
          <w:szCs w:val="24"/>
        </w:rPr>
        <w:t>5、本项目的建设是满足接卸大型船舶的需要。</w:t>
      </w:r>
    </w:p>
    <w:p>
      <w:pPr>
        <w:autoSpaceDE w:val="0"/>
        <w:autoSpaceDN w:val="0"/>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由于码头2#泊位设计及建设较早（1993年投产），原有设计要求与目前长江航运的实际情况不相适应。随着长江航道整治工作的开展，长江航运发展活力进一步释放，船闸通过能力提升，船型朝着标准化、大型化发展。2#泊位原设计代表船型为甲板驳，而目前小吨级甲板驳已退出长江主航道，江船95%以上均为自航驳，船型一般为深仓或半仓驳，下游来船最大已提升至15000吨左右，在枯水季节一万吨级江船已常态化，2#泊位已不能适应现有船型的作业，目前只作为枯水季节卸小船或需联合作业时才投入运行，进一步降低了接卸效率。因此，本项目的建设是满足接卸大型船舶的需要。</w:t>
      </w:r>
    </w:p>
    <w:p>
      <w:pPr>
        <w:autoSpaceDE w:val="0"/>
        <w:autoSpaceDN w:val="0"/>
        <w:adjustRightInd w:val="0"/>
        <w:snapToGrid w:val="0"/>
        <w:spacing w:line="360" w:lineRule="auto"/>
        <w:ind w:firstLine="482" w:firstLineChars="200"/>
        <w:rPr>
          <w:rFonts w:ascii="Times New Roman" w:hAnsi="Times New Roman" w:eastAsiaTheme="minorEastAsia"/>
          <w:b/>
          <w:bCs/>
          <w:sz w:val="24"/>
          <w:szCs w:val="24"/>
        </w:rPr>
      </w:pPr>
      <w:r>
        <w:rPr>
          <w:rFonts w:ascii="Times New Roman" w:hAnsi="Times New Roman" w:eastAsiaTheme="minorEastAsia"/>
          <w:b/>
          <w:bCs/>
          <w:sz w:val="24"/>
          <w:szCs w:val="24"/>
        </w:rPr>
        <w:t>6、本项目的建设是盘活优质岸线资源，提高码头装卸效率的需要。</w:t>
      </w:r>
    </w:p>
    <w:p>
      <w:pPr>
        <w:autoSpaceDE w:val="0"/>
        <w:autoSpaceDN w:val="0"/>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岳阳电厂现有岸线顺直，水深条件佳，是难得的优质岸线。但2#泊位因为设计靠泊船型不适应现有到港船型的变化，泊位利用率很低，只在枯水季节卸小船或需联合作业时才投入运行。岸线资源存在极大浪费。因此，本项目的建设是盘活优质岸线资源，提高码头装卸效率的需要。</w:t>
      </w:r>
    </w:p>
    <w:p>
      <w:pPr>
        <w:autoSpaceDE w:val="0"/>
        <w:autoSpaceDN w:val="0"/>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因此，本项目的建设是十分必要的。</w:t>
      </w:r>
    </w:p>
    <w:p>
      <w:pPr>
        <w:pStyle w:val="3"/>
        <w:rPr>
          <w:rFonts w:ascii="Times New Roman" w:hAnsi="Times New Roman" w:eastAsiaTheme="minorEastAsia"/>
          <w:b/>
          <w:kern w:val="2"/>
          <w:szCs w:val="24"/>
        </w:rPr>
      </w:pPr>
      <w:bookmarkStart w:id="128" w:name="_Toc23210"/>
      <w:r>
        <w:rPr>
          <w:rFonts w:ascii="Times New Roman" w:hAnsi="Times New Roman" w:eastAsiaTheme="minorEastAsia"/>
          <w:b/>
        </w:rPr>
        <w:t>产业政策符合性分析</w:t>
      </w:r>
      <w:bookmarkEnd w:id="128"/>
    </w:p>
    <w:p>
      <w:pPr>
        <w:wordWrap w:val="0"/>
        <w:adjustRightInd w:val="0"/>
        <w:snapToGrid w:val="0"/>
        <w:spacing w:line="360" w:lineRule="auto"/>
        <w:ind w:firstLine="480" w:firstLineChars="200"/>
        <w:rPr>
          <w:rFonts w:ascii="Times New Roman" w:hAnsi="Times New Roman" w:eastAsiaTheme="minorEastAsia"/>
          <w:bCs/>
          <w:sz w:val="24"/>
          <w:szCs w:val="24"/>
        </w:rPr>
      </w:pPr>
      <w:r>
        <w:rPr>
          <w:rFonts w:ascii="Times New Roman" w:hAnsi="Times New Roman" w:eastAsiaTheme="minorEastAsia"/>
          <w:bCs/>
          <w:sz w:val="24"/>
          <w:szCs w:val="24"/>
        </w:rPr>
        <w:t>根据《产业结构调整指导目录（2019年本）》中内容，本项目属于“鼓励类”第三条“15、大型煤炭储运中心、煤炭交易市场建设及储煤场地环保改造”和第二十五条“水运”中的“深水泊位（沿海万吨级、内河千吨级及以上）建设”项目。另外，本项目不属于《限制用地项目目录（2012年本）》和《禁止用地项目目录（2012年本）》中的限制用地和禁止用地。因此，本项目的建设符合国家产业政策和相关法律、法规的要求。</w:t>
      </w:r>
    </w:p>
    <w:p>
      <w:pPr>
        <w:pStyle w:val="3"/>
        <w:rPr>
          <w:rFonts w:ascii="Times New Roman" w:hAnsi="Times New Roman" w:eastAsiaTheme="minorEastAsia"/>
          <w:b/>
        </w:rPr>
      </w:pPr>
      <w:bookmarkStart w:id="129" w:name="_Toc6747"/>
      <w:r>
        <w:rPr>
          <w:rFonts w:ascii="Times New Roman" w:hAnsi="Times New Roman" w:eastAsiaTheme="minorEastAsia"/>
          <w:b/>
        </w:rPr>
        <w:t>相关规划符合性分析</w:t>
      </w:r>
      <w:bookmarkEnd w:id="129"/>
    </w:p>
    <w:p>
      <w:pPr>
        <w:pStyle w:val="4"/>
        <w:rPr>
          <w:rFonts w:eastAsiaTheme="minorEastAsia"/>
          <w:szCs w:val="24"/>
        </w:rPr>
      </w:pPr>
      <w:r>
        <w:rPr>
          <w:rFonts w:eastAsiaTheme="minorEastAsia"/>
          <w:szCs w:val="24"/>
        </w:rPr>
        <w:t>与</w:t>
      </w:r>
      <w:r>
        <w:rPr>
          <w:rFonts w:eastAsiaTheme="minorEastAsia"/>
          <w:color w:val="000000"/>
          <w:szCs w:val="24"/>
        </w:rPr>
        <w:t>《长江干线航道总体规划纲要》、《长江干线航道建设规划》</w:t>
      </w:r>
      <w:r>
        <w:rPr>
          <w:rFonts w:eastAsiaTheme="minorEastAsia"/>
          <w:szCs w:val="24"/>
        </w:rPr>
        <w:t>的符合性分析</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根据《长江干线航道总体规划纲要》、《长江干线航道建设规划》，重庆至城陵矶河段：一级航道标准，其中宜昌至城陵矶航道为内河</w:t>
      </w:r>
      <w:r>
        <w:rPr>
          <w:rFonts w:hint="eastAsia" w:ascii="宋体" w:hAnsi="宋体" w:cs="宋体"/>
          <w:color w:val="000000"/>
          <w:sz w:val="24"/>
          <w:szCs w:val="24"/>
        </w:rPr>
        <w:t>Ⅰ</w:t>
      </w:r>
      <w:r>
        <w:rPr>
          <w:rFonts w:ascii="Times New Roman" w:hAnsi="Times New Roman" w:eastAsiaTheme="minorEastAsia"/>
          <w:color w:val="000000"/>
          <w:sz w:val="24"/>
          <w:szCs w:val="24"/>
        </w:rPr>
        <w:t>级，水深3.5m；城陵矶至武汉河段：一级航道标准，水深3.7m，通航由3000t级驳船组成的万t级船队，利用航道自然水深通航3000t级江海轮，洪水时通行5000t级江海轮。武汉以下航道为内河</w:t>
      </w:r>
      <w:r>
        <w:rPr>
          <w:rFonts w:hint="eastAsia" w:ascii="宋体" w:hAnsi="宋体" w:cs="宋体"/>
          <w:color w:val="000000"/>
          <w:sz w:val="24"/>
          <w:szCs w:val="24"/>
        </w:rPr>
        <w:t>Ⅰ</w:t>
      </w:r>
      <w:r>
        <w:rPr>
          <w:rFonts w:ascii="Times New Roman" w:hAnsi="Times New Roman" w:eastAsiaTheme="minorEastAsia"/>
          <w:color w:val="000000"/>
          <w:sz w:val="24"/>
          <w:szCs w:val="24"/>
        </w:rPr>
        <w:t>级，水深4.5m以上，5000t级江海轮可在自然水深条件下通航。</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拟建2#码头位于“城陵矶至武汉河段”，码头进出船舶航行及靠泊便利，码头前沿停靠作业水域和船舶回旋水域不占用主航道。拟建码头设计水位为33.5m，连接主航道及码头的港池水域的2#泊位码头前沿设计河底高程为13.54m，3000吨级散货船的设计航道水深分别为3.5m，能够满足3000t级船舶的航行要求。</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因此，本项目与航道现状及规划是协调一致的。</w:t>
      </w:r>
    </w:p>
    <w:p>
      <w:pPr>
        <w:pStyle w:val="4"/>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与《长江岸线保护和开发利用总体规划》的符合性分析</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长江岸线保护和开发利用总体规划》共划分岸线保护区516个，长度1964.2公里，占岸线总长度的11.3%；岸线保留区1034个，长度为9306.3公里，占岸线总长度的53.5%；岸线控制利用区817个，长度为4642.8公里，占岸线总长度的26.7%；岸线开发利用区232个，长度为1480.4公里，占岸线总长度的8.5%。</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根据长江岸线功能区分区规划，本项目位于长江右岸陆城，属于控制利用区，陆域及水深条件较好，预留港口发展岸线。拟建码头不在岸线保护区和保留区内，符合《长江岸线保护和开发利用总体规划》的要求。</w:t>
      </w:r>
    </w:p>
    <w:p>
      <w:pPr>
        <w:pStyle w:val="4"/>
        <w:rPr>
          <w:rFonts w:eastAsiaTheme="minorEastAsia"/>
          <w:szCs w:val="24"/>
        </w:rPr>
      </w:pPr>
      <w:r>
        <w:rPr>
          <w:rFonts w:eastAsiaTheme="minorEastAsia"/>
          <w:szCs w:val="24"/>
        </w:rPr>
        <w:t>与《长江经济带发展负面清单指南（试行）》的符合性分析</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长江经济带发展负面清单指南（试行）》（第89号）指出，禁止建设不符合全国和省级港口布局规划以及港口体现划的码头项目，禁止建设不符合《长江干线过江通道布局规划》的过长江通道项目；禁止在自然保护区核心区、缓冲区的岸线和河段范围内投资建设旅游和生产经营项目。禁止在风景名胜区核心景区的岸线和河段范围内投资建设与风景名胜资源保护无关的项目；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本项目属于岳阳港总体规划的码头项目，并且不在自然保护区及饮用水水源保护区范围内，与《长江经济带发展负面清单指南（试行）》（第89号）中的要求是不相冲突的。</w:t>
      </w:r>
    </w:p>
    <w:p>
      <w:pPr>
        <w:pStyle w:val="4"/>
        <w:rPr>
          <w:rFonts w:eastAsiaTheme="minorEastAsia"/>
        </w:rPr>
      </w:pPr>
      <w:r>
        <w:rPr>
          <w:rFonts w:eastAsiaTheme="minorEastAsia"/>
        </w:rPr>
        <w:t>与</w:t>
      </w:r>
      <w:r>
        <w:rPr>
          <w:rFonts w:eastAsiaTheme="minorEastAsia"/>
          <w:color w:val="000000"/>
          <w:szCs w:val="24"/>
        </w:rPr>
        <w:t>《湖南省交通运输“十三五”发展规划》</w:t>
      </w:r>
      <w:r>
        <w:rPr>
          <w:rFonts w:eastAsiaTheme="minorEastAsia"/>
        </w:rPr>
        <w:t>的符合性分析</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湖南省交通运输“十三五”发展规划》：“港口：重点加快岳阳港现代化建设步伐，围绕“一百万标箱、两亿吨大港”目标，将岳阳港打造成长江沿线枢纽港、上海港重要的喂给港、我省内河水运中转枢纽港；积极推动长株潭港口群一体化建设；统筹推进常德港、益阳港、永州港、衡阳港等地区重要港口建设；到2020年，新增1000吨级及以上泊位126个，达到232个，全省港口总通过能力超过3亿吨，其中集装箱通过能力达150万标箱。”本项目的实施是有助“将岳阳港打造成长江沿线枢纽港、上海港重要的喂给港、我省内河水运中转枢纽港”的。</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因此，本项目是符合《湖南省交通运输“十三五”发展规划》的。</w:t>
      </w:r>
    </w:p>
    <w:p>
      <w:pPr>
        <w:pStyle w:val="4"/>
        <w:rPr>
          <w:rFonts w:eastAsiaTheme="minorEastAsia"/>
        </w:rPr>
      </w:pPr>
      <w:r>
        <w:rPr>
          <w:rFonts w:eastAsiaTheme="minorEastAsia"/>
        </w:rPr>
        <w:t>与《湖南省港口布局规划》的符合性分析</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湖南省港口布局规划》，湖南省形成以岳阳港、长沙港2个主要港口为核心，以衡阳港、湘潭港、株洲港、益阳港、常德港、桃源港、津市港、南县港、沅江港、泸溪港、辰溪港、邵阳港、资兴港等13个地区重要港口为基础，其他一般港口为补充的，布局合理、层次分明、功能明确、与区域经济发展水平相适应的港口体系。根据港辖区范围的调整思路，将岳阳市所辖的各县（市）内港口统称为一个县（市）级港区。因此，规划岳阳港辖岳阳楼港区、七里山港区、城陵矶港区、道仁矶港区、陆城港区、君山港区、湘阴港区、汨罗港区、华容港区、岳阳县港区、临湘港区等11个港区。本项目位于岳阳港的城陵矶港区松阳湖作业区范围。</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因此，本项目是符合《湖南省港口布局规划》要求的。</w:t>
      </w:r>
    </w:p>
    <w:p>
      <w:pPr>
        <w:pStyle w:val="4"/>
        <w:rPr>
          <w:rFonts w:eastAsiaTheme="minorEastAsia"/>
        </w:rPr>
      </w:pPr>
      <w:r>
        <w:rPr>
          <w:rFonts w:eastAsiaTheme="minorEastAsia"/>
        </w:rPr>
        <w:t>与《岳阳市城市总体规划（2008-2030）》的符合性分析</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岳阳市城市总体规划（2008-2030）》指出，岳阳港是我国内河主要港口、长江沿线枢纽港之一、上海港的喂给港；湖南“3+5城市群”的水运中转枢纽；是湖南现代物流的重要支撑和对外开放、发展外向型经济的重要依托。应继续贯彻“以港兴市”的战略思想，规划城陵矶（包括松杨湖港）、岳阳楼、七里山、道仁矶、陆城、君山、湘阴、汨罗、岳阳县、华容、临湘等十一个港区，将协调岸线资源和港口功能的发挥作为重大基础设施和社会服务设施对接。该规划指出，将陆城作业区是以石化企业的原油及成品油运输服务的货主综合性港区。本项目建成后，其主要为长岭分公司服务。主要运输货种为液化石油气、化工品及原料。</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因此，本项目的建设符合《岳阳市城市总体规划（2008-2030）》的要求。</w:t>
      </w:r>
    </w:p>
    <w:p>
      <w:pPr>
        <w:pStyle w:val="4"/>
        <w:rPr>
          <w:rFonts w:eastAsiaTheme="minorEastAsia"/>
        </w:rPr>
      </w:pPr>
      <w:r>
        <w:rPr>
          <w:rFonts w:eastAsiaTheme="minorEastAsia"/>
        </w:rPr>
        <w:t>与《岳阳市生态环境保护“十三五”规划》的符合性分析</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岳阳市生态环境保护“十三五”规划》提出“严禁港口码头生产生活废水直排，促进船舶标准化，船舶、港口、码头生活垃圾上岸处置”。本项目产生的生活废水和趸船冲煤废水均通过管道运输上岸，进入污水处理设施处理后达标排放。码头的生活垃圾交由环卫部门统一处置。</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因此，本项目是与《岳阳市生态环境保护“十三五”规划》相符合的。</w:t>
      </w:r>
    </w:p>
    <w:p>
      <w:pPr>
        <w:pStyle w:val="4"/>
        <w:rPr>
          <w:rFonts w:eastAsiaTheme="minorEastAsia"/>
        </w:rPr>
      </w:pPr>
      <w:r>
        <w:rPr>
          <w:rFonts w:eastAsiaTheme="minorEastAsia"/>
        </w:rPr>
        <w:t>与《岳阳市国民经济和社会发展第十三个五年规划纲要》符合性分析</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岳阳市国民经济和社会发展第十三个五年规划纲要》中指出：“畅通水运通道。加强岳阳楼、七里山、城陵矶、道仁矶4个重要港区和陆城、君山、湘阴、汨罗、岳阳县、华容、临湘7个一般港区建设，完善港口集疏运体系，提升港口服务功能，启动洞庭湖水利综合枢纽工程前期工作。积极推动城陵矶至武汉长江干线航道疏浚治理，实现常年维护水深6米，达到常年散货1.2万吨级、集装箱5000吨级通航标准。加强湘江干线岳阳段疏浚治理，形成与长江干线有机衔接的支线网络。到2020年，四级及以上航道里程达到354公里。”由此可知，本项目属于城陵矶港区的建设内容。</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因此，本项目是符合《岳阳市国民经济和社会发展第十三个五年规划纲要》的。</w:t>
      </w:r>
    </w:p>
    <w:p>
      <w:pPr>
        <w:pStyle w:val="4"/>
        <w:rPr>
          <w:rFonts w:eastAsiaTheme="minorEastAsia"/>
        </w:rPr>
      </w:pPr>
      <w:r>
        <w:rPr>
          <w:rFonts w:eastAsiaTheme="minorEastAsia"/>
        </w:rPr>
        <w:t>与《岳阳港总体规划》的符合性分析</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岳阳港总体规划》（送审稿）：“松阳湖作业区位于长江右岸擂鼓台~白尾闸上游1000米，规划港口岸线5100米，可集约连片开发5000吨级以上深水泊位。现有华能电厂泊位3个、城陵矶新港集装箱码头泊位3个、百盛公司泊位、湘鄂水上转运中心联合管理办公室泊位、华新水泥泊位2个，城陵矶二期和岳港粮油泊位在建。规划为以集装箱、件杂货、滚装汽车、粮油、煤炭运输为主，具有铁水联运、综合物流、口岸及临港工业服务等功能的枢纽型公用码头区。自上而下规划布置为临港企业煤炭泊位区、集装箱泊位区、件杂、滚装泊位区和通用泊位区。</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临港企业煤炭泊位区规划对现有的华能电厂2个煤炭专用码头实施5000吨级兼顾10000吨级的提质升级工程，上游侧结合现有系船墩位置规划1个3000吨级煤炭泊位，为了给下游留出足够的位置布置集装箱泊位将生活泊位逐步取消，3个生产泊位长度370米，形成煤炭通过能力750万吨。”</w:t>
      </w:r>
    </w:p>
    <w:p>
      <w:pPr>
        <w:adjustRightInd w:val="0"/>
        <w:snapToGrid w:val="0"/>
        <w:spacing w:line="360" w:lineRule="auto"/>
        <w:ind w:firstLine="480" w:firstLineChars="200"/>
        <w:rPr>
          <w:rFonts w:hint="default" w:ascii="Times New Roman" w:hAnsi="Times New Roman" w:eastAsiaTheme="minorEastAsia"/>
          <w:color w:val="000000" w:themeColor="text1"/>
          <w:kern w:val="0"/>
          <w:sz w:val="24"/>
          <w:szCs w:val="24"/>
          <w:lang w:val="en-US" w:eastAsia="zh-CN"/>
          <w14:textFill>
            <w14:solidFill>
              <w14:schemeClr w14:val="tx1"/>
            </w14:solidFill>
          </w14:textFill>
        </w:rPr>
      </w:pPr>
      <w:r>
        <w:rPr>
          <w:rFonts w:ascii="Times New Roman" w:hAnsi="Times New Roman" w:eastAsiaTheme="minorEastAsia"/>
          <w:color w:val="000000"/>
          <w:sz w:val="24"/>
          <w:szCs w:val="24"/>
        </w:rPr>
        <w:t>2015年，华能码头</w:t>
      </w:r>
      <w:r>
        <w:rPr>
          <w:rFonts w:ascii="Times New Roman" w:hAnsi="Times New Roman" w:eastAsiaTheme="minorEastAsia"/>
          <w:sz w:val="24"/>
          <w:szCs w:val="24"/>
        </w:rPr>
        <w:t>1#泊位已完成5000吨级（</w:t>
      </w:r>
      <w:r>
        <w:rPr>
          <w:rFonts w:ascii="Times New Roman" w:hAnsi="Times New Roman" w:eastAsiaTheme="minorEastAsia"/>
          <w:color w:val="000000"/>
          <w:sz w:val="24"/>
          <w:szCs w:val="24"/>
        </w:rPr>
        <w:t>兼顾10000吨级</w:t>
      </w:r>
      <w:r>
        <w:rPr>
          <w:rFonts w:ascii="Times New Roman" w:hAnsi="Times New Roman" w:eastAsiaTheme="minorEastAsia"/>
          <w:sz w:val="24"/>
          <w:szCs w:val="24"/>
        </w:rPr>
        <w:t>）的提质改造。</w:t>
      </w:r>
      <w:r>
        <w:rPr>
          <w:rFonts w:ascii="Times New Roman" w:hAnsi="Times New Roman" w:eastAsiaTheme="minorEastAsia"/>
          <w:color w:val="000000"/>
          <w:sz w:val="24"/>
          <w:szCs w:val="24"/>
        </w:rPr>
        <w:t>根据湖南省人民政府“</w:t>
      </w:r>
      <w:r>
        <w:rPr>
          <w:rFonts w:ascii="Times New Roman" w:hAnsi="Times New Roman"/>
          <w:color w:val="000000" w:themeColor="text1"/>
          <w:kern w:val="0"/>
          <w:sz w:val="24"/>
          <w:szCs w:val="24"/>
          <w14:textFill>
            <w14:solidFill>
              <w14:schemeClr w14:val="tx1"/>
            </w14:solidFill>
          </w14:textFill>
        </w:rPr>
        <w:t>湖南省人民政府 关于推进长江岸线湖南段港口码头专项整治工作的第二次会议纪要”（湘府阅〔2018〕33号）和</w:t>
      </w:r>
      <w:r>
        <w:rPr>
          <w:rFonts w:ascii="Times New Roman" w:hAnsi="Times New Roman" w:eastAsiaTheme="minorEastAsia"/>
          <w:color w:val="000000"/>
          <w:sz w:val="24"/>
          <w:szCs w:val="24"/>
        </w:rPr>
        <w:t>岳阳市地方海事局“</w:t>
      </w:r>
      <w:r>
        <w:rPr>
          <w:rFonts w:ascii="Times New Roman" w:hAnsi="Times New Roman"/>
          <w:color w:val="000000" w:themeColor="text1"/>
          <w:kern w:val="0"/>
          <w:sz w:val="24"/>
          <w:szCs w:val="24"/>
          <w14:textFill>
            <w14:solidFill>
              <w14:schemeClr w14:val="tx1"/>
            </w14:solidFill>
          </w14:textFill>
        </w:rPr>
        <w:t>关于《华能岳阳电厂码头2#泊位提质改造方案》的批复”（岳地海〔2019〕52号）文件内容，本次工可研究报告提出的提质改造的2#泊位为3000吨级（</w:t>
      </w:r>
      <w:r>
        <w:rPr>
          <w:rFonts w:ascii="Times New Roman" w:hAnsi="Times New Roman" w:eastAsiaTheme="minorEastAsia"/>
          <w:color w:val="000000"/>
          <w:sz w:val="24"/>
          <w:szCs w:val="24"/>
        </w:rPr>
        <w:t>兼顾10000吨级</w:t>
      </w:r>
      <w:r>
        <w:rPr>
          <w:rFonts w:ascii="Times New Roman" w:hAnsi="Times New Roman"/>
          <w:color w:val="000000" w:themeColor="text1"/>
          <w:kern w:val="0"/>
          <w:sz w:val="24"/>
          <w:szCs w:val="24"/>
          <w14:textFill>
            <w14:solidFill>
              <w14:schemeClr w14:val="tx1"/>
            </w14:solidFill>
          </w14:textFill>
        </w:rPr>
        <w:t>）的方案，与长江岸线湖南段港口码头专项整治工作及</w:t>
      </w:r>
      <w:r>
        <w:rPr>
          <w:rFonts w:ascii="Times New Roman" w:hAnsi="Times New Roman" w:eastAsiaTheme="minorEastAsia"/>
          <w:color w:val="000000"/>
          <w:sz w:val="24"/>
          <w:szCs w:val="24"/>
        </w:rPr>
        <w:t>岳阳市地方海事局的批复意见是一致的，也未超出《岳阳港总体规划》中规划的5000吨级规模。</w:t>
      </w:r>
      <w:r>
        <w:rPr>
          <w:rFonts w:hint="eastAsia" w:ascii="Times New Roman" w:hAnsi="Times New Roman" w:eastAsiaTheme="minorEastAsia"/>
          <w:color w:val="000000"/>
          <w:sz w:val="24"/>
          <w:szCs w:val="24"/>
          <w:lang w:eastAsia="zh-CN"/>
        </w:rPr>
        <w:t>此外，现有</w:t>
      </w:r>
      <w:r>
        <w:rPr>
          <w:rFonts w:hint="eastAsia" w:ascii="Times New Roman" w:hAnsi="Times New Roman" w:eastAsiaTheme="minorEastAsia"/>
          <w:color w:val="000000"/>
          <w:sz w:val="24"/>
          <w:szCs w:val="24"/>
          <w:lang w:val="en-US" w:eastAsia="zh-CN"/>
        </w:rPr>
        <w:t>1#泊位占用岸线148m，本次拟提质改造的2#泊位占用岸线173m，共使用岸线321m，未超出港口总规规划的370m岸线长度。</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因此，本项目作为临港企业自用的煤炭运输码头，符合《岳阳港总体规划》对该岸线的规划利用、功能区划与定位。</w:t>
      </w:r>
    </w:p>
    <w:p>
      <w:pPr>
        <w:pStyle w:val="4"/>
        <w:rPr>
          <w:rFonts w:eastAsiaTheme="minorEastAsia"/>
        </w:rPr>
      </w:pPr>
      <w:r>
        <w:rPr>
          <w:rFonts w:eastAsiaTheme="minorEastAsia"/>
        </w:rPr>
        <w:t>与《岳阳港总体规划环评》及评价结论的符合性分析</w:t>
      </w:r>
    </w:p>
    <w:p>
      <w:pPr>
        <w:adjustRightInd w:val="0"/>
        <w:snapToGrid w:val="0"/>
        <w:spacing w:line="360" w:lineRule="auto"/>
        <w:ind w:firstLine="480" w:firstLineChars="200"/>
        <w:rPr>
          <w:rFonts w:hint="default" w:ascii="Times New Roman" w:hAnsi="Times New Roman" w:cs="Times New Roman" w:eastAsiaTheme="minorEastAsia"/>
          <w:kern w:val="0"/>
          <w:sz w:val="24"/>
          <w:szCs w:val="24"/>
          <w:highlight w:val="none"/>
          <w:lang w:val="en-US" w:eastAsia="zh-CN"/>
        </w:rPr>
      </w:pPr>
      <w:r>
        <w:rPr>
          <w:rFonts w:hint="default" w:ascii="Times New Roman" w:hAnsi="Times New Roman" w:cs="Times New Roman" w:eastAsiaTheme="minorEastAsia"/>
          <w:kern w:val="0"/>
          <w:sz w:val="24"/>
          <w:szCs w:val="24"/>
          <w:highlight w:val="none"/>
          <w:lang w:val="en-US" w:eastAsia="zh-CN"/>
        </w:rPr>
        <w:t>2020年5月13日，中华人民共和国生态环境部出具了“关于《岳阳港总体规划（2017-2035年）环境影响报告书》的审查意见”（环审〔2020〕65号）</w:t>
      </w:r>
      <w:r>
        <w:rPr>
          <w:rFonts w:hint="eastAsia" w:ascii="Times New Roman" w:hAnsi="Times New Roman" w:cs="Times New Roman" w:eastAsiaTheme="minorEastAsia"/>
          <w:kern w:val="0"/>
          <w:sz w:val="24"/>
          <w:szCs w:val="24"/>
          <w:highlight w:val="none"/>
          <w:lang w:val="en-US" w:eastAsia="zh-CN"/>
        </w:rPr>
        <w:t>，详见附件12。</w:t>
      </w:r>
      <w:r>
        <w:rPr>
          <w:rFonts w:hint="default" w:ascii="Times New Roman" w:hAnsi="Times New Roman" w:cs="Times New Roman" w:eastAsiaTheme="minorEastAsia"/>
          <w:kern w:val="0"/>
          <w:sz w:val="24"/>
          <w:szCs w:val="24"/>
          <w:highlight w:val="none"/>
          <w:lang w:val="en-US" w:eastAsia="zh-CN"/>
        </w:rPr>
        <w:t>本项目与《规划》优化调整和实施意见的符合性分析如下：</w:t>
      </w:r>
    </w:p>
    <w:p>
      <w:pPr>
        <w:adjustRightInd w:val="0"/>
        <w:snapToGrid w:val="0"/>
        <w:spacing w:line="276" w:lineRule="auto"/>
        <w:ind w:firstLine="482" w:firstLineChars="200"/>
        <w:jc w:val="center"/>
        <w:rPr>
          <w:rFonts w:hint="eastAsia" w:ascii="Times New Roman" w:hAnsi="Times New Roman" w:cs="Times New Roman" w:eastAsiaTheme="minorEastAsia"/>
          <w:b/>
          <w:sz w:val="24"/>
          <w:szCs w:val="24"/>
          <w:lang w:eastAsia="zh-CN"/>
        </w:rPr>
      </w:pPr>
      <w:r>
        <w:rPr>
          <w:rFonts w:hint="default" w:ascii="Times New Roman" w:hAnsi="Times New Roman" w:cs="Times New Roman"/>
          <w:b/>
          <w:sz w:val="24"/>
          <w:szCs w:val="24"/>
        </w:rPr>
        <w:t>表</w:t>
      </w:r>
      <w:r>
        <w:rPr>
          <w:rFonts w:hint="eastAsia" w:ascii="Times New Roman" w:hAnsi="Times New Roman" w:cs="Times New Roman"/>
          <w:b/>
          <w:sz w:val="24"/>
          <w:szCs w:val="24"/>
          <w:lang w:val="en-US" w:eastAsia="zh-CN"/>
        </w:rPr>
        <w:t>5.3</w:t>
      </w:r>
      <w:r>
        <w:rPr>
          <w:rFonts w:hint="default" w:ascii="Times New Roman" w:hAnsi="Times New Roman" w:cs="Times New Roman"/>
          <w:b/>
          <w:sz w:val="24"/>
          <w:szCs w:val="24"/>
        </w:rPr>
        <w:t xml:space="preserve">-1  </w:t>
      </w:r>
      <w:r>
        <w:rPr>
          <w:rFonts w:hint="eastAsia" w:ascii="Times New Roman" w:hAnsi="Times New Roman" w:cs="Times New Roman"/>
          <w:b/>
          <w:sz w:val="24"/>
          <w:szCs w:val="24"/>
          <w:lang w:eastAsia="zh-CN"/>
        </w:rPr>
        <w:t>本</w:t>
      </w:r>
      <w:r>
        <w:rPr>
          <w:rFonts w:hint="default" w:ascii="Times New Roman" w:hAnsi="Times New Roman" w:cs="Times New Roman"/>
          <w:b/>
          <w:sz w:val="24"/>
          <w:szCs w:val="24"/>
        </w:rPr>
        <w:t>项目</w:t>
      </w:r>
      <w:r>
        <w:rPr>
          <w:rFonts w:hint="eastAsia" w:ascii="Times New Roman" w:hAnsi="Times New Roman" w:cs="Times New Roman"/>
          <w:b/>
          <w:sz w:val="24"/>
          <w:szCs w:val="24"/>
          <w:lang w:eastAsia="zh-CN"/>
        </w:rPr>
        <w:t>与</w:t>
      </w:r>
      <w:r>
        <w:rPr>
          <w:rFonts w:hint="default" w:ascii="Times New Roman" w:hAnsi="Times New Roman" w:cs="Times New Roman"/>
          <w:b/>
          <w:sz w:val="24"/>
          <w:szCs w:val="24"/>
        </w:rPr>
        <w:t>《岳阳港总体规划环评》</w:t>
      </w:r>
      <w:r>
        <w:rPr>
          <w:rFonts w:hint="eastAsia" w:ascii="Times New Roman" w:hAnsi="Times New Roman" w:cs="Times New Roman"/>
          <w:b/>
          <w:sz w:val="24"/>
          <w:szCs w:val="24"/>
          <w:lang w:eastAsia="zh-CN"/>
        </w:rPr>
        <w:t>的符合性分析</w:t>
      </w:r>
    </w:p>
    <w:tbl>
      <w:tblPr>
        <w:tblStyle w:val="71"/>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710"/>
        <w:gridCol w:w="6745"/>
        <w:gridCol w:w="16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390"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b/>
                <w:bCs/>
                <w:sz w:val="21"/>
              </w:rPr>
            </w:pPr>
            <w:r>
              <w:rPr>
                <w:rFonts w:hint="default" w:ascii="Times New Roman" w:hAnsi="Times New Roman" w:cs="Times New Roman"/>
                <w:b/>
                <w:bCs/>
                <w:sz w:val="21"/>
              </w:rPr>
              <w:t>序号</w:t>
            </w:r>
          </w:p>
        </w:tc>
        <w:tc>
          <w:tcPr>
            <w:tcW w:w="3706"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b/>
                <w:bCs/>
                <w:sz w:val="21"/>
              </w:rPr>
            </w:pPr>
            <w:r>
              <w:rPr>
                <w:rFonts w:hint="default" w:ascii="Times New Roman" w:hAnsi="Times New Roman" w:cs="Times New Roman"/>
                <w:b/>
                <w:bCs/>
                <w:sz w:val="21"/>
              </w:rPr>
              <w:t>审批原则</w:t>
            </w:r>
          </w:p>
        </w:tc>
        <w:tc>
          <w:tcPr>
            <w:tcW w:w="903"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b/>
                <w:bCs/>
                <w:sz w:val="21"/>
              </w:rPr>
            </w:pPr>
            <w:r>
              <w:rPr>
                <w:rFonts w:hint="default" w:ascii="Times New Roman" w:hAnsi="Times New Roman" w:cs="Times New Roman"/>
                <w:b/>
                <w:bCs/>
                <w:sz w:val="21"/>
              </w:rPr>
              <w:t>本项目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0"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1</w:t>
            </w:r>
          </w:p>
        </w:tc>
        <w:tc>
          <w:tcPr>
            <w:tcW w:w="3706" w:type="pct"/>
            <w:tcBorders>
              <w:tl2br w:val="nil"/>
              <w:tr2bl w:val="nil"/>
            </w:tcBorders>
            <w:vAlign w:val="center"/>
          </w:tcPr>
          <w:p>
            <w:pPr>
              <w:pStyle w:val="842"/>
              <w:adjustRightInd w:val="0"/>
              <w:snapToGrid w:val="0"/>
              <w:spacing w:line="240" w:lineRule="auto"/>
              <w:ind w:firstLine="420" w:firstLineChars="200"/>
              <w:jc w:val="both"/>
              <w:rPr>
                <w:rFonts w:hint="default" w:ascii="Times New Roman" w:hAnsi="Times New Roman" w:cs="Times New Roman"/>
                <w:sz w:val="21"/>
              </w:rPr>
            </w:pPr>
            <w:r>
              <w:rPr>
                <w:rFonts w:hint="default" w:ascii="Times New Roman" w:hAnsi="Times New Roman" w:cs="Times New Roman"/>
                <w:sz w:val="21"/>
              </w:rPr>
              <w:t>坚决贯彻落实习近平生态文明思想，以习近平总书记在深入推动长江经济带发展座谈会上的重要讲话精神为指引，坚持生态优先、绿色发展，共抓大保护、不搞大开发，把修复长江生态摆在压倒性的位置，处理好生态环境保护和港口规划发展的关系。严格控制港口开发规模与强度，优先避让禁止开发区域和生态环境敏感区，采取严格的生态保护和修复措施，改善区域、流域生态环境质量。节约集约利用岸线、土地等资源，合理安排港口开发建设时序。</w:t>
            </w:r>
          </w:p>
        </w:tc>
        <w:tc>
          <w:tcPr>
            <w:tcW w:w="903"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符合</w:t>
            </w:r>
            <w:r>
              <w:rPr>
                <w:rFonts w:hint="eastAsia" w:ascii="Times New Roman" w:hAnsi="Times New Roman" w:cs="Times New Roman"/>
                <w:sz w:val="21"/>
                <w:lang w:eastAsia="zh-CN"/>
              </w:rPr>
              <w:t>。本项目作为提质改造项目，利用现有岸线，不新增岸线，符合“</w:t>
            </w:r>
            <w:r>
              <w:rPr>
                <w:rFonts w:hint="default" w:ascii="Times New Roman" w:hAnsi="Times New Roman" w:cs="Times New Roman"/>
                <w:sz w:val="21"/>
              </w:rPr>
              <w:t>共抓大保护、不搞大开发</w:t>
            </w:r>
            <w:r>
              <w:rPr>
                <w:rFonts w:hint="eastAsia" w:ascii="Times New Roman" w:hAnsi="Times New Roman" w:cs="Times New Roman"/>
                <w:sz w:val="21"/>
                <w:lang w:eastAsia="zh-CN"/>
              </w:rPr>
              <w:t>”原则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0"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2</w:t>
            </w:r>
          </w:p>
        </w:tc>
        <w:tc>
          <w:tcPr>
            <w:tcW w:w="3706" w:type="pct"/>
            <w:tcBorders>
              <w:tl2br w:val="nil"/>
              <w:tr2bl w:val="nil"/>
            </w:tcBorders>
            <w:vAlign w:val="center"/>
          </w:tcPr>
          <w:p>
            <w:pPr>
              <w:pStyle w:val="842"/>
              <w:adjustRightInd w:val="0"/>
              <w:snapToGrid w:val="0"/>
              <w:spacing w:line="240" w:lineRule="auto"/>
              <w:ind w:firstLine="420" w:firstLineChars="200"/>
              <w:jc w:val="both"/>
              <w:rPr>
                <w:rFonts w:hint="default" w:ascii="Times New Roman" w:hAnsi="Times New Roman" w:cs="Times New Roman"/>
                <w:sz w:val="21"/>
              </w:rPr>
            </w:pPr>
            <w:r>
              <w:rPr>
                <w:rFonts w:hint="default" w:ascii="Times New Roman" w:hAnsi="Times New Roman" w:cs="Times New Roman"/>
                <w:sz w:val="21"/>
              </w:rPr>
              <w:t>严守生态保护红线。将生态保护红线作为保障和维护区域生态安全的底线，依法依规实施强制性保护。新建的码头、锚地及其附属设施等，不得布局在生态保护红线内，并尽量避让其他生态环境敏感区。落实《报告书》提出的取消涉及生态保护红线的已利用岸线等优化调整建议，南岳坡旅游客运岸线、鹿角岸线、荆江门部分岸线的现状码头应根据生态保护红线管控要求适时退出。取消的港口岸线建议作为生态岸线予以保护和修复。</w:t>
            </w:r>
          </w:p>
        </w:tc>
        <w:tc>
          <w:tcPr>
            <w:tcW w:w="903"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sz w:val="21"/>
              </w:rPr>
            </w:pPr>
            <w:r>
              <w:rPr>
                <w:rFonts w:hint="eastAsia" w:ascii="Times New Roman" w:hAnsi="Times New Roman" w:cs="Times New Roman"/>
                <w:sz w:val="21"/>
                <w:lang w:eastAsia="zh-CN"/>
              </w:rPr>
              <w:t>符合。本项目不涉及生态保护红线范围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0"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3</w:t>
            </w:r>
          </w:p>
        </w:tc>
        <w:tc>
          <w:tcPr>
            <w:tcW w:w="3706" w:type="pct"/>
            <w:tcBorders>
              <w:tl2br w:val="nil"/>
              <w:tr2bl w:val="nil"/>
            </w:tcBorders>
            <w:vAlign w:val="center"/>
          </w:tcPr>
          <w:p>
            <w:pPr>
              <w:pStyle w:val="842"/>
              <w:adjustRightInd w:val="0"/>
              <w:snapToGrid w:val="0"/>
              <w:spacing w:line="240" w:lineRule="auto"/>
              <w:ind w:firstLine="420" w:firstLineChars="200"/>
              <w:jc w:val="both"/>
              <w:rPr>
                <w:rFonts w:hint="default" w:ascii="Times New Roman" w:hAnsi="Times New Roman" w:cs="Times New Roman"/>
                <w:sz w:val="21"/>
              </w:rPr>
            </w:pPr>
            <w:r>
              <w:rPr>
                <w:rFonts w:hint="default" w:ascii="Times New Roman" w:hAnsi="Times New Roman" w:cs="Times New Roman"/>
                <w:sz w:val="21"/>
              </w:rPr>
              <w:t>优化岸线布局。取消涉及东洞庭湖江豚市级自然保护区缓冲区的岳阳楼港区海事指挥中心岸线和涉及羊沙湖一东湖国家湿地公园保育区的新增湘阴大桥港口岸线，现有码头根据自然保护地相关法规政策适时退出。取消涉及自然保护区实验区的长江干线长江村、横岭湖青山岛以及洞庭湖湖区琴棋乡、推山咀、营田闸等新增港口岸线。湘阴港区新增虞公岸线应避让横岭湖省级自然保护区范围，不得占用自然保护区。君山港区新增广兴洲岸线应避让生态保护红线，并综合考虑液化天然气</w:t>
            </w:r>
            <w:r>
              <w:rPr>
                <w:rFonts w:hint="eastAsia" w:ascii="Times New Roman" w:hAnsi="Times New Roman" w:cs="Times New Roman"/>
                <w:sz w:val="21"/>
                <w:lang w:eastAsia="zh-CN"/>
              </w:rPr>
              <w:t>（</w:t>
            </w:r>
            <w:r>
              <w:rPr>
                <w:rFonts w:hint="default" w:ascii="Times New Roman" w:hAnsi="Times New Roman" w:cs="Times New Roman"/>
                <w:sz w:val="21"/>
              </w:rPr>
              <w:t>LNG</w:t>
            </w:r>
            <w:r>
              <w:rPr>
                <w:rFonts w:hint="eastAsia" w:ascii="Times New Roman" w:hAnsi="Times New Roman" w:cs="Times New Roman"/>
                <w:sz w:val="21"/>
                <w:lang w:eastAsia="zh-CN"/>
              </w:rPr>
              <w:t>）</w:t>
            </w:r>
            <w:r>
              <w:rPr>
                <w:rFonts w:hint="default" w:ascii="Times New Roman" w:hAnsi="Times New Roman" w:cs="Times New Roman"/>
                <w:sz w:val="21"/>
              </w:rPr>
              <w:t>码头、后方储运设施等生态环境影响，结合自然保护区主管部门意见，深入比选论证该段岸线选址及规模，协调港口开发与自然保护区、饮用水水源保护区等生态环境保护之间关系，确保《规划》实施满足相关管控要求。</w:t>
            </w:r>
          </w:p>
        </w:tc>
        <w:tc>
          <w:tcPr>
            <w:tcW w:w="903"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sz w:val="21"/>
              </w:rPr>
            </w:pPr>
            <w:r>
              <w:rPr>
                <w:rFonts w:hint="eastAsia" w:ascii="Times New Roman" w:hAnsi="Times New Roman" w:cs="Times New Roman"/>
                <w:sz w:val="21"/>
                <w:lang w:eastAsia="zh-CN"/>
              </w:rPr>
              <w:t>符合。本项目不涉及自然保护区范围，也不涉及上述岸线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0"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4</w:t>
            </w:r>
          </w:p>
        </w:tc>
        <w:tc>
          <w:tcPr>
            <w:tcW w:w="3706" w:type="pct"/>
            <w:tcBorders>
              <w:tl2br w:val="nil"/>
              <w:tr2bl w:val="nil"/>
            </w:tcBorders>
            <w:vAlign w:val="center"/>
          </w:tcPr>
          <w:p>
            <w:pPr>
              <w:pStyle w:val="842"/>
              <w:adjustRightInd w:val="0"/>
              <w:snapToGrid w:val="0"/>
              <w:spacing w:line="240" w:lineRule="auto"/>
              <w:ind w:firstLine="420" w:firstLineChars="200"/>
              <w:jc w:val="both"/>
              <w:rPr>
                <w:rFonts w:hint="default" w:ascii="Times New Roman" w:hAnsi="Times New Roman" w:cs="Times New Roman"/>
                <w:sz w:val="21"/>
              </w:rPr>
            </w:pPr>
            <w:r>
              <w:rPr>
                <w:rFonts w:hint="default" w:ascii="Times New Roman" w:hAnsi="Times New Roman" w:cs="Times New Roman"/>
                <w:sz w:val="21"/>
              </w:rPr>
              <w:t>整合现状港口功能，提高港口规模化、专业化和集约化水平。涉及自然保护区实验区的荆江门、鸭栏等现有干散货运输码头，应逐步取消或调整相应岸线开发功能。对位于江湖连通水域的城陵矶作业区，规划近期其功能应逐步由现状干散货运输调整为旅游客运、港口支持系统等，规划远期应进一步优化调减开发规模，并根据自然保护地的保护要求适时退出，减缓对水生生态的影响。结合环境风险评价结论，搬迁、整合洞庭湖区现有液体散货等危险化学品泊位，液体散货运输集中布置于长江干流云溪港区。根据优化后的港口功能及岸线，相应取消长江村等锚地水域布局，调减城陵矶等锚地规模，避免大面积占用水生动物重要生境。在以水生生物和候鸟为保护对象的自然保护区内进行过驳作业应符合相关主管部门管理规定，尽量减轻对自然保护区的不良影响。</w:t>
            </w:r>
          </w:p>
        </w:tc>
        <w:tc>
          <w:tcPr>
            <w:tcW w:w="903" w:type="pct"/>
            <w:tcBorders>
              <w:tl2br w:val="nil"/>
              <w:tr2bl w:val="nil"/>
            </w:tcBorders>
            <w:vAlign w:val="center"/>
          </w:tcPr>
          <w:p>
            <w:pPr>
              <w:pStyle w:val="842"/>
              <w:adjustRightInd w:val="0"/>
              <w:snapToGrid w:val="0"/>
              <w:spacing w:line="240" w:lineRule="auto"/>
              <w:ind w:firstLine="0" w:firstLineChars="0"/>
              <w:jc w:val="center"/>
              <w:rPr>
                <w:rFonts w:hint="eastAsia" w:ascii="Times New Roman" w:hAnsi="Times New Roman" w:eastAsia="宋体" w:cs="Times New Roman"/>
                <w:sz w:val="21"/>
                <w:lang w:eastAsia="zh-CN"/>
              </w:rPr>
            </w:pPr>
            <w:r>
              <w:rPr>
                <w:rFonts w:hint="default" w:ascii="Times New Roman" w:hAnsi="Times New Roman" w:cs="Times New Roman"/>
                <w:sz w:val="21"/>
              </w:rPr>
              <w:t>符合</w:t>
            </w:r>
            <w:r>
              <w:rPr>
                <w:rFonts w:hint="eastAsia" w:ascii="Times New Roman" w:hAnsi="Times New Roman" w:cs="Times New Roman"/>
                <w:sz w:val="21"/>
                <w:lang w:eastAsia="zh-CN"/>
              </w:rPr>
              <w:t>。本项目作为提质改造项目，不但提高了码头装卸效率，还减轻了装卸粉尘、散煤对大气、水体的不利影响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0"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5</w:t>
            </w:r>
          </w:p>
        </w:tc>
        <w:tc>
          <w:tcPr>
            <w:tcW w:w="3706" w:type="pct"/>
            <w:tcBorders>
              <w:tl2br w:val="nil"/>
              <w:tr2bl w:val="nil"/>
            </w:tcBorders>
            <w:vAlign w:val="center"/>
          </w:tcPr>
          <w:p>
            <w:pPr>
              <w:pStyle w:val="842"/>
              <w:adjustRightInd w:val="0"/>
              <w:snapToGrid w:val="0"/>
              <w:spacing w:line="240" w:lineRule="auto"/>
              <w:ind w:firstLine="420" w:firstLineChars="200"/>
              <w:jc w:val="both"/>
              <w:rPr>
                <w:rFonts w:hint="default" w:ascii="Times New Roman" w:hAnsi="Times New Roman" w:cs="Times New Roman"/>
                <w:sz w:val="21"/>
              </w:rPr>
            </w:pPr>
            <w:r>
              <w:rPr>
                <w:rFonts w:hint="default" w:ascii="Times New Roman" w:hAnsi="Times New Roman" w:cs="Times New Roman"/>
                <w:sz w:val="21"/>
              </w:rPr>
              <w:t>加强环境风险防范。落实环境风险防范的主体责任，强化环境风险防范体系建设，建设与各港区环境风险相匹配的应急能力，制定环境污染事故应急预案，严格执行应急报告制度。各港区应配备充足的环境风险防范物资和设备，明确责任主体，加大船舶航行安全保障和风险防范力度，健全与区域、流域的应急联动机制。</w:t>
            </w:r>
          </w:p>
        </w:tc>
        <w:tc>
          <w:tcPr>
            <w:tcW w:w="903"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0"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6</w:t>
            </w:r>
          </w:p>
        </w:tc>
        <w:tc>
          <w:tcPr>
            <w:tcW w:w="3706" w:type="pct"/>
            <w:tcBorders>
              <w:tl2br w:val="nil"/>
              <w:tr2bl w:val="nil"/>
            </w:tcBorders>
            <w:vAlign w:val="center"/>
          </w:tcPr>
          <w:p>
            <w:pPr>
              <w:pStyle w:val="842"/>
              <w:adjustRightInd w:val="0"/>
              <w:snapToGrid w:val="0"/>
              <w:spacing w:line="240" w:lineRule="auto"/>
              <w:ind w:firstLine="420" w:firstLineChars="200"/>
              <w:jc w:val="both"/>
              <w:rPr>
                <w:rFonts w:hint="default" w:ascii="Times New Roman" w:hAnsi="Times New Roman" w:cs="Times New Roman"/>
                <w:sz w:val="21"/>
              </w:rPr>
            </w:pPr>
            <w:r>
              <w:rPr>
                <w:rFonts w:hint="default" w:ascii="Times New Roman" w:hAnsi="Times New Roman" w:cs="Times New Roman"/>
                <w:sz w:val="21"/>
              </w:rPr>
              <w:t>强化并落实污染防治措施。优先解决现有港口、锚地等生态环境问题。优化污水收集处理方案，落实船舶油污水、洗舱水等船舶污染物接收、转运及处置措施，并加强全过程监管，确保船舶污染物得到充分有效处置。针对城市基础设施未完全覆盖的港区，应采取有效可行的污水、固体废物污染防治措施，依法依规妥善处置危险废物。严格控制船舶大气污染物排放，码头建设应同步配套岸电设施，优化设计绿色、低碳的集疏运体系。干散货装卸、储运应优先采取封闭措施防治扬尘污染，油品和液体化学品码头及其罐区应采取有效措施控制无组织排放，切实防治大气污染。</w:t>
            </w:r>
          </w:p>
        </w:tc>
        <w:tc>
          <w:tcPr>
            <w:tcW w:w="903" w:type="pct"/>
            <w:tcBorders>
              <w:tl2br w:val="nil"/>
              <w:tr2bl w:val="nil"/>
            </w:tcBorders>
            <w:vAlign w:val="center"/>
          </w:tcPr>
          <w:p>
            <w:pPr>
              <w:pStyle w:val="842"/>
              <w:adjustRightInd w:val="0"/>
              <w:snapToGrid w:val="0"/>
              <w:spacing w:line="240" w:lineRule="auto"/>
              <w:ind w:firstLine="0" w:firstLineChars="0"/>
              <w:jc w:val="center"/>
              <w:rPr>
                <w:rFonts w:hint="eastAsia" w:ascii="Times New Roman" w:hAnsi="Times New Roman" w:cs="Times New Roman"/>
                <w:sz w:val="21"/>
                <w:lang w:eastAsia="zh-CN"/>
              </w:rPr>
            </w:pPr>
            <w:r>
              <w:rPr>
                <w:rFonts w:hint="default" w:ascii="Times New Roman" w:hAnsi="Times New Roman" w:cs="Times New Roman"/>
                <w:sz w:val="21"/>
              </w:rPr>
              <w:t>符合</w:t>
            </w:r>
            <w:r>
              <w:rPr>
                <w:rFonts w:hint="eastAsia" w:ascii="Times New Roman" w:hAnsi="Times New Roman" w:cs="Times New Roman"/>
                <w:sz w:val="21"/>
                <w:lang w:eastAsia="zh-CN"/>
              </w:rPr>
              <w:t>。本项目产生的生产生活污水、固废均上岸处置，不进入长江水体。到港船舶的生活污水及固废均交由指定单位上岸处置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0"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7</w:t>
            </w:r>
          </w:p>
        </w:tc>
        <w:tc>
          <w:tcPr>
            <w:tcW w:w="3706" w:type="pct"/>
            <w:tcBorders>
              <w:tl2br w:val="nil"/>
              <w:tr2bl w:val="nil"/>
            </w:tcBorders>
            <w:vAlign w:val="center"/>
          </w:tcPr>
          <w:p>
            <w:pPr>
              <w:pStyle w:val="842"/>
              <w:adjustRightInd w:val="0"/>
              <w:snapToGrid w:val="0"/>
              <w:spacing w:line="240" w:lineRule="auto"/>
              <w:ind w:firstLine="420" w:firstLineChars="200"/>
              <w:jc w:val="both"/>
              <w:rPr>
                <w:rFonts w:hint="default" w:ascii="Times New Roman" w:hAnsi="Times New Roman" w:cs="Times New Roman"/>
                <w:sz w:val="21"/>
              </w:rPr>
            </w:pPr>
            <w:r>
              <w:rPr>
                <w:rFonts w:hint="default" w:ascii="Times New Roman" w:hAnsi="Times New Roman" w:cs="Times New Roman"/>
                <w:sz w:val="21"/>
              </w:rPr>
              <w:t>加强生态保护和修复。优化《规划》涉及水域船舶吨位、船舶密度、锚地靠泊等通航管理对策措施，加强对江湖连通水域江豚及鱼类的洄游通道、江湖复合生态系统等的保护。根据相关研究成果和进展，将早期鱼类资源集中水域、江豚等保护动物密集分布区等纳入优先保护河段，尽量避免占用。港口建设与运营应选用对生态影响较小的结构、材料、装卸工艺和储运方式，并采取严格的水生生物保护措施，加强对湿地和鸟类的保护，实施生态补偿和修复，减缓不良生态影响。</w:t>
            </w:r>
          </w:p>
        </w:tc>
        <w:tc>
          <w:tcPr>
            <w:tcW w:w="903" w:type="pct"/>
            <w:tcBorders>
              <w:tl2br w:val="nil"/>
              <w:tr2bl w:val="nil"/>
            </w:tcBorders>
            <w:vAlign w:val="center"/>
          </w:tcPr>
          <w:p>
            <w:pPr>
              <w:pStyle w:val="842"/>
              <w:adjustRightInd w:val="0"/>
              <w:snapToGrid w:val="0"/>
              <w:spacing w:line="240" w:lineRule="auto"/>
              <w:ind w:firstLine="0" w:firstLineChars="0"/>
              <w:jc w:val="center"/>
              <w:rPr>
                <w:rFonts w:hint="eastAsia" w:ascii="Times New Roman" w:hAnsi="Times New Roman" w:cs="Times New Roman"/>
                <w:sz w:val="21"/>
                <w:lang w:eastAsia="zh-CN"/>
              </w:rPr>
            </w:pPr>
            <w:r>
              <w:rPr>
                <w:rFonts w:hint="default" w:ascii="Times New Roman" w:hAnsi="Times New Roman" w:cs="Times New Roman"/>
                <w:sz w:val="21"/>
              </w:rPr>
              <w:t>符合</w:t>
            </w:r>
            <w:r>
              <w:rPr>
                <w:rFonts w:hint="eastAsia" w:ascii="Times New Roman" w:hAnsi="Times New Roman" w:cs="Times New Roman"/>
                <w:sz w:val="21"/>
                <w:lang w:eastAsia="zh-CN"/>
              </w:rPr>
              <w:t>。本项目虽涉及</w:t>
            </w:r>
            <w:r>
              <w:rPr>
                <w:rFonts w:hint="default" w:ascii="Times New Roman" w:hAnsi="Times New Roman" w:cs="Times New Roman"/>
                <w:sz w:val="21"/>
              </w:rPr>
              <w:t>洞庭湖口铜鱼短颌鲚水产种质资源保护区的实验区</w:t>
            </w:r>
            <w:r>
              <w:rPr>
                <w:rFonts w:hint="eastAsia" w:ascii="Times New Roman" w:hAnsi="Times New Roman" w:cs="Times New Roman"/>
                <w:sz w:val="21"/>
                <w:lang w:eastAsia="zh-CN"/>
              </w:rPr>
              <w:t>，但通过优化码头设计、进行渔类补偿、增殖放流等生态修复措施后，可有效减轻对水生生态的不利影响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0" w:type="pct"/>
            <w:tcBorders>
              <w:tl2br w:val="nil"/>
              <w:tr2bl w:val="nil"/>
            </w:tcBorders>
            <w:vAlign w:val="center"/>
          </w:tcPr>
          <w:p>
            <w:pPr>
              <w:pStyle w:val="842"/>
              <w:adjustRightInd w:val="0"/>
              <w:snapToGrid w:val="0"/>
              <w:spacing w:line="240" w:lineRule="auto"/>
              <w:ind w:firstLine="0" w:firstLineChars="0"/>
              <w:jc w:val="center"/>
              <w:rPr>
                <w:rFonts w:hint="eastAsia" w:ascii="Times New Roman" w:hAnsi="Times New Roman" w:eastAsia="宋体" w:cs="Times New Roman"/>
                <w:sz w:val="21"/>
                <w:lang w:val="en-US" w:eastAsia="zh-CN"/>
              </w:rPr>
            </w:pPr>
            <w:r>
              <w:rPr>
                <w:rFonts w:hint="eastAsia" w:ascii="Times New Roman" w:hAnsi="Times New Roman" w:cs="Times New Roman"/>
                <w:sz w:val="21"/>
                <w:lang w:val="en-US" w:eastAsia="zh-CN"/>
              </w:rPr>
              <w:t>8</w:t>
            </w:r>
          </w:p>
        </w:tc>
        <w:tc>
          <w:tcPr>
            <w:tcW w:w="3706" w:type="pct"/>
            <w:tcBorders>
              <w:tl2br w:val="nil"/>
              <w:tr2bl w:val="nil"/>
            </w:tcBorders>
            <w:vAlign w:val="center"/>
          </w:tcPr>
          <w:p>
            <w:pPr>
              <w:pStyle w:val="842"/>
              <w:adjustRightInd w:val="0"/>
              <w:snapToGrid w:val="0"/>
              <w:spacing w:line="240" w:lineRule="auto"/>
              <w:ind w:firstLine="420" w:firstLineChars="200"/>
              <w:jc w:val="both"/>
              <w:rPr>
                <w:rFonts w:hint="default" w:ascii="Times New Roman" w:hAnsi="Times New Roman" w:cs="Times New Roman"/>
                <w:sz w:val="21"/>
              </w:rPr>
            </w:pPr>
            <w:r>
              <w:rPr>
                <w:rFonts w:hint="default" w:ascii="Times New Roman" w:hAnsi="Times New Roman" w:cs="Times New Roman"/>
                <w:sz w:val="21"/>
              </w:rPr>
              <w:t>建立健全生态环境长期监测体系。建立常态化大气、水、生态、渔业资源等监测体系，根据区域、流域生态环境质量变化情况，及时优化港区建设和运营管理方案，完善相应生态环境保护措施。</w:t>
            </w:r>
          </w:p>
        </w:tc>
        <w:tc>
          <w:tcPr>
            <w:tcW w:w="903" w:type="pct"/>
            <w:tcBorders>
              <w:tl2br w:val="nil"/>
              <w:tr2bl w:val="nil"/>
            </w:tcBorders>
            <w:vAlign w:val="center"/>
          </w:tcPr>
          <w:p>
            <w:pPr>
              <w:pStyle w:val="842"/>
              <w:adjustRightInd w:val="0"/>
              <w:snapToGrid w:val="0"/>
              <w:spacing w:line="240" w:lineRule="auto"/>
              <w:ind w:firstLine="0" w:firstLineChars="0"/>
              <w:jc w:val="center"/>
              <w:rPr>
                <w:rFonts w:hint="eastAsia" w:ascii="Times New Roman" w:hAnsi="Times New Roman" w:eastAsia="宋体" w:cs="Times New Roman"/>
                <w:sz w:val="21"/>
                <w:lang w:eastAsia="zh-CN"/>
              </w:rPr>
            </w:pPr>
            <w:r>
              <w:rPr>
                <w:rFonts w:hint="eastAsia" w:ascii="Times New Roman" w:hAnsi="Times New Roman" w:cs="Times New Roman"/>
                <w:sz w:val="21"/>
                <w:lang w:eastAsia="zh-CN"/>
              </w:rPr>
              <w:t>符合。本项目预留了项目运行期间的检测费用</w:t>
            </w:r>
          </w:p>
        </w:tc>
      </w:tr>
    </w:tbl>
    <w:p>
      <w:pPr>
        <w:adjustRightInd w:val="0"/>
        <w:snapToGrid w:val="0"/>
        <w:spacing w:line="360" w:lineRule="auto"/>
        <w:ind w:firstLine="480" w:firstLineChars="200"/>
        <w:rPr>
          <w:rFonts w:ascii="Times New Roman" w:hAnsi="Times New Roman" w:eastAsiaTheme="minorEastAsia"/>
          <w:kern w:val="0"/>
          <w:sz w:val="24"/>
          <w:szCs w:val="24"/>
          <w:highlight w:val="yellow"/>
        </w:rPr>
      </w:pPr>
    </w:p>
    <w:p>
      <w:pPr>
        <w:adjustRightInd w:val="0"/>
        <w:snapToGrid w:val="0"/>
        <w:spacing w:line="360" w:lineRule="auto"/>
        <w:ind w:firstLine="480" w:firstLineChars="200"/>
        <w:rPr>
          <w:rFonts w:hint="eastAsia" w:ascii="Times New Roman" w:hAnsi="Times New Roman" w:eastAsia="宋体"/>
          <w:kern w:val="0"/>
          <w:sz w:val="24"/>
          <w:szCs w:val="24"/>
          <w:highlight w:val="none"/>
          <w:lang w:eastAsia="zh-CN"/>
        </w:rPr>
      </w:pPr>
      <w:r>
        <w:rPr>
          <w:rFonts w:hint="eastAsia" w:ascii="Times New Roman" w:hAnsi="Times New Roman" w:eastAsiaTheme="minorEastAsia"/>
          <w:kern w:val="0"/>
          <w:sz w:val="24"/>
          <w:szCs w:val="24"/>
          <w:highlight w:val="none"/>
          <w:lang w:eastAsia="zh-CN"/>
        </w:rPr>
        <w:t>综上所述，本项目符合</w:t>
      </w:r>
      <w:r>
        <w:rPr>
          <w:rFonts w:hint="default" w:ascii="Times New Roman" w:hAnsi="Times New Roman" w:eastAsiaTheme="minorEastAsia"/>
          <w:kern w:val="0"/>
          <w:sz w:val="24"/>
          <w:szCs w:val="24"/>
          <w:highlight w:val="none"/>
          <w:lang w:eastAsia="zh-CN"/>
        </w:rPr>
        <w:t>《岳阳港总体规划环评》</w:t>
      </w:r>
      <w:r>
        <w:rPr>
          <w:rFonts w:hint="eastAsia" w:ascii="Times New Roman" w:hAnsi="Times New Roman" w:eastAsiaTheme="minorEastAsia"/>
          <w:kern w:val="0"/>
          <w:sz w:val="24"/>
          <w:szCs w:val="24"/>
          <w:highlight w:val="none"/>
          <w:lang w:eastAsia="zh-CN"/>
        </w:rPr>
        <w:t>的要求。</w:t>
      </w:r>
    </w:p>
    <w:p>
      <w:pPr>
        <w:pStyle w:val="4"/>
        <w:rPr>
          <w:rFonts w:eastAsiaTheme="minorEastAsia"/>
        </w:rPr>
      </w:pPr>
      <w:r>
        <w:rPr>
          <w:rFonts w:eastAsiaTheme="minorEastAsia"/>
        </w:rPr>
        <w:t>与“共抓大保护，不搞大开发”相关要求的符合性分析</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利用先进技术降低粉尘在装卸过程中对大气环境的影响；码头产生的废水均收集运至后方管理用房的污水处理设施处理，不向长江排放；水下施工选在枯水期，降低水下施工对水生生物的影响，并通过增殖放流等措施降低工程施工对水生生态的影响。满足习总书记提出的“要坚持在发展中保护、在保护中发展，不能把生态环境和经济发展分割开来，更不能对立起来。”的要求。</w:t>
      </w:r>
    </w:p>
    <w:p>
      <w:pPr>
        <w:pStyle w:val="4"/>
        <w:rPr>
          <w:rFonts w:hint="default" w:eastAsiaTheme="minorEastAsia"/>
        </w:rPr>
      </w:pPr>
      <w:r>
        <w:rPr>
          <w:rFonts w:hint="default" w:eastAsiaTheme="minorEastAsia"/>
        </w:rPr>
        <w:t>与港口建设项目环境影响评价文件审批原则（试行）符合性分析</w:t>
      </w:r>
    </w:p>
    <w:p>
      <w:pPr>
        <w:wordWrap w:val="0"/>
        <w:adjustRightInd w:val="0"/>
        <w:snapToGrid w:val="0"/>
        <w:spacing w:line="360" w:lineRule="auto"/>
        <w:ind w:firstLine="480" w:firstLineChars="200"/>
        <w:rPr>
          <w:rFonts w:hint="default" w:ascii="Times New Roman" w:hAnsi="Times New Roman" w:cs="Times New Roman" w:eastAsiaTheme="minorEastAsia"/>
          <w:bCs/>
          <w:sz w:val="24"/>
          <w:szCs w:val="24"/>
        </w:rPr>
      </w:pPr>
      <w:r>
        <w:rPr>
          <w:rFonts w:hint="default" w:ascii="Times New Roman" w:hAnsi="Times New Roman" w:cs="Times New Roman" w:eastAsiaTheme="minorEastAsia"/>
          <w:bCs/>
          <w:sz w:val="24"/>
          <w:szCs w:val="24"/>
        </w:rPr>
        <w:t>本项目针对港口建设项目环境影响评价文件审批原则（试行）中提出的原则进行分析，分析结果如下：</w:t>
      </w:r>
    </w:p>
    <w:p>
      <w:pPr>
        <w:adjustRightInd w:val="0"/>
        <w:snapToGrid w:val="0"/>
        <w:spacing w:line="276" w:lineRule="auto"/>
        <w:ind w:firstLine="482" w:firstLineChars="200"/>
        <w:jc w:val="center"/>
        <w:rPr>
          <w:rFonts w:hint="default" w:ascii="Times New Roman" w:hAnsi="Times New Roman" w:cs="Times New Roman"/>
          <w:b/>
          <w:sz w:val="24"/>
          <w:szCs w:val="24"/>
        </w:rPr>
      </w:pPr>
      <w:r>
        <w:rPr>
          <w:rFonts w:hint="default" w:ascii="Times New Roman" w:hAnsi="Times New Roman" w:cs="Times New Roman"/>
          <w:b/>
          <w:sz w:val="24"/>
          <w:szCs w:val="24"/>
        </w:rPr>
        <w:t>表</w:t>
      </w:r>
      <w:r>
        <w:rPr>
          <w:rFonts w:hint="eastAsia" w:ascii="Times New Roman" w:hAnsi="Times New Roman" w:cs="Times New Roman"/>
          <w:b/>
          <w:sz w:val="24"/>
          <w:szCs w:val="24"/>
          <w:lang w:val="en-US" w:eastAsia="zh-CN"/>
        </w:rPr>
        <w:t>5.3</w:t>
      </w:r>
      <w:r>
        <w:rPr>
          <w:rFonts w:hint="default" w:ascii="Times New Roman" w:hAnsi="Times New Roman" w:cs="Times New Roman"/>
          <w:b/>
          <w:sz w:val="24"/>
          <w:szCs w:val="24"/>
        </w:rPr>
        <w:t>-</w:t>
      </w:r>
      <w:r>
        <w:rPr>
          <w:rFonts w:hint="eastAsia" w:ascii="Times New Roman" w:hAnsi="Times New Roman" w:cs="Times New Roman"/>
          <w:b/>
          <w:sz w:val="24"/>
          <w:szCs w:val="24"/>
          <w:lang w:val="en-US" w:eastAsia="zh-CN"/>
        </w:rPr>
        <w:t xml:space="preserve">2 </w:t>
      </w:r>
      <w:r>
        <w:rPr>
          <w:rFonts w:hint="default" w:ascii="Times New Roman" w:hAnsi="Times New Roman" w:cs="Times New Roman"/>
          <w:b/>
          <w:sz w:val="24"/>
          <w:szCs w:val="24"/>
        </w:rPr>
        <w:t xml:space="preserve"> 港口建设项目环境影响评价文件审批原则（试行）</w:t>
      </w:r>
    </w:p>
    <w:tbl>
      <w:tblPr>
        <w:tblStyle w:val="71"/>
        <w:tblW w:w="501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714"/>
        <w:gridCol w:w="6763"/>
        <w:gridCol w:w="16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391"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b/>
                <w:bCs/>
                <w:sz w:val="21"/>
              </w:rPr>
            </w:pPr>
            <w:r>
              <w:rPr>
                <w:rFonts w:hint="default" w:ascii="Times New Roman" w:hAnsi="Times New Roman" w:cs="Times New Roman"/>
                <w:b/>
                <w:bCs/>
                <w:sz w:val="21"/>
              </w:rPr>
              <w:t>序号</w:t>
            </w:r>
          </w:p>
        </w:tc>
        <w:tc>
          <w:tcPr>
            <w:tcW w:w="3705"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b/>
                <w:bCs/>
                <w:sz w:val="21"/>
              </w:rPr>
            </w:pPr>
            <w:r>
              <w:rPr>
                <w:rFonts w:hint="default" w:ascii="Times New Roman" w:hAnsi="Times New Roman" w:cs="Times New Roman"/>
                <w:b/>
                <w:bCs/>
                <w:sz w:val="21"/>
              </w:rPr>
              <w:t>审批原则</w:t>
            </w:r>
          </w:p>
        </w:tc>
        <w:tc>
          <w:tcPr>
            <w:tcW w:w="903"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b/>
                <w:bCs/>
                <w:sz w:val="21"/>
              </w:rPr>
            </w:pPr>
            <w:r>
              <w:rPr>
                <w:rFonts w:hint="default" w:ascii="Times New Roman" w:hAnsi="Times New Roman" w:cs="Times New Roman"/>
                <w:b/>
                <w:bCs/>
                <w:sz w:val="21"/>
              </w:rPr>
              <w:t>本项目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1"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1</w:t>
            </w:r>
          </w:p>
        </w:tc>
        <w:tc>
          <w:tcPr>
            <w:tcW w:w="3705" w:type="pct"/>
            <w:tcBorders>
              <w:tl2br w:val="nil"/>
              <w:tr2bl w:val="nil"/>
            </w:tcBorders>
            <w:vAlign w:val="center"/>
          </w:tcPr>
          <w:p>
            <w:pPr>
              <w:pStyle w:val="842"/>
              <w:adjustRightInd w:val="0"/>
              <w:snapToGrid w:val="0"/>
              <w:spacing w:line="240" w:lineRule="auto"/>
              <w:ind w:firstLine="420" w:firstLineChars="200"/>
              <w:jc w:val="both"/>
              <w:rPr>
                <w:rFonts w:hint="default" w:ascii="Times New Roman" w:hAnsi="Times New Roman" w:cs="Times New Roman"/>
                <w:sz w:val="21"/>
              </w:rPr>
            </w:pPr>
            <w:r>
              <w:rPr>
                <w:rFonts w:hint="default" w:ascii="Times New Roman" w:hAnsi="Times New Roman" w:cs="Times New Roman"/>
                <w:sz w:val="21"/>
              </w:rPr>
              <w:t>项目符合环境保护相关法律法规和政策要求，与主体功能区规划、近岸海域环境功能区划、水环境功能区划、生态功能区划、海洋功能区划、生态环境保护规划、港口总体规划、流域规划等相协调，满足相关规划环评要求。</w:t>
            </w:r>
          </w:p>
        </w:tc>
        <w:tc>
          <w:tcPr>
            <w:tcW w:w="903"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符合，与相关规划符合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1"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2</w:t>
            </w:r>
          </w:p>
        </w:tc>
        <w:tc>
          <w:tcPr>
            <w:tcW w:w="3705" w:type="pct"/>
            <w:tcBorders>
              <w:tl2br w:val="nil"/>
              <w:tr2bl w:val="nil"/>
            </w:tcBorders>
            <w:vAlign w:val="center"/>
          </w:tcPr>
          <w:p>
            <w:pPr>
              <w:pStyle w:val="842"/>
              <w:adjustRightInd w:val="0"/>
              <w:snapToGrid w:val="0"/>
              <w:spacing w:line="240" w:lineRule="auto"/>
              <w:ind w:firstLine="420" w:firstLineChars="200"/>
              <w:jc w:val="both"/>
              <w:rPr>
                <w:rFonts w:hint="default" w:ascii="Times New Roman" w:hAnsi="Times New Roman" w:cs="Times New Roman"/>
                <w:sz w:val="21"/>
              </w:rPr>
            </w:pPr>
            <w:r>
              <w:rPr>
                <w:rFonts w:hint="default" w:ascii="Times New Roman" w:hAnsi="Times New Roman" w:cs="Times New Roman"/>
                <w:sz w:val="21"/>
              </w:rPr>
              <w:t>项目选址、施工布置不占用自然保护区、风景名胜区、世界文化和自然遗产地、饮用水水源保护区以及其他生态保护红线等环境敏感区中法律法规禁止占用的区域。通过优化项目主要污染源和风险源的平面布置，与居民集中区等环境敏感区的距离科学合理。</w:t>
            </w:r>
          </w:p>
        </w:tc>
        <w:tc>
          <w:tcPr>
            <w:tcW w:w="903"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sz w:val="21"/>
              </w:rPr>
            </w:pPr>
            <w:r>
              <w:rPr>
                <w:rFonts w:hint="eastAsia" w:ascii="Times New Roman" w:hAnsi="Times New Roman" w:cs="Times New Roman"/>
                <w:sz w:val="21"/>
                <w:lang w:eastAsia="zh-CN"/>
              </w:rPr>
              <w:t>符合。</w:t>
            </w:r>
            <w:r>
              <w:rPr>
                <w:rFonts w:hint="default" w:ascii="Times New Roman" w:hAnsi="Times New Roman" w:cs="Times New Roman"/>
                <w:sz w:val="21"/>
              </w:rPr>
              <w:t>项目在</w:t>
            </w:r>
            <w:r>
              <w:rPr>
                <w:rFonts w:hint="eastAsia" w:ascii="Times New Roman" w:hAnsi="Times New Roman" w:cs="Times New Roman"/>
                <w:sz w:val="21"/>
                <w:lang w:eastAsia="zh-CN"/>
              </w:rPr>
              <w:t>水产种资资源</w:t>
            </w:r>
            <w:r>
              <w:rPr>
                <w:rFonts w:hint="default" w:ascii="Times New Roman" w:hAnsi="Times New Roman" w:cs="Times New Roman"/>
                <w:sz w:val="21"/>
              </w:rPr>
              <w:t>保护区实验区，但已经取得相关部门同意，同时采取了减缓措施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1"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3</w:t>
            </w:r>
          </w:p>
        </w:tc>
        <w:tc>
          <w:tcPr>
            <w:tcW w:w="3705" w:type="pct"/>
            <w:tcBorders>
              <w:tl2br w:val="nil"/>
              <w:tr2bl w:val="nil"/>
            </w:tcBorders>
            <w:vAlign w:val="center"/>
          </w:tcPr>
          <w:p>
            <w:pPr>
              <w:pStyle w:val="842"/>
              <w:adjustRightInd w:val="0"/>
              <w:snapToGrid w:val="0"/>
              <w:spacing w:line="240" w:lineRule="auto"/>
              <w:ind w:firstLine="420" w:firstLineChars="200"/>
              <w:jc w:val="both"/>
              <w:rPr>
                <w:rFonts w:hint="default" w:ascii="Times New Roman" w:hAnsi="Times New Roman" w:cs="Times New Roman"/>
                <w:sz w:val="21"/>
              </w:rPr>
            </w:pPr>
            <w:r>
              <w:rPr>
                <w:rFonts w:hint="default" w:ascii="Times New Roman" w:hAnsi="Times New Roman" w:cs="Times New Roman"/>
                <w:sz w:val="21"/>
              </w:rPr>
              <w:t>项目对鱼类等水生生物的洄游通道及“三场”等重要生境、物种多样性及资源量产生不利影响的，提出了工程设计和施工方案优化、施工噪声及振动控制、施工期监控驱赶救助、迁地保护、增殖放流、人工鱼礁及其他生态修复措施。</w:t>
            </w:r>
          </w:p>
          <w:p>
            <w:pPr>
              <w:pStyle w:val="842"/>
              <w:adjustRightInd w:val="0"/>
              <w:snapToGrid w:val="0"/>
              <w:spacing w:line="240" w:lineRule="auto"/>
              <w:ind w:firstLine="420" w:firstLineChars="200"/>
              <w:jc w:val="both"/>
              <w:rPr>
                <w:rFonts w:hint="default" w:ascii="Times New Roman" w:hAnsi="Times New Roman" w:cs="Times New Roman"/>
                <w:sz w:val="21"/>
              </w:rPr>
            </w:pPr>
            <w:r>
              <w:rPr>
                <w:rFonts w:hint="default" w:ascii="Times New Roman" w:hAnsi="Times New Roman" w:cs="Times New Roman"/>
                <w:sz w:val="21"/>
              </w:rPr>
              <w:t>对陆域生态造成不利影响的，提出了避让环境敏感区、生态修复等对策。在采取上述措施后，对水生生物的不利影响能够得到缓解和控制，不会造成原有珍稀濒危保护或重要经济水生生物在相关河段、湖泊或海域消失，不会对区域生态系统造成重大不利影响。</w:t>
            </w:r>
          </w:p>
        </w:tc>
        <w:tc>
          <w:tcPr>
            <w:tcW w:w="903"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sz w:val="21"/>
              </w:rPr>
            </w:pPr>
            <w:r>
              <w:rPr>
                <w:rFonts w:hint="eastAsia" w:ascii="Times New Roman" w:hAnsi="Times New Roman" w:cs="Times New Roman"/>
                <w:sz w:val="21"/>
                <w:lang w:eastAsia="zh-CN"/>
              </w:rPr>
              <w:t>符合。</w:t>
            </w:r>
            <w:r>
              <w:rPr>
                <w:rFonts w:hint="default" w:ascii="Times New Roman" w:hAnsi="Times New Roman" w:cs="Times New Roman"/>
                <w:sz w:val="21"/>
              </w:rPr>
              <w:t>项目会对鱼类等水生生物的洄游通道产生影响，已提出相应措施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1"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4</w:t>
            </w:r>
          </w:p>
        </w:tc>
        <w:tc>
          <w:tcPr>
            <w:tcW w:w="3705" w:type="pct"/>
            <w:tcBorders>
              <w:tl2br w:val="nil"/>
              <w:tr2bl w:val="nil"/>
            </w:tcBorders>
            <w:vAlign w:val="center"/>
          </w:tcPr>
          <w:p>
            <w:pPr>
              <w:pStyle w:val="842"/>
              <w:adjustRightInd w:val="0"/>
              <w:snapToGrid w:val="0"/>
              <w:spacing w:line="240" w:lineRule="auto"/>
              <w:ind w:firstLine="420" w:firstLineChars="200"/>
              <w:jc w:val="both"/>
              <w:rPr>
                <w:rFonts w:hint="default" w:ascii="Times New Roman" w:hAnsi="Times New Roman" w:cs="Times New Roman"/>
                <w:sz w:val="21"/>
              </w:rPr>
            </w:pPr>
            <w:r>
              <w:rPr>
                <w:rFonts w:hint="default" w:ascii="Times New Roman" w:hAnsi="Times New Roman" w:cs="Times New Roman"/>
                <w:sz w:val="21"/>
              </w:rPr>
              <w:t>项目布置及水工构筑物改变水文情势，造成水体交换、水污染物扩散能力降低且影响水质的，提出了工程优化调整措施。</w:t>
            </w:r>
          </w:p>
        </w:tc>
        <w:tc>
          <w:tcPr>
            <w:tcW w:w="903"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1"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5</w:t>
            </w:r>
          </w:p>
        </w:tc>
        <w:tc>
          <w:tcPr>
            <w:tcW w:w="3705" w:type="pct"/>
            <w:tcBorders>
              <w:tl2br w:val="nil"/>
              <w:tr2bl w:val="nil"/>
            </w:tcBorders>
            <w:vAlign w:val="center"/>
          </w:tcPr>
          <w:p>
            <w:pPr>
              <w:pStyle w:val="842"/>
              <w:adjustRightInd w:val="0"/>
              <w:snapToGrid w:val="0"/>
              <w:spacing w:line="240" w:lineRule="auto"/>
              <w:ind w:firstLine="420" w:firstLineChars="200"/>
              <w:jc w:val="both"/>
              <w:rPr>
                <w:rFonts w:hint="default" w:ascii="Times New Roman" w:hAnsi="Times New Roman" w:cs="Times New Roman"/>
                <w:sz w:val="21"/>
              </w:rPr>
            </w:pPr>
            <w:r>
              <w:rPr>
                <w:rFonts w:hint="default" w:ascii="Times New Roman" w:hAnsi="Times New Roman" w:cs="Times New Roman"/>
                <w:sz w:val="21"/>
              </w:rPr>
              <w:t>针对冲洗污水、初期雨污水、含尘废水、含油污水、洗箱（罐）废水、生活污水等，提出了收集、处置措施。</w:t>
            </w:r>
          </w:p>
        </w:tc>
        <w:tc>
          <w:tcPr>
            <w:tcW w:w="903"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1"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6</w:t>
            </w:r>
          </w:p>
        </w:tc>
        <w:tc>
          <w:tcPr>
            <w:tcW w:w="3705" w:type="pct"/>
            <w:tcBorders>
              <w:tl2br w:val="nil"/>
              <w:tr2bl w:val="nil"/>
            </w:tcBorders>
            <w:vAlign w:val="center"/>
          </w:tcPr>
          <w:p>
            <w:pPr>
              <w:pStyle w:val="842"/>
              <w:adjustRightInd w:val="0"/>
              <w:snapToGrid w:val="0"/>
              <w:spacing w:line="240" w:lineRule="auto"/>
              <w:ind w:firstLine="420" w:firstLineChars="200"/>
              <w:jc w:val="both"/>
              <w:rPr>
                <w:rFonts w:hint="default" w:ascii="Times New Roman" w:hAnsi="Times New Roman" w:cs="Times New Roman"/>
                <w:sz w:val="21"/>
              </w:rPr>
            </w:pPr>
            <w:r>
              <w:rPr>
                <w:rFonts w:hint="default" w:ascii="Times New Roman" w:hAnsi="Times New Roman" w:cs="Times New Roman"/>
                <w:sz w:val="21"/>
              </w:rPr>
              <w:t>根据国家相关规划或政策规定，提出了配备岸电设施要求。</w:t>
            </w:r>
          </w:p>
        </w:tc>
        <w:tc>
          <w:tcPr>
            <w:tcW w:w="903"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1"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7</w:t>
            </w:r>
          </w:p>
        </w:tc>
        <w:tc>
          <w:tcPr>
            <w:tcW w:w="3705" w:type="pct"/>
            <w:tcBorders>
              <w:tl2br w:val="nil"/>
              <w:tr2bl w:val="nil"/>
            </w:tcBorders>
            <w:vAlign w:val="center"/>
          </w:tcPr>
          <w:p>
            <w:pPr>
              <w:pStyle w:val="842"/>
              <w:adjustRightInd w:val="0"/>
              <w:snapToGrid w:val="0"/>
              <w:spacing w:line="240" w:lineRule="auto"/>
              <w:ind w:firstLine="420" w:firstLineChars="200"/>
              <w:jc w:val="both"/>
              <w:rPr>
                <w:rFonts w:hint="default" w:ascii="Times New Roman" w:hAnsi="Times New Roman" w:cs="Times New Roman"/>
                <w:sz w:val="21"/>
              </w:rPr>
            </w:pPr>
            <w:r>
              <w:rPr>
                <w:rFonts w:hint="default" w:ascii="Times New Roman" w:hAnsi="Times New Roman" w:cs="Times New Roman"/>
                <w:sz w:val="21"/>
              </w:rPr>
              <w:t>对声环境敏感目标产生不利影响的，提出了优化平面布置、选用低噪声设备、隔声减振等措施。按照国家相关规定，提出了一般固体废物、危险废物的收集、贮存、运输及处置要求。</w:t>
            </w:r>
          </w:p>
        </w:tc>
        <w:tc>
          <w:tcPr>
            <w:tcW w:w="903"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1"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8</w:t>
            </w:r>
          </w:p>
        </w:tc>
        <w:tc>
          <w:tcPr>
            <w:tcW w:w="3705" w:type="pct"/>
            <w:tcBorders>
              <w:tl2br w:val="nil"/>
              <w:tr2bl w:val="nil"/>
            </w:tcBorders>
            <w:vAlign w:val="center"/>
          </w:tcPr>
          <w:p>
            <w:pPr>
              <w:pStyle w:val="842"/>
              <w:adjustRightInd w:val="0"/>
              <w:snapToGrid w:val="0"/>
              <w:spacing w:line="240" w:lineRule="auto"/>
              <w:ind w:firstLine="420" w:firstLineChars="200"/>
              <w:jc w:val="both"/>
              <w:rPr>
                <w:rFonts w:hint="default" w:ascii="Times New Roman" w:hAnsi="Times New Roman" w:cs="Times New Roman"/>
                <w:sz w:val="21"/>
              </w:rPr>
            </w:pPr>
            <w:r>
              <w:rPr>
                <w:rFonts w:hint="default" w:ascii="Times New Roman" w:hAnsi="Times New Roman" w:cs="Times New Roman"/>
                <w:sz w:val="21"/>
              </w:rPr>
              <w:t>根据相关规划和政策要求，提出了船舶污水、船舶垃圾、船舶压载水及沉积物等接收处置措施。</w:t>
            </w:r>
          </w:p>
        </w:tc>
        <w:tc>
          <w:tcPr>
            <w:tcW w:w="903"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1"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9</w:t>
            </w:r>
          </w:p>
        </w:tc>
        <w:tc>
          <w:tcPr>
            <w:tcW w:w="3705" w:type="pct"/>
            <w:tcBorders>
              <w:tl2br w:val="nil"/>
              <w:tr2bl w:val="nil"/>
            </w:tcBorders>
            <w:vAlign w:val="center"/>
          </w:tcPr>
          <w:p>
            <w:pPr>
              <w:pStyle w:val="842"/>
              <w:adjustRightInd w:val="0"/>
              <w:snapToGrid w:val="0"/>
              <w:spacing w:line="240" w:lineRule="auto"/>
              <w:ind w:firstLine="420" w:firstLineChars="200"/>
              <w:jc w:val="both"/>
              <w:rPr>
                <w:rFonts w:hint="default" w:ascii="Times New Roman" w:hAnsi="Times New Roman" w:cs="Times New Roman"/>
                <w:sz w:val="21"/>
              </w:rPr>
            </w:pPr>
            <w:r>
              <w:rPr>
                <w:rFonts w:hint="default" w:ascii="Times New Roman" w:hAnsi="Times New Roman" w:cs="Times New Roman"/>
                <w:sz w:val="21"/>
              </w:rPr>
              <w:t>项目施工组织方案具有环境合理性，对取、弃土（渣）场、施工场地（道路）等提出了水土流失防治和生态修复等措施。根据环境保护相关标准和要求，对施工期各类废（污）水、废气、噪声、固体废物等提出防治或处置措施。其中，涉水施工对水质造成不利影响的，提出了施工方案优化及悬浮物控制等措施；针对施工产生的疏浚物，提出了符合相关规定的处置或综合利用方案。</w:t>
            </w:r>
          </w:p>
        </w:tc>
        <w:tc>
          <w:tcPr>
            <w:tcW w:w="903"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符合。本项目不设置取、弃土（渣）场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1"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10</w:t>
            </w:r>
          </w:p>
        </w:tc>
        <w:tc>
          <w:tcPr>
            <w:tcW w:w="3705" w:type="pct"/>
            <w:tcBorders>
              <w:tl2br w:val="nil"/>
              <w:tr2bl w:val="nil"/>
            </w:tcBorders>
            <w:vAlign w:val="center"/>
          </w:tcPr>
          <w:p>
            <w:pPr>
              <w:pStyle w:val="842"/>
              <w:adjustRightInd w:val="0"/>
              <w:snapToGrid w:val="0"/>
              <w:spacing w:line="240" w:lineRule="auto"/>
              <w:ind w:firstLine="420" w:firstLineChars="200"/>
              <w:jc w:val="both"/>
              <w:rPr>
                <w:rFonts w:hint="default" w:ascii="Times New Roman" w:hAnsi="Times New Roman" w:cs="Times New Roman"/>
                <w:sz w:val="21"/>
              </w:rPr>
            </w:pPr>
            <w:r>
              <w:rPr>
                <w:rFonts w:hint="default" w:ascii="Times New Roman" w:hAnsi="Times New Roman" w:cs="Times New Roman"/>
                <w:sz w:val="21"/>
              </w:rPr>
              <w:t>针对码头、港区航道等存在的溢油或危险化学品泄漏等环境风险，提出了工程防控、应急资源配备、事故池、事故污水处置等风险防范措施，以及环境应急预案编制、与地方人民政府及相关部门、有关单位建立应急联动机制等要求。</w:t>
            </w:r>
          </w:p>
        </w:tc>
        <w:tc>
          <w:tcPr>
            <w:tcW w:w="903"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1"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eastAsia="宋体" w:cs="Times New Roman"/>
                <w:sz w:val="21"/>
                <w:lang w:val="en-US" w:eastAsia="zh-CN"/>
              </w:rPr>
            </w:pPr>
            <w:r>
              <w:rPr>
                <w:rFonts w:hint="eastAsia" w:ascii="Times New Roman" w:hAnsi="Times New Roman" w:cs="Times New Roman"/>
                <w:sz w:val="21"/>
                <w:lang w:val="en-US" w:eastAsia="zh-CN"/>
              </w:rPr>
              <w:t>11</w:t>
            </w:r>
          </w:p>
        </w:tc>
        <w:tc>
          <w:tcPr>
            <w:tcW w:w="3705" w:type="pct"/>
            <w:tcBorders>
              <w:tl2br w:val="nil"/>
              <w:tr2bl w:val="nil"/>
            </w:tcBorders>
            <w:vAlign w:val="center"/>
          </w:tcPr>
          <w:p>
            <w:pPr>
              <w:pStyle w:val="842"/>
              <w:adjustRightInd w:val="0"/>
              <w:snapToGrid w:val="0"/>
              <w:spacing w:line="240" w:lineRule="auto"/>
              <w:ind w:firstLine="420" w:firstLineChars="200"/>
              <w:jc w:val="both"/>
              <w:rPr>
                <w:rFonts w:hint="default" w:ascii="Times New Roman" w:hAnsi="Times New Roman" w:cs="Times New Roman"/>
                <w:sz w:val="21"/>
              </w:rPr>
            </w:pPr>
            <w:r>
              <w:rPr>
                <w:rFonts w:hint="default" w:ascii="Times New Roman" w:hAnsi="Times New Roman" w:cs="Times New Roman"/>
                <w:sz w:val="21"/>
              </w:rPr>
              <w:t>按相关导则及规定要求，制定了水生生态、水环境、大气环境、噪声等环境监测计划，明确了监测网点、因子、频次等有关要求。</w:t>
            </w:r>
          </w:p>
        </w:tc>
        <w:tc>
          <w:tcPr>
            <w:tcW w:w="903"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91"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eastAsia="宋体" w:cs="Times New Roman"/>
                <w:sz w:val="21"/>
                <w:lang w:val="en-US" w:eastAsia="zh-CN"/>
              </w:rPr>
            </w:pPr>
            <w:r>
              <w:rPr>
                <w:rFonts w:hint="eastAsia" w:ascii="Times New Roman" w:hAnsi="Times New Roman" w:cs="Times New Roman"/>
                <w:sz w:val="21"/>
                <w:lang w:val="en-US" w:eastAsia="zh-CN"/>
              </w:rPr>
              <w:t>12</w:t>
            </w:r>
          </w:p>
        </w:tc>
        <w:tc>
          <w:tcPr>
            <w:tcW w:w="3705" w:type="pct"/>
            <w:tcBorders>
              <w:tl2br w:val="nil"/>
              <w:tr2bl w:val="nil"/>
            </w:tcBorders>
            <w:vAlign w:val="center"/>
          </w:tcPr>
          <w:p>
            <w:pPr>
              <w:pStyle w:val="842"/>
              <w:adjustRightInd w:val="0"/>
              <w:snapToGrid w:val="0"/>
              <w:spacing w:line="240" w:lineRule="auto"/>
              <w:ind w:firstLine="420" w:firstLineChars="200"/>
              <w:jc w:val="both"/>
              <w:rPr>
                <w:rFonts w:hint="default" w:ascii="Times New Roman" w:hAnsi="Times New Roman" w:cs="Times New Roman"/>
                <w:sz w:val="21"/>
              </w:rPr>
            </w:pPr>
            <w:r>
              <w:rPr>
                <w:rFonts w:hint="default" w:ascii="Times New Roman" w:hAnsi="Times New Roman" w:cs="Times New Roman"/>
                <w:sz w:val="21"/>
              </w:rPr>
              <w:t>按相关规定开展了信息公开和公众参与。</w:t>
            </w:r>
          </w:p>
        </w:tc>
        <w:tc>
          <w:tcPr>
            <w:tcW w:w="903" w:type="pct"/>
            <w:tcBorders>
              <w:tl2br w:val="nil"/>
              <w:tr2bl w:val="nil"/>
            </w:tcBorders>
            <w:vAlign w:val="center"/>
          </w:tcPr>
          <w:p>
            <w:pPr>
              <w:pStyle w:val="842"/>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符合</w:t>
            </w:r>
          </w:p>
        </w:tc>
      </w:tr>
    </w:tbl>
    <w:p>
      <w:pPr>
        <w:wordWrap w:val="0"/>
        <w:adjustRightInd w:val="0"/>
        <w:snapToGrid w:val="0"/>
        <w:spacing w:line="360" w:lineRule="auto"/>
        <w:ind w:firstLine="480" w:firstLineChars="200"/>
        <w:rPr>
          <w:rFonts w:hint="default" w:ascii="Times New Roman" w:hAnsi="Times New Roman" w:cs="Times New Roman" w:eastAsiaTheme="minorEastAsia"/>
          <w:bCs/>
          <w:sz w:val="24"/>
          <w:szCs w:val="24"/>
        </w:rPr>
      </w:pPr>
    </w:p>
    <w:p>
      <w:pPr>
        <w:wordWrap w:val="0"/>
        <w:adjustRightInd w:val="0"/>
        <w:snapToGrid w:val="0"/>
        <w:spacing w:line="360" w:lineRule="auto"/>
        <w:ind w:firstLine="480" w:firstLineChars="200"/>
        <w:rPr>
          <w:rFonts w:hint="default" w:ascii="Times New Roman" w:hAnsi="Times New Roman" w:cs="Times New Roman" w:eastAsiaTheme="minorEastAsia"/>
          <w:bCs/>
          <w:sz w:val="24"/>
          <w:szCs w:val="24"/>
        </w:rPr>
      </w:pPr>
      <w:r>
        <w:rPr>
          <w:rFonts w:hint="default" w:ascii="Times New Roman" w:hAnsi="Times New Roman" w:cs="Times New Roman" w:eastAsiaTheme="minorEastAsia"/>
          <w:bCs/>
          <w:sz w:val="24"/>
          <w:szCs w:val="24"/>
        </w:rPr>
        <w:t>因此，项目符合港口建设项目环境影响评价文件审批原则（试行）。</w:t>
      </w:r>
    </w:p>
    <w:p>
      <w:pPr>
        <w:pStyle w:val="4"/>
        <w:rPr>
          <w:rFonts w:eastAsiaTheme="minorEastAsia"/>
        </w:rPr>
      </w:pPr>
      <w:r>
        <w:rPr>
          <w:rFonts w:eastAsiaTheme="minorEastAsia"/>
        </w:rPr>
        <w:t>与自然保护区管理条例及规定的符合性分析</w:t>
      </w:r>
    </w:p>
    <w:p>
      <w:pPr>
        <w:adjustRightInd w:val="0"/>
        <w:snapToGrid w:val="0"/>
        <w:spacing w:line="360" w:lineRule="auto"/>
        <w:ind w:firstLine="482"/>
        <w:rPr>
          <w:rFonts w:ascii="Times New Roman" w:hAnsi="Times New Roman"/>
          <w:b/>
          <w:color w:val="000000"/>
          <w:sz w:val="24"/>
        </w:rPr>
      </w:pPr>
      <w:r>
        <w:rPr>
          <w:rFonts w:ascii="Times New Roman" w:hAnsi="Times New Roman"/>
          <w:b/>
          <w:color w:val="000000"/>
          <w:sz w:val="24"/>
        </w:rPr>
        <w:t>1、</w:t>
      </w:r>
      <w:r>
        <w:rPr>
          <w:rFonts w:ascii="Times New Roman" w:hAnsi="Times New Roman"/>
          <w:b/>
          <w:bCs/>
          <w:color w:val="000000"/>
          <w:sz w:val="24"/>
        </w:rPr>
        <w:t>与《中华人民共和国自然保护区条例》的符合性分析</w:t>
      </w:r>
    </w:p>
    <w:p>
      <w:pPr>
        <w:adjustRightInd w:val="0"/>
        <w:snapToGrid w:val="0"/>
        <w:spacing w:line="360" w:lineRule="auto"/>
        <w:ind w:firstLine="482"/>
        <w:rPr>
          <w:rFonts w:ascii="Times New Roman" w:hAnsi="Times New Roman"/>
          <w:color w:val="000000"/>
          <w:sz w:val="24"/>
        </w:rPr>
      </w:pPr>
      <w:r>
        <w:rPr>
          <w:rFonts w:ascii="Times New Roman" w:hAnsi="Times New Roman"/>
          <w:color w:val="000000"/>
          <w:sz w:val="24"/>
        </w:rPr>
        <w:t>本项目距东洞庭湖国家级自然保护区实验区边界的最近直线距离约40m。根据《中华人民共和国自然保护区条例》（2017年修订）中的第二十六条、第二十七条和第三十二条规定分析，见表5.3-</w:t>
      </w:r>
      <w:r>
        <w:rPr>
          <w:rFonts w:hint="eastAsia" w:ascii="Times New Roman" w:hAnsi="Times New Roman"/>
          <w:color w:val="000000"/>
          <w:sz w:val="24"/>
          <w:lang w:val="en-US" w:eastAsia="zh-CN"/>
        </w:rPr>
        <w:t>3</w:t>
      </w:r>
      <w:r>
        <w:rPr>
          <w:rFonts w:ascii="Times New Roman" w:hAnsi="Times New Roman"/>
          <w:color w:val="000000"/>
          <w:sz w:val="24"/>
        </w:rPr>
        <w:t>。</w:t>
      </w:r>
    </w:p>
    <w:p>
      <w:pPr>
        <w:adjustRightInd w:val="0"/>
        <w:snapToGrid w:val="0"/>
        <w:spacing w:line="276" w:lineRule="auto"/>
        <w:jc w:val="center"/>
        <w:rPr>
          <w:rFonts w:ascii="Times New Roman" w:hAnsi="Times New Roman"/>
          <w:b/>
          <w:bCs/>
          <w:color w:val="000000"/>
          <w:sz w:val="24"/>
        </w:rPr>
      </w:pPr>
      <w:r>
        <w:rPr>
          <w:rFonts w:ascii="Times New Roman" w:hAnsi="Times New Roman"/>
          <w:b/>
          <w:bCs/>
          <w:color w:val="000000"/>
          <w:sz w:val="24"/>
        </w:rPr>
        <w:t>表5.3-</w:t>
      </w:r>
      <w:r>
        <w:rPr>
          <w:rFonts w:hint="eastAsia" w:ascii="Times New Roman" w:hAnsi="Times New Roman"/>
          <w:b/>
          <w:bCs/>
          <w:color w:val="000000"/>
          <w:sz w:val="24"/>
          <w:lang w:val="en-US" w:eastAsia="zh-CN"/>
        </w:rPr>
        <w:t>3</w:t>
      </w:r>
      <w:r>
        <w:rPr>
          <w:rFonts w:ascii="Times New Roman" w:hAnsi="Times New Roman"/>
          <w:b/>
          <w:bCs/>
          <w:color w:val="000000"/>
          <w:sz w:val="24"/>
        </w:rPr>
        <w:t xml:space="preserve">  本项目与《中华人民共和国自然保护区条例》的符合性分析表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265"/>
        <w:gridCol w:w="3069"/>
        <w:gridCol w:w="7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2893" w:type="pct"/>
            <w:vAlign w:val="center"/>
          </w:tcPr>
          <w:p>
            <w:pPr>
              <w:adjustRightInd w:val="0"/>
              <w:snapToGrid w:val="0"/>
              <w:jc w:val="center"/>
              <w:rPr>
                <w:rFonts w:ascii="Times New Roman" w:hAnsi="Times New Roman"/>
                <w:b/>
                <w:bCs/>
                <w:color w:val="000000"/>
              </w:rPr>
            </w:pPr>
            <w:r>
              <w:rPr>
                <w:rFonts w:ascii="Times New Roman" w:hAnsi="Times New Roman"/>
                <w:b/>
                <w:bCs/>
                <w:color w:val="000000"/>
              </w:rPr>
              <w:t>条款规定</w:t>
            </w:r>
          </w:p>
        </w:tc>
        <w:tc>
          <w:tcPr>
            <w:tcW w:w="1686" w:type="pct"/>
            <w:vAlign w:val="center"/>
          </w:tcPr>
          <w:p>
            <w:pPr>
              <w:adjustRightInd w:val="0"/>
              <w:snapToGrid w:val="0"/>
              <w:jc w:val="center"/>
              <w:rPr>
                <w:rFonts w:ascii="Times New Roman" w:hAnsi="Times New Roman"/>
                <w:b/>
                <w:bCs/>
                <w:color w:val="000000"/>
                <w:vertAlign w:val="subscript"/>
              </w:rPr>
            </w:pPr>
            <w:r>
              <w:rPr>
                <w:rFonts w:ascii="Times New Roman" w:hAnsi="Times New Roman"/>
                <w:b/>
                <w:bCs/>
                <w:color w:val="000000"/>
              </w:rPr>
              <w:t>本项目情形</w:t>
            </w:r>
          </w:p>
        </w:tc>
        <w:tc>
          <w:tcPr>
            <w:tcW w:w="421" w:type="pct"/>
            <w:vAlign w:val="center"/>
          </w:tcPr>
          <w:p>
            <w:pPr>
              <w:adjustRightInd w:val="0"/>
              <w:snapToGrid w:val="0"/>
              <w:jc w:val="center"/>
              <w:rPr>
                <w:rFonts w:ascii="Times New Roman" w:hAnsi="Times New Roman"/>
                <w:b/>
                <w:bCs/>
                <w:color w:val="000000"/>
              </w:rPr>
            </w:pPr>
            <w:r>
              <w:rPr>
                <w:rFonts w:ascii="Times New Roman" w:hAnsi="Times New Roman"/>
                <w:b/>
                <w:bCs/>
                <w:color w:val="000000"/>
              </w:rPr>
              <w:t>分析</w:t>
            </w:r>
          </w:p>
          <w:p>
            <w:pPr>
              <w:adjustRightInd w:val="0"/>
              <w:snapToGrid w:val="0"/>
              <w:jc w:val="center"/>
              <w:rPr>
                <w:rFonts w:ascii="Times New Roman" w:hAnsi="Times New Roman"/>
                <w:b/>
                <w:bCs/>
                <w:color w:val="000000"/>
              </w:rPr>
            </w:pPr>
            <w:r>
              <w:rPr>
                <w:rFonts w:ascii="Times New Roman" w:hAnsi="Times New Roman"/>
                <w:b/>
                <w:bCs/>
                <w:color w:val="000000"/>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93" w:type="pct"/>
            <w:shd w:val="clear" w:color="auto" w:fill="auto"/>
            <w:vAlign w:val="center"/>
          </w:tcPr>
          <w:p>
            <w:pPr>
              <w:adjustRightInd w:val="0"/>
              <w:snapToGrid w:val="0"/>
              <w:rPr>
                <w:rFonts w:ascii="Times New Roman" w:hAnsi="Times New Roman"/>
                <w:color w:val="000000"/>
              </w:rPr>
            </w:pPr>
            <w:r>
              <w:rPr>
                <w:rFonts w:ascii="Times New Roman" w:hAnsi="Times New Roman"/>
                <w:b/>
                <w:color w:val="000000"/>
              </w:rPr>
              <w:t>第二十六条</w:t>
            </w:r>
            <w:r>
              <w:rPr>
                <w:rFonts w:ascii="Times New Roman" w:hAnsi="Times New Roman"/>
                <w:color w:val="000000"/>
              </w:rPr>
              <w:t xml:space="preserve">  禁止在自然保护区内进行砍伐、放牧、狩猎、捕捞、采药、开垦、烧荒、开矿、采石、挖沙等活动；但是，法律、行政法规另有规定的除外。</w:t>
            </w:r>
          </w:p>
        </w:tc>
        <w:tc>
          <w:tcPr>
            <w:tcW w:w="1686" w:type="pct"/>
            <w:vAlign w:val="center"/>
          </w:tcPr>
          <w:p>
            <w:pPr>
              <w:adjustRightInd w:val="0"/>
              <w:snapToGrid w:val="0"/>
              <w:rPr>
                <w:rFonts w:ascii="Times New Roman" w:hAnsi="Times New Roman"/>
                <w:color w:val="000000"/>
              </w:rPr>
            </w:pPr>
            <w:r>
              <w:rPr>
                <w:rFonts w:ascii="Times New Roman" w:hAnsi="Times New Roman"/>
                <w:color w:val="000000"/>
              </w:rPr>
              <w:t>本项目距东洞庭湖国家级自然保护区实验区边界的最近直线距离约40m。项目建设不涉及“第二十六条”中禁止活动。</w:t>
            </w:r>
          </w:p>
        </w:tc>
        <w:tc>
          <w:tcPr>
            <w:tcW w:w="421" w:type="pct"/>
            <w:vAlign w:val="center"/>
          </w:tcPr>
          <w:p>
            <w:pPr>
              <w:adjustRightInd w:val="0"/>
              <w:snapToGrid w:val="0"/>
              <w:jc w:val="center"/>
              <w:rPr>
                <w:rFonts w:ascii="Times New Roman" w:hAnsi="Times New Roman"/>
                <w:color w:val="000000"/>
              </w:rPr>
            </w:pPr>
            <w:r>
              <w:rPr>
                <w:rFonts w:ascii="Times New Roman" w:hAnsi="Times New Roman"/>
                <w:color w:val="00000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93" w:type="pct"/>
            <w:shd w:val="clear" w:color="auto" w:fill="auto"/>
            <w:vAlign w:val="center"/>
          </w:tcPr>
          <w:p>
            <w:pPr>
              <w:adjustRightInd w:val="0"/>
              <w:snapToGrid w:val="0"/>
              <w:rPr>
                <w:rFonts w:ascii="Times New Roman" w:hAnsi="Times New Roman"/>
                <w:b w:val="0"/>
                <w:bCs/>
                <w:color w:val="000000"/>
              </w:rPr>
            </w:pPr>
            <w:r>
              <w:rPr>
                <w:rFonts w:ascii="Times New Roman" w:hAnsi="Times New Roman"/>
                <w:b/>
                <w:bCs w:val="0"/>
                <w:color w:val="000000"/>
              </w:rPr>
              <w:t>第二十七条</w:t>
            </w:r>
            <w:r>
              <w:rPr>
                <w:rFonts w:ascii="Times New Roman" w:hAnsi="Times New Roman"/>
                <w:b w:val="0"/>
                <w:bCs/>
                <w:color w:val="000000"/>
              </w:rPr>
              <w:t xml:space="preserve">  禁止任何人进入自然保护区的核心区。因科学研究的需要，必须进入核心区从事科学研究观测、调查活动的，应当事先向自然保护区管理机构提交申请和活动计划，并经自然保护区管理机构批准；其中，进入国家级自然保护区核心区的，应当经省、自治区、直辖市人民政府有关自然保护区行政主管部门批准。</w:t>
            </w:r>
          </w:p>
          <w:p>
            <w:pPr>
              <w:adjustRightInd w:val="0"/>
              <w:snapToGrid w:val="0"/>
              <w:rPr>
                <w:rFonts w:ascii="Times New Roman" w:hAnsi="Times New Roman"/>
                <w:b w:val="0"/>
                <w:bCs/>
                <w:color w:val="000000"/>
              </w:rPr>
            </w:pPr>
            <w:r>
              <w:rPr>
                <w:rFonts w:ascii="Times New Roman" w:hAnsi="Times New Roman"/>
                <w:b w:val="0"/>
                <w:bCs/>
                <w:color w:val="000000"/>
              </w:rPr>
              <w:t>自然保护区核心区内原有居民确有必要迁出的，由自然保护区所在地的地方人民政府予以妥善安置。</w:t>
            </w:r>
          </w:p>
        </w:tc>
        <w:tc>
          <w:tcPr>
            <w:tcW w:w="1686" w:type="pct"/>
            <w:shd w:val="clear" w:color="auto" w:fill="auto"/>
            <w:vAlign w:val="center"/>
          </w:tcPr>
          <w:p>
            <w:pPr>
              <w:adjustRightInd w:val="0"/>
              <w:snapToGrid w:val="0"/>
              <w:rPr>
                <w:rFonts w:ascii="Times New Roman" w:hAnsi="Times New Roman"/>
                <w:b w:val="0"/>
                <w:bCs/>
                <w:color w:val="000000"/>
              </w:rPr>
            </w:pPr>
            <w:r>
              <w:rPr>
                <w:rFonts w:ascii="Times New Roman" w:hAnsi="Times New Roman"/>
                <w:b w:val="0"/>
                <w:bCs/>
                <w:color w:val="000000"/>
              </w:rPr>
              <w:t>本项目距东洞庭湖国家级自然保护区核心区边界约11.55km，与缓冲区边界约8.75km。与“第二十六条”不冲突。</w:t>
            </w:r>
          </w:p>
        </w:tc>
        <w:tc>
          <w:tcPr>
            <w:tcW w:w="421" w:type="pct"/>
            <w:vAlign w:val="center"/>
          </w:tcPr>
          <w:p>
            <w:pPr>
              <w:adjustRightInd w:val="0"/>
              <w:snapToGrid w:val="0"/>
              <w:jc w:val="center"/>
              <w:rPr>
                <w:rFonts w:ascii="Times New Roman" w:hAnsi="Times New Roman"/>
                <w:color w:val="000000"/>
              </w:rPr>
            </w:pPr>
            <w:r>
              <w:rPr>
                <w:rFonts w:ascii="Times New Roman" w:hAnsi="Times New Roman"/>
                <w:color w:val="00000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93" w:type="pct"/>
            <w:vAlign w:val="center"/>
          </w:tcPr>
          <w:p>
            <w:pPr>
              <w:adjustRightInd w:val="0"/>
              <w:snapToGrid w:val="0"/>
              <w:rPr>
                <w:rFonts w:ascii="Times New Roman" w:hAnsi="Times New Roman"/>
                <w:color w:val="000000"/>
              </w:rPr>
            </w:pPr>
            <w:r>
              <w:rPr>
                <w:rFonts w:ascii="Times New Roman" w:hAnsi="Times New Roman"/>
                <w:b/>
                <w:color w:val="000000"/>
              </w:rPr>
              <w:t>第三十二条</w:t>
            </w:r>
            <w:r>
              <w:rPr>
                <w:rFonts w:ascii="Times New Roman" w:hAnsi="Times New Roman"/>
                <w:color w:val="000000"/>
              </w:rPr>
              <w:t xml:space="preserve">  在自然保护区的核心区和缓冲区内，不得建设任何生产设施。在自然保护区的实验区内，不得建设污染环境、破坏资源或者景观的生产设施；建设其他项目，其污染物排放不得超过国家和地方规定的污染物排放标准。在自然保护区的实验区内已经建成的设施，其污染物排放超过国家和地方规定的排放标准的，应当限期治理；造成损害的，必须采取补救措施。</w:t>
            </w:r>
          </w:p>
          <w:p>
            <w:pPr>
              <w:adjustRightInd w:val="0"/>
              <w:snapToGrid w:val="0"/>
              <w:ind w:firstLine="420" w:firstLineChars="200"/>
              <w:rPr>
                <w:rFonts w:ascii="Times New Roman" w:hAnsi="Times New Roman"/>
                <w:color w:val="000000"/>
              </w:rPr>
            </w:pPr>
            <w:r>
              <w:rPr>
                <w:rFonts w:ascii="Times New Roman" w:hAnsi="Times New Roman"/>
                <w:color w:val="000000"/>
              </w:rPr>
              <w:t>在自然保护区的外围保护地带建设的项目，不得损害自然保护区内的环境质量；已造成损害的，应当限期治理。</w:t>
            </w:r>
          </w:p>
          <w:p>
            <w:pPr>
              <w:adjustRightInd w:val="0"/>
              <w:snapToGrid w:val="0"/>
              <w:ind w:firstLine="420" w:firstLineChars="200"/>
              <w:rPr>
                <w:rFonts w:ascii="Times New Roman" w:hAnsi="Times New Roman"/>
                <w:color w:val="000000"/>
              </w:rPr>
            </w:pPr>
            <w:r>
              <w:rPr>
                <w:rFonts w:ascii="Times New Roman" w:hAnsi="Times New Roman"/>
                <w:color w:val="000000"/>
              </w:rPr>
              <w:t>限期治理决定由法律、法规规定的机关作出，被限期治理的企业事业单位必须按期完成治理任务。</w:t>
            </w:r>
          </w:p>
        </w:tc>
        <w:tc>
          <w:tcPr>
            <w:tcW w:w="1686" w:type="pct"/>
            <w:vAlign w:val="center"/>
          </w:tcPr>
          <w:p>
            <w:pPr>
              <w:adjustRightInd w:val="0"/>
              <w:snapToGrid w:val="0"/>
              <w:rPr>
                <w:rFonts w:ascii="Times New Roman" w:hAnsi="Times New Roman"/>
                <w:color w:val="000000"/>
              </w:rPr>
            </w:pPr>
            <w:r>
              <w:rPr>
                <w:rFonts w:ascii="Times New Roman" w:hAnsi="Times New Roman"/>
                <w:color w:val="000000"/>
              </w:rPr>
              <w:t>本项目距东洞庭湖国家级自然保护区实验区边界的最近直线距离约40m，项目施工期会对周边环境产生一定影响，但影响环境可接受；</w:t>
            </w:r>
          </w:p>
          <w:p>
            <w:pPr>
              <w:adjustRightInd w:val="0"/>
              <w:snapToGrid w:val="0"/>
              <w:rPr>
                <w:rFonts w:ascii="Times New Roman" w:hAnsi="Times New Roman"/>
                <w:color w:val="000000"/>
              </w:rPr>
            </w:pPr>
            <w:r>
              <w:rPr>
                <w:rFonts w:ascii="Times New Roman" w:hAnsi="Times New Roman"/>
                <w:color w:val="000000"/>
              </w:rPr>
              <w:t>本项目营运期间带来的污染也较小，均能达到保护区的排放要求和标准，是在保护区的环境承载力范围内的。</w:t>
            </w:r>
          </w:p>
        </w:tc>
        <w:tc>
          <w:tcPr>
            <w:tcW w:w="421" w:type="pct"/>
            <w:vAlign w:val="center"/>
          </w:tcPr>
          <w:p>
            <w:pPr>
              <w:adjustRightInd w:val="0"/>
              <w:snapToGrid w:val="0"/>
              <w:jc w:val="center"/>
              <w:rPr>
                <w:rFonts w:ascii="Times New Roman" w:hAnsi="Times New Roman"/>
                <w:color w:val="000000"/>
              </w:rPr>
            </w:pPr>
            <w:r>
              <w:rPr>
                <w:rFonts w:ascii="Times New Roman" w:hAnsi="Times New Roman"/>
                <w:color w:val="000000"/>
              </w:rPr>
              <w:t>符合</w:t>
            </w:r>
          </w:p>
        </w:tc>
      </w:tr>
    </w:tbl>
    <w:p>
      <w:pPr>
        <w:rPr>
          <w:rFonts w:ascii="Times New Roman" w:hAnsi="Times New Roman"/>
          <w:color w:val="000000"/>
          <w:sz w:val="24"/>
        </w:rPr>
      </w:pPr>
    </w:p>
    <w:p>
      <w:pPr>
        <w:adjustRightInd w:val="0"/>
        <w:snapToGrid w:val="0"/>
        <w:spacing w:line="360" w:lineRule="auto"/>
        <w:ind w:firstLine="480" w:firstLineChars="200"/>
        <w:rPr>
          <w:rFonts w:ascii="Times New Roman" w:hAnsi="Times New Roman"/>
          <w:sz w:val="24"/>
        </w:rPr>
      </w:pPr>
      <w:r>
        <w:rPr>
          <w:rFonts w:ascii="Times New Roman" w:hAnsi="Times New Roman"/>
          <w:sz w:val="24"/>
        </w:rPr>
        <w:t>经上述分析，本项目不会对东洞庭湖国家级自然保护区带来直接影响，项目建设与《</w:t>
      </w:r>
      <w:r>
        <w:rPr>
          <w:rFonts w:ascii="Times New Roman" w:hAnsi="Times New Roman"/>
          <w:spacing w:val="2"/>
          <w:sz w:val="24"/>
        </w:rPr>
        <w:t>中</w:t>
      </w:r>
      <w:r>
        <w:rPr>
          <w:rFonts w:ascii="Times New Roman" w:hAnsi="Times New Roman"/>
          <w:sz w:val="24"/>
        </w:rPr>
        <w:t>华</w:t>
      </w:r>
      <w:r>
        <w:rPr>
          <w:rFonts w:ascii="Times New Roman" w:hAnsi="Times New Roman"/>
          <w:spacing w:val="2"/>
          <w:sz w:val="24"/>
        </w:rPr>
        <w:t>人</w:t>
      </w:r>
      <w:r>
        <w:rPr>
          <w:rFonts w:ascii="Times New Roman" w:hAnsi="Times New Roman"/>
          <w:sz w:val="24"/>
        </w:rPr>
        <w:t>民</w:t>
      </w:r>
      <w:r>
        <w:rPr>
          <w:rFonts w:ascii="Times New Roman" w:hAnsi="Times New Roman"/>
          <w:spacing w:val="2"/>
          <w:sz w:val="24"/>
        </w:rPr>
        <w:t>共和</w:t>
      </w:r>
      <w:r>
        <w:rPr>
          <w:rFonts w:ascii="Times New Roman" w:hAnsi="Times New Roman"/>
          <w:sz w:val="24"/>
        </w:rPr>
        <w:t>国</w:t>
      </w:r>
      <w:r>
        <w:rPr>
          <w:rFonts w:ascii="Times New Roman" w:hAnsi="Times New Roman"/>
          <w:spacing w:val="2"/>
          <w:sz w:val="24"/>
        </w:rPr>
        <w:t>自</w:t>
      </w:r>
      <w:r>
        <w:rPr>
          <w:rFonts w:ascii="Times New Roman" w:hAnsi="Times New Roman"/>
          <w:sz w:val="24"/>
        </w:rPr>
        <w:t>然</w:t>
      </w:r>
      <w:r>
        <w:rPr>
          <w:rFonts w:ascii="Times New Roman" w:hAnsi="Times New Roman"/>
          <w:spacing w:val="2"/>
          <w:sz w:val="24"/>
        </w:rPr>
        <w:t>保</w:t>
      </w:r>
      <w:r>
        <w:rPr>
          <w:rFonts w:ascii="Times New Roman" w:hAnsi="Times New Roman"/>
          <w:sz w:val="24"/>
        </w:rPr>
        <w:t>护</w:t>
      </w:r>
      <w:r>
        <w:rPr>
          <w:rFonts w:ascii="Times New Roman" w:hAnsi="Times New Roman"/>
          <w:spacing w:val="2"/>
          <w:sz w:val="24"/>
        </w:rPr>
        <w:t>区条</w:t>
      </w:r>
      <w:r>
        <w:rPr>
          <w:rFonts w:ascii="Times New Roman" w:hAnsi="Times New Roman"/>
          <w:sz w:val="24"/>
        </w:rPr>
        <w:t>例》要求是不冲突的。</w:t>
      </w:r>
    </w:p>
    <w:p>
      <w:pPr>
        <w:tabs>
          <w:tab w:val="left" w:pos="900"/>
        </w:tabs>
        <w:adjustRightInd w:val="0"/>
        <w:snapToGrid w:val="0"/>
        <w:spacing w:line="360" w:lineRule="auto"/>
        <w:ind w:firstLine="482" w:firstLineChars="200"/>
        <w:rPr>
          <w:rFonts w:ascii="Times New Roman" w:hAnsi="Times New Roman" w:eastAsiaTheme="minorEastAsia"/>
          <w:b/>
          <w:color w:val="000000"/>
          <w:sz w:val="24"/>
        </w:rPr>
      </w:pPr>
      <w:r>
        <w:rPr>
          <w:rFonts w:ascii="Times New Roman" w:hAnsi="Times New Roman" w:eastAsiaTheme="minorEastAsia"/>
          <w:b/>
          <w:color w:val="000000"/>
          <w:sz w:val="24"/>
        </w:rPr>
        <w:t>2、与《岳阳市东洞庭湖国家级自然保护区条例》</w:t>
      </w:r>
      <w:r>
        <w:rPr>
          <w:rFonts w:ascii="Times New Roman" w:hAnsi="Times New Roman"/>
          <w:b/>
          <w:bCs/>
          <w:color w:val="000000"/>
          <w:sz w:val="24"/>
        </w:rPr>
        <w:t>的符合性分析</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《岳阳市东洞庭</w:t>
      </w:r>
      <w:r>
        <w:rPr>
          <w:rFonts w:ascii="Times New Roman" w:hAnsi="Times New Roman" w:eastAsiaTheme="minorEastAsia"/>
          <w:color w:val="000000" w:themeColor="text1"/>
          <w:sz w:val="24"/>
          <w:szCs w:val="24"/>
          <w14:textFill>
            <w14:solidFill>
              <w14:schemeClr w14:val="tx1"/>
            </w14:solidFill>
          </w14:textFill>
        </w:rPr>
        <w:t>湖国家级自然保护</w:t>
      </w:r>
      <w:r>
        <w:rPr>
          <w:rFonts w:ascii="Times New Roman" w:hAnsi="Times New Roman" w:eastAsiaTheme="minorEastAsia"/>
          <w:color w:val="000000"/>
          <w:sz w:val="24"/>
          <w:szCs w:val="24"/>
        </w:rPr>
        <w:t>区条例》已经2018年9月27日岳阳市第八届人民代表大会常务委员会第十四次会议通过，2018年11月30日湖南省第十三届人民代表大会常务委员会第八次会议批准，自2019年3月1日起施行。本项目与该管理条例的分析如下：</w:t>
      </w:r>
    </w:p>
    <w:p>
      <w:pPr>
        <w:adjustRightInd w:val="0"/>
        <w:snapToGrid w:val="0"/>
        <w:spacing w:line="276" w:lineRule="auto"/>
        <w:jc w:val="center"/>
        <w:rPr>
          <w:rFonts w:ascii="Times New Roman" w:hAnsi="Times New Roman"/>
          <w:b/>
          <w:bCs/>
          <w:color w:val="000000"/>
          <w:sz w:val="24"/>
        </w:rPr>
      </w:pPr>
      <w:r>
        <w:rPr>
          <w:rFonts w:ascii="Times New Roman" w:hAnsi="Times New Roman"/>
          <w:b/>
          <w:bCs/>
          <w:color w:val="000000"/>
          <w:sz w:val="24"/>
        </w:rPr>
        <w:t>表5.3-</w:t>
      </w:r>
      <w:r>
        <w:rPr>
          <w:rFonts w:hint="eastAsia" w:ascii="Times New Roman" w:hAnsi="Times New Roman"/>
          <w:b/>
          <w:bCs/>
          <w:color w:val="000000"/>
          <w:sz w:val="24"/>
          <w:lang w:val="en-US" w:eastAsia="zh-CN"/>
        </w:rPr>
        <w:t>4</w:t>
      </w:r>
      <w:r>
        <w:rPr>
          <w:rFonts w:ascii="Times New Roman" w:hAnsi="Times New Roman"/>
          <w:b/>
          <w:bCs/>
          <w:color w:val="000000"/>
          <w:sz w:val="24"/>
        </w:rPr>
        <w:t xml:space="preserve">  本项目与《</w:t>
      </w:r>
      <w:r>
        <w:rPr>
          <w:rFonts w:ascii="Times New Roman" w:hAnsi="Times New Roman" w:eastAsiaTheme="minorEastAsia"/>
          <w:b/>
          <w:color w:val="000000"/>
          <w:sz w:val="24"/>
          <w:szCs w:val="24"/>
        </w:rPr>
        <w:t>岳阳市东洞庭湖国家级自然保护区条例</w:t>
      </w:r>
      <w:r>
        <w:rPr>
          <w:rFonts w:ascii="Times New Roman" w:hAnsi="Times New Roman"/>
          <w:b/>
          <w:bCs/>
          <w:color w:val="000000"/>
          <w:sz w:val="24"/>
        </w:rPr>
        <w:t>》的符合性分析表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979"/>
        <w:gridCol w:w="2355"/>
        <w:gridCol w:w="7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3285" w:type="pct"/>
            <w:vAlign w:val="center"/>
          </w:tcPr>
          <w:p>
            <w:pPr>
              <w:adjustRightInd w:val="0"/>
              <w:snapToGrid w:val="0"/>
              <w:jc w:val="center"/>
              <w:rPr>
                <w:rFonts w:ascii="Times New Roman" w:hAnsi="Times New Roman"/>
                <w:b/>
                <w:bCs/>
                <w:color w:val="000000"/>
              </w:rPr>
            </w:pPr>
            <w:r>
              <w:rPr>
                <w:rFonts w:ascii="Times New Roman" w:hAnsi="Times New Roman"/>
                <w:b/>
                <w:bCs/>
                <w:color w:val="000000"/>
              </w:rPr>
              <w:t>条款规定</w:t>
            </w:r>
          </w:p>
        </w:tc>
        <w:tc>
          <w:tcPr>
            <w:tcW w:w="1294" w:type="pct"/>
            <w:vAlign w:val="center"/>
          </w:tcPr>
          <w:p>
            <w:pPr>
              <w:adjustRightInd w:val="0"/>
              <w:snapToGrid w:val="0"/>
              <w:jc w:val="center"/>
              <w:rPr>
                <w:rFonts w:ascii="Times New Roman" w:hAnsi="Times New Roman"/>
                <w:b/>
                <w:bCs/>
                <w:color w:val="000000"/>
                <w:vertAlign w:val="subscript"/>
              </w:rPr>
            </w:pPr>
            <w:r>
              <w:rPr>
                <w:rFonts w:ascii="Times New Roman" w:hAnsi="Times New Roman"/>
                <w:b/>
                <w:bCs/>
                <w:color w:val="000000"/>
              </w:rPr>
              <w:t>本项目情形</w:t>
            </w:r>
          </w:p>
        </w:tc>
        <w:tc>
          <w:tcPr>
            <w:tcW w:w="421" w:type="pct"/>
            <w:vAlign w:val="center"/>
          </w:tcPr>
          <w:p>
            <w:pPr>
              <w:adjustRightInd w:val="0"/>
              <w:snapToGrid w:val="0"/>
              <w:jc w:val="center"/>
              <w:rPr>
                <w:rFonts w:ascii="Times New Roman" w:hAnsi="Times New Roman"/>
                <w:b/>
                <w:bCs/>
                <w:color w:val="000000"/>
              </w:rPr>
            </w:pPr>
            <w:r>
              <w:rPr>
                <w:rFonts w:ascii="Times New Roman" w:hAnsi="Times New Roman"/>
                <w:b/>
                <w:bCs/>
                <w:color w:val="000000"/>
              </w:rPr>
              <w:t>分析</w:t>
            </w:r>
          </w:p>
          <w:p>
            <w:pPr>
              <w:adjustRightInd w:val="0"/>
              <w:snapToGrid w:val="0"/>
              <w:jc w:val="center"/>
              <w:rPr>
                <w:rFonts w:ascii="Times New Roman" w:hAnsi="Times New Roman"/>
                <w:b/>
                <w:bCs/>
                <w:color w:val="000000"/>
              </w:rPr>
            </w:pPr>
            <w:r>
              <w:rPr>
                <w:rFonts w:ascii="Times New Roman" w:hAnsi="Times New Roman"/>
                <w:b/>
                <w:bCs/>
                <w:color w:val="000000"/>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85" w:type="pct"/>
            <w:vAlign w:val="center"/>
          </w:tcPr>
          <w:p>
            <w:pPr>
              <w:adjustRightInd w:val="0"/>
              <w:snapToGrid w:val="0"/>
              <w:rPr>
                <w:rFonts w:ascii="Times New Roman" w:hAnsi="Times New Roman"/>
                <w:color w:val="000000"/>
              </w:rPr>
            </w:pPr>
            <w:r>
              <w:rPr>
                <w:rFonts w:ascii="Times New Roman" w:hAnsi="Times New Roman"/>
                <w:b/>
                <w:color w:val="000000"/>
              </w:rPr>
              <w:t>第十八条</w:t>
            </w:r>
            <w:r>
              <w:rPr>
                <w:rFonts w:ascii="Times New Roman" w:hAnsi="Times New Roman"/>
                <w:color w:val="000000"/>
              </w:rPr>
              <w:t xml:space="preserve"> 保护区范围内禁止下列行为，但法律、法规另有规定的除外：</w:t>
            </w:r>
          </w:p>
          <w:p>
            <w:pPr>
              <w:adjustRightInd w:val="0"/>
              <w:snapToGrid w:val="0"/>
              <w:rPr>
                <w:rFonts w:ascii="Times New Roman" w:hAnsi="Times New Roman"/>
                <w:color w:val="000000"/>
              </w:rPr>
            </w:pPr>
            <w:r>
              <w:rPr>
                <w:rFonts w:ascii="Times New Roman" w:hAnsi="Times New Roman"/>
                <w:color w:val="000000"/>
              </w:rPr>
              <w:t>（一）从事砍伐、放牧、采药、开垦、烧荒、开矿、采石、挖砂等破坏保护区生态环境活动的；</w:t>
            </w:r>
          </w:p>
          <w:p>
            <w:pPr>
              <w:adjustRightInd w:val="0"/>
              <w:snapToGrid w:val="0"/>
              <w:rPr>
                <w:rFonts w:ascii="Times New Roman" w:hAnsi="Times New Roman"/>
                <w:color w:val="000000"/>
              </w:rPr>
            </w:pPr>
            <w:r>
              <w:rPr>
                <w:rFonts w:ascii="Times New Roman" w:hAnsi="Times New Roman"/>
                <w:color w:val="000000"/>
              </w:rPr>
              <w:t>（二）向保护区水体和洲滩违法排放污染物、倾倒废弃物的；</w:t>
            </w:r>
          </w:p>
          <w:p>
            <w:pPr>
              <w:adjustRightInd w:val="0"/>
              <w:snapToGrid w:val="0"/>
              <w:rPr>
                <w:rFonts w:ascii="Times New Roman" w:hAnsi="Times New Roman"/>
                <w:color w:val="000000"/>
              </w:rPr>
            </w:pPr>
            <w:r>
              <w:rPr>
                <w:rFonts w:ascii="Times New Roman" w:hAnsi="Times New Roman"/>
                <w:color w:val="000000"/>
              </w:rPr>
              <w:t>（三）经营水上餐饮以及在湿地洲滩越野、野营、野炊等破坏保护区生态环境的；</w:t>
            </w:r>
          </w:p>
          <w:p>
            <w:pPr>
              <w:adjustRightInd w:val="0"/>
              <w:snapToGrid w:val="0"/>
              <w:rPr>
                <w:rFonts w:ascii="Times New Roman" w:hAnsi="Times New Roman"/>
                <w:color w:val="000000"/>
              </w:rPr>
            </w:pPr>
            <w:r>
              <w:rPr>
                <w:rFonts w:ascii="Times New Roman" w:hAnsi="Times New Roman"/>
                <w:color w:val="000000"/>
              </w:rPr>
              <w:t>（四）以损害受保护野生植物物种再生能力或者受保护野生动物的主要生息繁衍场所的方式进行植物采集的；</w:t>
            </w:r>
          </w:p>
          <w:p>
            <w:pPr>
              <w:adjustRightInd w:val="0"/>
              <w:snapToGrid w:val="0"/>
              <w:rPr>
                <w:rFonts w:ascii="Times New Roman" w:hAnsi="Times New Roman"/>
                <w:color w:val="000000"/>
              </w:rPr>
            </w:pPr>
            <w:r>
              <w:rPr>
                <w:rFonts w:ascii="Times New Roman" w:hAnsi="Times New Roman"/>
                <w:color w:val="000000"/>
              </w:rPr>
              <w:t>(五)以毒杀、电击、枪杀、捕鸟粘网、滚钩、迷魂阵等方式非法狩猎或者捕捞野生动物的；</w:t>
            </w:r>
          </w:p>
          <w:p>
            <w:pPr>
              <w:adjustRightInd w:val="0"/>
              <w:snapToGrid w:val="0"/>
              <w:rPr>
                <w:rFonts w:ascii="Times New Roman" w:hAnsi="Times New Roman"/>
                <w:color w:val="000000"/>
              </w:rPr>
            </w:pPr>
            <w:r>
              <w:rPr>
                <w:rFonts w:ascii="Times New Roman" w:hAnsi="Times New Roman"/>
                <w:color w:val="000000"/>
              </w:rPr>
              <w:t>（六）候鸟越冬、越夏期，在候鸟主要栖息地捕鱼，捡拾鸟蛋、雏鸟，捣毁鸟巢，以鸣笛、轰赶方式惊吓鸟类等危及鸟类生存、繁衍的；</w:t>
            </w:r>
          </w:p>
          <w:p>
            <w:pPr>
              <w:adjustRightInd w:val="0"/>
              <w:snapToGrid w:val="0"/>
              <w:rPr>
                <w:rFonts w:ascii="Times New Roman" w:hAnsi="Times New Roman"/>
                <w:color w:val="000000"/>
              </w:rPr>
            </w:pPr>
            <w:r>
              <w:rPr>
                <w:rFonts w:ascii="Times New Roman" w:hAnsi="Times New Roman"/>
                <w:color w:val="000000"/>
              </w:rPr>
              <w:t>（七）破坏鱼类等水生生物洄游通道以及受保护野生动物的主要生息繁衍场所的；</w:t>
            </w:r>
          </w:p>
          <w:p>
            <w:pPr>
              <w:adjustRightInd w:val="0"/>
              <w:snapToGrid w:val="0"/>
              <w:rPr>
                <w:rFonts w:ascii="Times New Roman" w:hAnsi="Times New Roman"/>
                <w:color w:val="000000"/>
              </w:rPr>
            </w:pPr>
            <w:r>
              <w:rPr>
                <w:rFonts w:ascii="Times New Roman" w:hAnsi="Times New Roman"/>
                <w:color w:val="000000"/>
              </w:rPr>
              <w:t>（八）采集、出售、收购、运输、利用国家或者本省重点保护野生动植物及其制品的；</w:t>
            </w:r>
          </w:p>
          <w:p>
            <w:pPr>
              <w:adjustRightInd w:val="0"/>
              <w:snapToGrid w:val="0"/>
              <w:rPr>
                <w:rFonts w:ascii="Times New Roman" w:hAnsi="Times New Roman"/>
                <w:b/>
                <w:color w:val="000000"/>
              </w:rPr>
            </w:pPr>
            <w:r>
              <w:rPr>
                <w:rFonts w:ascii="Times New Roman" w:hAnsi="Times New Roman"/>
                <w:color w:val="000000"/>
              </w:rPr>
              <w:t>（九）其他不符合保护区功能定位的开发利用与建设行为。</w:t>
            </w:r>
          </w:p>
        </w:tc>
        <w:tc>
          <w:tcPr>
            <w:tcW w:w="1294" w:type="pct"/>
            <w:vAlign w:val="center"/>
          </w:tcPr>
          <w:p>
            <w:pPr>
              <w:adjustRightInd w:val="0"/>
              <w:snapToGrid w:val="0"/>
              <w:rPr>
                <w:rFonts w:ascii="Times New Roman" w:hAnsi="Times New Roman"/>
                <w:color w:val="000000"/>
              </w:rPr>
            </w:pPr>
            <w:r>
              <w:rPr>
                <w:rFonts w:ascii="Times New Roman" w:hAnsi="Times New Roman"/>
                <w:color w:val="000000"/>
              </w:rPr>
              <w:t>本项目距东洞庭湖国家级自然保护区实验区边界的最近直线距离约40m。项目建设不涉及“第十八条”中禁止活动。</w:t>
            </w:r>
          </w:p>
        </w:tc>
        <w:tc>
          <w:tcPr>
            <w:tcW w:w="421" w:type="pct"/>
            <w:vAlign w:val="center"/>
          </w:tcPr>
          <w:p>
            <w:pPr>
              <w:adjustRightInd w:val="0"/>
              <w:snapToGrid w:val="0"/>
              <w:jc w:val="center"/>
              <w:rPr>
                <w:rFonts w:ascii="Times New Roman" w:hAnsi="Times New Roman"/>
                <w:color w:val="000000"/>
              </w:rPr>
            </w:pPr>
            <w:r>
              <w:rPr>
                <w:rFonts w:ascii="Times New Roman" w:hAnsi="Times New Roman"/>
                <w:color w:val="00000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85" w:type="pct"/>
            <w:vAlign w:val="center"/>
          </w:tcPr>
          <w:p>
            <w:pPr>
              <w:adjustRightInd w:val="0"/>
              <w:snapToGrid w:val="0"/>
              <w:rPr>
                <w:rFonts w:ascii="Times New Roman" w:hAnsi="Times New Roman"/>
                <w:b/>
                <w:color w:val="000000"/>
              </w:rPr>
            </w:pPr>
            <w:r>
              <w:rPr>
                <w:rFonts w:ascii="Times New Roman" w:hAnsi="Times New Roman"/>
                <w:b/>
                <w:color w:val="333333"/>
                <w:shd w:val="clear" w:color="auto" w:fill="FFFFFF"/>
              </w:rPr>
              <w:t>第二十三条</w:t>
            </w:r>
            <w:r>
              <w:rPr>
                <w:rFonts w:ascii="Times New Roman" w:hAnsi="Times New Roman"/>
                <w:color w:val="333333"/>
                <w:shd w:val="clear" w:color="auto" w:fill="FFFFFF"/>
              </w:rPr>
              <w:t xml:space="preserve"> 经依法批准在航道、行洪区、河湖调蓄区从事的清淤、疏浚等活动应当严格控制在批准的区域内，并采取有效措施，防止对保护区生态环境造成破坏。</w:t>
            </w:r>
          </w:p>
        </w:tc>
        <w:tc>
          <w:tcPr>
            <w:tcW w:w="1294" w:type="pct"/>
            <w:vAlign w:val="center"/>
          </w:tcPr>
          <w:p>
            <w:pPr>
              <w:adjustRightInd w:val="0"/>
              <w:snapToGrid w:val="0"/>
              <w:rPr>
                <w:rFonts w:ascii="Times New Roman" w:hAnsi="Times New Roman"/>
                <w:color w:val="000000"/>
              </w:rPr>
            </w:pPr>
            <w:r>
              <w:rPr>
                <w:rFonts w:ascii="Times New Roman" w:hAnsi="Times New Roman"/>
                <w:color w:val="000000"/>
              </w:rPr>
              <w:t>本项目作为提质改造项目，位于自然保护区范围外，且不涉及疏浚工程。</w:t>
            </w:r>
          </w:p>
        </w:tc>
        <w:tc>
          <w:tcPr>
            <w:tcW w:w="421" w:type="pct"/>
            <w:vAlign w:val="center"/>
          </w:tcPr>
          <w:p>
            <w:pPr>
              <w:adjustRightInd w:val="0"/>
              <w:snapToGrid w:val="0"/>
              <w:jc w:val="center"/>
              <w:rPr>
                <w:rFonts w:ascii="Times New Roman" w:hAnsi="Times New Roman"/>
                <w:color w:val="000000"/>
              </w:rPr>
            </w:pPr>
            <w:r>
              <w:rPr>
                <w:rFonts w:ascii="Times New Roman" w:hAnsi="Times New Roman"/>
                <w:color w:val="00000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85" w:type="pct"/>
            <w:vAlign w:val="center"/>
          </w:tcPr>
          <w:p>
            <w:pPr>
              <w:adjustRightInd w:val="0"/>
              <w:snapToGrid w:val="0"/>
              <w:rPr>
                <w:rFonts w:ascii="Times New Roman" w:hAnsi="Times New Roman"/>
                <w:color w:val="000000"/>
              </w:rPr>
            </w:pPr>
            <w:r>
              <w:rPr>
                <w:rFonts w:ascii="Times New Roman" w:hAnsi="Times New Roman"/>
                <w:b/>
                <w:color w:val="000000"/>
              </w:rPr>
              <w:t>第二十六条</w:t>
            </w:r>
            <w:r>
              <w:rPr>
                <w:rFonts w:ascii="Times New Roman" w:hAnsi="Times New Roman"/>
                <w:color w:val="000000"/>
              </w:rPr>
              <w:t xml:space="preserve"> 禁止任何单位和个人进入核心区从事与保护区保护和管理无关的活动。因科学研究的需要，必须进入核心区从事科学研究观测、调查活动的，应当事先向保护区管理机构提交申请和活动计划，征得书面同意，并经省人民政府有关自然保护区行政主管部门批准。</w:t>
            </w:r>
          </w:p>
        </w:tc>
        <w:tc>
          <w:tcPr>
            <w:tcW w:w="1294" w:type="pct"/>
            <w:vAlign w:val="center"/>
          </w:tcPr>
          <w:p>
            <w:pPr>
              <w:adjustRightInd w:val="0"/>
              <w:snapToGrid w:val="0"/>
              <w:rPr>
                <w:rFonts w:ascii="Times New Roman" w:hAnsi="Times New Roman"/>
                <w:color w:val="000000"/>
              </w:rPr>
            </w:pPr>
            <w:r>
              <w:rPr>
                <w:rFonts w:ascii="Times New Roman" w:hAnsi="Times New Roman"/>
                <w:color w:val="000000"/>
              </w:rPr>
              <w:t>本项目距东洞庭湖国家级自然保护区核心区边界约11.55km，与缓冲区边界约8.75km。与“第二十六条”不冲突。</w:t>
            </w:r>
          </w:p>
        </w:tc>
        <w:tc>
          <w:tcPr>
            <w:tcW w:w="421" w:type="pct"/>
            <w:vAlign w:val="center"/>
          </w:tcPr>
          <w:p>
            <w:pPr>
              <w:adjustRightInd w:val="0"/>
              <w:snapToGrid w:val="0"/>
              <w:jc w:val="center"/>
              <w:rPr>
                <w:rFonts w:ascii="Times New Roman" w:hAnsi="Times New Roman"/>
                <w:color w:val="000000"/>
              </w:rPr>
            </w:pPr>
            <w:r>
              <w:rPr>
                <w:rFonts w:ascii="Times New Roman" w:hAnsi="Times New Roman"/>
                <w:color w:val="00000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85" w:type="pct"/>
            <w:vAlign w:val="center"/>
          </w:tcPr>
          <w:p>
            <w:pPr>
              <w:adjustRightInd w:val="0"/>
              <w:snapToGrid w:val="0"/>
              <w:rPr>
                <w:rFonts w:ascii="Times New Roman" w:hAnsi="Times New Roman"/>
                <w:color w:val="000000"/>
              </w:rPr>
            </w:pPr>
            <w:r>
              <w:rPr>
                <w:rFonts w:ascii="Times New Roman" w:hAnsi="Times New Roman"/>
                <w:b/>
                <w:color w:val="000000"/>
              </w:rPr>
              <w:t>第二十七条</w:t>
            </w:r>
            <w:r>
              <w:rPr>
                <w:rFonts w:ascii="Times New Roman" w:hAnsi="Times New Roman"/>
                <w:color w:val="000000"/>
              </w:rPr>
              <w:t xml:space="preserve"> 禁止在核心区、缓冲区开展旅游和其他生产经营活动，禁止建设任何生产经营设施。</w:t>
            </w:r>
          </w:p>
          <w:p>
            <w:pPr>
              <w:adjustRightInd w:val="0"/>
              <w:snapToGrid w:val="0"/>
              <w:rPr>
                <w:rFonts w:ascii="Times New Roman" w:hAnsi="Times New Roman"/>
                <w:color w:val="000000"/>
              </w:rPr>
            </w:pPr>
            <w:r>
              <w:rPr>
                <w:rFonts w:ascii="Times New Roman" w:hAnsi="Times New Roman"/>
                <w:color w:val="000000"/>
              </w:rPr>
              <w:t>在核心区、缓冲区建设防洪抗旱等非生产经营设施的，应当事先征求保护区管理机构意见，依法报有关行政主管部门批准，并确保正常情况下不对保护区生态环境造成不利影响。</w:t>
            </w:r>
          </w:p>
        </w:tc>
        <w:tc>
          <w:tcPr>
            <w:tcW w:w="1294" w:type="pct"/>
            <w:vAlign w:val="center"/>
          </w:tcPr>
          <w:p>
            <w:pPr>
              <w:adjustRightInd w:val="0"/>
              <w:snapToGrid w:val="0"/>
              <w:rPr>
                <w:rFonts w:ascii="Times New Roman" w:hAnsi="Times New Roman"/>
                <w:color w:val="000000"/>
              </w:rPr>
            </w:pPr>
            <w:r>
              <w:rPr>
                <w:rFonts w:ascii="Times New Roman" w:hAnsi="Times New Roman"/>
                <w:color w:val="000000"/>
              </w:rPr>
              <w:t>本项目距东洞庭湖国家级自然保护区核心区边界约11.55km，与缓冲区边界约8.75km。与“第二十七条”不冲突。</w:t>
            </w:r>
          </w:p>
        </w:tc>
        <w:tc>
          <w:tcPr>
            <w:tcW w:w="421" w:type="pct"/>
            <w:vAlign w:val="center"/>
          </w:tcPr>
          <w:p>
            <w:pPr>
              <w:adjustRightInd w:val="0"/>
              <w:snapToGrid w:val="0"/>
              <w:jc w:val="center"/>
              <w:rPr>
                <w:rFonts w:ascii="Times New Roman" w:hAnsi="Times New Roman"/>
                <w:color w:val="000000"/>
              </w:rPr>
            </w:pPr>
            <w:r>
              <w:rPr>
                <w:rFonts w:ascii="Times New Roman" w:hAnsi="Times New Roman"/>
                <w:color w:val="00000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85" w:type="pct"/>
            <w:vAlign w:val="center"/>
          </w:tcPr>
          <w:p>
            <w:pPr>
              <w:adjustRightInd w:val="0"/>
              <w:snapToGrid w:val="0"/>
              <w:rPr>
                <w:rFonts w:ascii="Times New Roman" w:hAnsi="Times New Roman"/>
                <w:color w:val="000000"/>
              </w:rPr>
            </w:pPr>
            <w:r>
              <w:rPr>
                <w:rFonts w:ascii="Times New Roman" w:hAnsi="Times New Roman"/>
                <w:b/>
                <w:color w:val="000000"/>
              </w:rPr>
              <w:t>第三十条</w:t>
            </w:r>
            <w:r>
              <w:rPr>
                <w:rFonts w:ascii="Times New Roman" w:hAnsi="Times New Roman"/>
                <w:color w:val="000000"/>
              </w:rPr>
              <w:t xml:space="preserve"> 在实验区可以进行科学试验、教学实习、参观考察、旅游以及驯化、繁殖珍稀、濒危野生动植物和符合保护区保护方向与总体规划的生产经营活动以及经批准的基础设施和公益事业项目建设。</w:t>
            </w:r>
          </w:p>
          <w:p>
            <w:pPr>
              <w:adjustRightInd w:val="0"/>
              <w:snapToGrid w:val="0"/>
              <w:rPr>
                <w:rFonts w:ascii="Times New Roman" w:hAnsi="Times New Roman"/>
                <w:color w:val="000000"/>
              </w:rPr>
            </w:pPr>
            <w:r>
              <w:rPr>
                <w:rFonts w:ascii="Times New Roman" w:hAnsi="Times New Roman"/>
                <w:color w:val="000000"/>
              </w:rPr>
              <w:t>向实验区引进或者放生外来物种应当事先征求保护区管理机构的意见，并按照《湖南省外来物种管理条例》的规定，经有关行政主管部门许可。</w:t>
            </w:r>
          </w:p>
        </w:tc>
        <w:tc>
          <w:tcPr>
            <w:tcW w:w="1294" w:type="pct"/>
            <w:vAlign w:val="center"/>
          </w:tcPr>
          <w:p>
            <w:pPr>
              <w:adjustRightInd w:val="0"/>
              <w:snapToGrid w:val="0"/>
              <w:rPr>
                <w:rFonts w:ascii="Times New Roman" w:hAnsi="Times New Roman"/>
                <w:color w:val="000000"/>
              </w:rPr>
            </w:pPr>
            <w:r>
              <w:rPr>
                <w:rFonts w:ascii="Times New Roman" w:hAnsi="Times New Roman"/>
                <w:color w:val="000000"/>
              </w:rPr>
              <w:t>本项目距东洞庭湖国家级自然保护区实验区边界的最近直线距离约40m。</w:t>
            </w:r>
          </w:p>
        </w:tc>
        <w:tc>
          <w:tcPr>
            <w:tcW w:w="421" w:type="pct"/>
            <w:vAlign w:val="center"/>
          </w:tcPr>
          <w:p>
            <w:pPr>
              <w:adjustRightInd w:val="0"/>
              <w:snapToGrid w:val="0"/>
              <w:jc w:val="center"/>
              <w:rPr>
                <w:rFonts w:ascii="Times New Roman" w:hAnsi="Times New Roman"/>
                <w:color w:val="000000"/>
              </w:rPr>
            </w:pPr>
            <w:r>
              <w:rPr>
                <w:rFonts w:ascii="Times New Roman" w:hAnsi="Times New Roman"/>
                <w:color w:val="00000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85" w:type="pct"/>
            <w:vAlign w:val="center"/>
          </w:tcPr>
          <w:p>
            <w:pPr>
              <w:adjustRightInd w:val="0"/>
              <w:snapToGrid w:val="0"/>
              <w:rPr>
                <w:rFonts w:ascii="Times New Roman" w:hAnsi="Times New Roman"/>
                <w:color w:val="000000"/>
              </w:rPr>
            </w:pPr>
            <w:r>
              <w:rPr>
                <w:rFonts w:ascii="Times New Roman" w:hAnsi="Times New Roman"/>
                <w:b/>
                <w:color w:val="000000"/>
              </w:rPr>
              <w:t>第三十四条</w:t>
            </w:r>
            <w:r>
              <w:rPr>
                <w:rFonts w:ascii="Times New Roman" w:hAnsi="Times New Roman"/>
                <w:color w:val="000000"/>
              </w:rPr>
              <w:t xml:space="preserve"> 实验区内不得建设污染环境、破坏资源或者景观的生产设施；建设其他项目以及实验区内已建成的设施，其污染物排放不得超过国家或者地方规定的污染物排放标准或者重点污染物排放总量控制指标。</w:t>
            </w:r>
          </w:p>
        </w:tc>
        <w:tc>
          <w:tcPr>
            <w:tcW w:w="1294" w:type="pct"/>
            <w:vAlign w:val="center"/>
          </w:tcPr>
          <w:p>
            <w:pPr>
              <w:adjustRightInd w:val="0"/>
              <w:snapToGrid w:val="0"/>
              <w:rPr>
                <w:rFonts w:ascii="Times New Roman" w:hAnsi="Times New Roman"/>
                <w:color w:val="000000"/>
              </w:rPr>
            </w:pPr>
            <w:r>
              <w:rPr>
                <w:rFonts w:ascii="Times New Roman" w:hAnsi="Times New Roman"/>
                <w:color w:val="000000"/>
              </w:rPr>
              <w:t>本项目位于自然保护区范围外，作为提质改造项目，本项目对码头的采取降尘、降噪、固废收集等环保措施，确保装卸废气、噪声及固体废物等得到有效控制和处理。</w:t>
            </w:r>
          </w:p>
        </w:tc>
        <w:tc>
          <w:tcPr>
            <w:tcW w:w="421" w:type="pct"/>
            <w:vAlign w:val="center"/>
          </w:tcPr>
          <w:p>
            <w:pPr>
              <w:adjustRightInd w:val="0"/>
              <w:snapToGrid w:val="0"/>
              <w:jc w:val="center"/>
              <w:rPr>
                <w:rFonts w:ascii="Times New Roman" w:hAnsi="Times New Roman"/>
                <w:color w:val="000000"/>
              </w:rPr>
            </w:pPr>
            <w:r>
              <w:rPr>
                <w:rFonts w:ascii="Times New Roman" w:hAnsi="Times New Roman"/>
                <w:color w:val="000000"/>
              </w:rPr>
              <w:t>符合</w:t>
            </w:r>
          </w:p>
        </w:tc>
      </w:tr>
    </w:tbl>
    <w:p>
      <w:pPr>
        <w:adjustRightInd w:val="0"/>
        <w:snapToGrid w:val="0"/>
        <w:spacing w:line="360" w:lineRule="auto"/>
        <w:ind w:firstLine="480" w:firstLineChars="200"/>
        <w:rPr>
          <w:rFonts w:ascii="Times New Roman" w:hAnsi="Times New Roman" w:eastAsiaTheme="minorEastAsia"/>
          <w:color w:val="000000"/>
          <w:sz w:val="24"/>
          <w:szCs w:val="24"/>
          <w:highlight w:val="yellow"/>
        </w:rPr>
      </w:pPr>
    </w:p>
    <w:p>
      <w:pPr>
        <w:adjustRightInd w:val="0"/>
        <w:snapToGrid w:val="0"/>
        <w:spacing w:line="360" w:lineRule="auto"/>
        <w:ind w:firstLine="480" w:firstLineChars="200"/>
        <w:rPr>
          <w:rFonts w:ascii="Times New Roman" w:hAnsi="Times New Roman"/>
          <w:sz w:val="24"/>
        </w:rPr>
      </w:pPr>
      <w:r>
        <w:rPr>
          <w:rFonts w:ascii="Times New Roman" w:hAnsi="Times New Roman"/>
          <w:sz w:val="24"/>
        </w:rPr>
        <w:t>经上述分析，本项目不会对东洞庭湖国家级自然保护区带来直接影响，项目建设与《</w:t>
      </w:r>
      <w:r>
        <w:rPr>
          <w:rFonts w:ascii="Times New Roman" w:hAnsi="Times New Roman" w:eastAsiaTheme="minorEastAsia"/>
          <w:color w:val="000000"/>
          <w:sz w:val="24"/>
          <w:szCs w:val="24"/>
        </w:rPr>
        <w:t>岳阳市东洞庭湖国家级自然保护区条例</w:t>
      </w:r>
      <w:r>
        <w:rPr>
          <w:rFonts w:ascii="Times New Roman" w:hAnsi="Times New Roman"/>
          <w:sz w:val="24"/>
        </w:rPr>
        <w:t>》要求是不相冲突的。</w:t>
      </w:r>
    </w:p>
    <w:p>
      <w:pPr>
        <w:pStyle w:val="4"/>
        <w:rPr>
          <w:rFonts w:eastAsiaTheme="minorEastAsia"/>
        </w:rPr>
      </w:pPr>
      <w:r>
        <w:rPr>
          <w:rFonts w:eastAsiaTheme="minorEastAsia"/>
        </w:rPr>
        <w:t>与风景名胜区管理条例的符合性分析</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项目位于岳阳楼-洞庭湖风景名胜区的城陵矶独立景点的外围保护地带范围内，不属于风景名胜区范围内。拟提质改造的2#泊位与城陵矶独立景点的二级保护区（不设三级保护区）边界最近直线距离约145m，新增的输煤皮带线位于城陵矶独立景点的外围保护地带范围内，与城陵矶独立景点的二级保护区的最近距离约10m。此外，本项目不涉及特级、一级、二级和三级保护区范围。</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经与岳阳楼-洞庭湖风景名胜区管理处衔接，《岳阳楼-洞庭湖风景名胜区总体规划》现处于重新修编阶段，在总体规划完成修编后，本项目将不涉及风景名胜区的外围保护区范围。</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本项目与风景名胜区管理条例符合性分析如下表：</w:t>
      </w:r>
    </w:p>
    <w:p>
      <w:pPr>
        <w:adjustRightInd w:val="0"/>
        <w:snapToGrid w:val="0"/>
        <w:spacing w:line="276" w:lineRule="auto"/>
        <w:jc w:val="center"/>
        <w:rPr>
          <w:rFonts w:ascii="Times New Roman" w:hAnsi="Times New Roman"/>
          <w:b/>
          <w:bCs/>
          <w:color w:val="000000"/>
          <w:sz w:val="24"/>
        </w:rPr>
      </w:pPr>
      <w:r>
        <w:rPr>
          <w:rFonts w:ascii="Times New Roman" w:hAnsi="Times New Roman"/>
          <w:b/>
          <w:bCs/>
          <w:color w:val="000000"/>
          <w:sz w:val="24"/>
        </w:rPr>
        <w:t>表5.3-</w:t>
      </w:r>
      <w:r>
        <w:rPr>
          <w:rFonts w:hint="eastAsia" w:ascii="Times New Roman" w:hAnsi="Times New Roman"/>
          <w:b/>
          <w:bCs/>
          <w:color w:val="000000"/>
          <w:sz w:val="24"/>
          <w:lang w:val="en-US" w:eastAsia="zh-CN"/>
        </w:rPr>
        <w:t>5</w:t>
      </w:r>
      <w:r>
        <w:rPr>
          <w:rFonts w:ascii="Times New Roman" w:hAnsi="Times New Roman"/>
          <w:b/>
          <w:bCs/>
          <w:color w:val="000000"/>
          <w:sz w:val="24"/>
        </w:rPr>
        <w:t xml:space="preserve">  本项目与《</w:t>
      </w:r>
      <w:r>
        <w:rPr>
          <w:rFonts w:ascii="Times New Roman" w:hAnsi="Times New Roman" w:eastAsiaTheme="minorEastAsia"/>
          <w:b/>
          <w:color w:val="000000"/>
          <w:sz w:val="24"/>
          <w:szCs w:val="24"/>
        </w:rPr>
        <w:t>风景名胜区管理条例</w:t>
      </w:r>
      <w:r>
        <w:rPr>
          <w:rFonts w:ascii="Times New Roman" w:hAnsi="Times New Roman"/>
          <w:b/>
          <w:bCs/>
          <w:color w:val="000000"/>
          <w:sz w:val="24"/>
        </w:rPr>
        <w:t>》的符合性分析表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265"/>
        <w:gridCol w:w="3069"/>
        <w:gridCol w:w="7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2893" w:type="pct"/>
            <w:vAlign w:val="center"/>
          </w:tcPr>
          <w:p>
            <w:pPr>
              <w:adjustRightInd w:val="0"/>
              <w:snapToGrid w:val="0"/>
              <w:jc w:val="center"/>
              <w:rPr>
                <w:rFonts w:ascii="Times New Roman" w:hAnsi="Times New Roman"/>
                <w:b/>
                <w:bCs/>
                <w:color w:val="000000"/>
              </w:rPr>
            </w:pPr>
            <w:r>
              <w:rPr>
                <w:rFonts w:ascii="Times New Roman" w:hAnsi="Times New Roman"/>
                <w:b/>
                <w:bCs/>
                <w:color w:val="000000"/>
              </w:rPr>
              <w:t>条款规定</w:t>
            </w:r>
          </w:p>
        </w:tc>
        <w:tc>
          <w:tcPr>
            <w:tcW w:w="1686" w:type="pct"/>
            <w:vAlign w:val="center"/>
          </w:tcPr>
          <w:p>
            <w:pPr>
              <w:adjustRightInd w:val="0"/>
              <w:snapToGrid w:val="0"/>
              <w:jc w:val="center"/>
              <w:rPr>
                <w:rFonts w:ascii="Times New Roman" w:hAnsi="Times New Roman"/>
                <w:b/>
                <w:bCs/>
                <w:color w:val="000000"/>
                <w:vertAlign w:val="subscript"/>
              </w:rPr>
            </w:pPr>
            <w:r>
              <w:rPr>
                <w:rFonts w:ascii="Times New Roman" w:hAnsi="Times New Roman"/>
                <w:b/>
                <w:bCs/>
                <w:color w:val="000000"/>
              </w:rPr>
              <w:t>本项目情形</w:t>
            </w:r>
          </w:p>
        </w:tc>
        <w:tc>
          <w:tcPr>
            <w:tcW w:w="421" w:type="pct"/>
            <w:vAlign w:val="center"/>
          </w:tcPr>
          <w:p>
            <w:pPr>
              <w:adjustRightInd w:val="0"/>
              <w:snapToGrid w:val="0"/>
              <w:jc w:val="center"/>
              <w:rPr>
                <w:rFonts w:ascii="Times New Roman" w:hAnsi="Times New Roman"/>
                <w:b/>
                <w:bCs/>
                <w:color w:val="000000"/>
              </w:rPr>
            </w:pPr>
            <w:r>
              <w:rPr>
                <w:rFonts w:ascii="Times New Roman" w:hAnsi="Times New Roman"/>
                <w:b/>
                <w:bCs/>
                <w:color w:val="000000"/>
              </w:rPr>
              <w:t>分析</w:t>
            </w:r>
          </w:p>
          <w:p>
            <w:pPr>
              <w:adjustRightInd w:val="0"/>
              <w:snapToGrid w:val="0"/>
              <w:jc w:val="center"/>
              <w:rPr>
                <w:rFonts w:ascii="Times New Roman" w:hAnsi="Times New Roman"/>
                <w:b/>
                <w:bCs/>
                <w:color w:val="000000"/>
              </w:rPr>
            </w:pPr>
            <w:r>
              <w:rPr>
                <w:rFonts w:ascii="Times New Roman" w:hAnsi="Times New Roman"/>
                <w:b/>
                <w:bCs/>
                <w:color w:val="000000"/>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93" w:type="pct"/>
            <w:vAlign w:val="center"/>
          </w:tcPr>
          <w:p>
            <w:pPr>
              <w:adjustRightInd w:val="0"/>
              <w:snapToGrid w:val="0"/>
              <w:rPr>
                <w:rFonts w:ascii="Times New Roman" w:hAnsi="Times New Roman"/>
                <w:color w:val="000000"/>
              </w:rPr>
            </w:pPr>
            <w:r>
              <w:rPr>
                <w:rFonts w:ascii="Times New Roman" w:hAnsi="Times New Roman"/>
                <w:color w:val="000000"/>
              </w:rPr>
              <w:t>第二十六条  禁止在自然保护区内进行砍伐、放牧、狩猎、捕捞、采药、开垦、烧荒、开矿、采石、挖沙等活动；但是，法律、行政法规另有规定的除外。</w:t>
            </w:r>
          </w:p>
        </w:tc>
        <w:tc>
          <w:tcPr>
            <w:tcW w:w="1686" w:type="pct"/>
            <w:vAlign w:val="center"/>
          </w:tcPr>
          <w:p>
            <w:pPr>
              <w:adjustRightInd w:val="0"/>
              <w:snapToGrid w:val="0"/>
              <w:rPr>
                <w:rFonts w:ascii="Times New Roman" w:hAnsi="Times New Roman"/>
                <w:color w:val="000000"/>
              </w:rPr>
            </w:pPr>
            <w:r>
              <w:rPr>
                <w:rFonts w:ascii="Times New Roman" w:hAnsi="Times New Roman"/>
                <w:color w:val="000000"/>
              </w:rPr>
              <w:t>拟提质改造的2#泊位与城陵矶独立景点的二级保护区（不设三级保护区）边界最近直线距离约145m，新增的输煤皮带线位于城陵矶独立景点的外围保护地带范围内，与城陵矶独立景点的二级保护区的最近距离约10m。项目建设不涉及“第二十六条”中禁止活动。</w:t>
            </w:r>
          </w:p>
        </w:tc>
        <w:tc>
          <w:tcPr>
            <w:tcW w:w="421" w:type="pct"/>
            <w:vAlign w:val="center"/>
          </w:tcPr>
          <w:p>
            <w:pPr>
              <w:adjustRightInd w:val="0"/>
              <w:snapToGrid w:val="0"/>
              <w:jc w:val="center"/>
              <w:rPr>
                <w:rFonts w:ascii="Times New Roman" w:hAnsi="Times New Roman"/>
                <w:color w:val="000000"/>
              </w:rPr>
            </w:pPr>
            <w:r>
              <w:rPr>
                <w:rFonts w:ascii="Times New Roman" w:hAnsi="Times New Roman"/>
                <w:color w:val="00000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93" w:type="pct"/>
            <w:vAlign w:val="center"/>
          </w:tcPr>
          <w:p>
            <w:pPr>
              <w:adjustRightInd w:val="0"/>
              <w:snapToGrid w:val="0"/>
              <w:rPr>
                <w:rFonts w:ascii="Times New Roman" w:hAnsi="Times New Roman"/>
              </w:rPr>
            </w:pPr>
            <w:r>
              <w:rPr>
                <w:rFonts w:ascii="Times New Roman" w:hAnsi="Times New Roman"/>
                <w:b/>
                <w:bCs/>
              </w:rPr>
              <w:t>第二十六条</w:t>
            </w:r>
            <w:r>
              <w:rPr>
                <w:rFonts w:ascii="Times New Roman" w:hAnsi="Times New Roman"/>
              </w:rPr>
              <w:t xml:space="preserve">  在风景名胜区内禁止进行下列活动：</w:t>
            </w:r>
          </w:p>
          <w:p>
            <w:pPr>
              <w:adjustRightInd w:val="0"/>
              <w:snapToGrid w:val="0"/>
              <w:rPr>
                <w:rFonts w:ascii="Times New Roman" w:hAnsi="Times New Roman"/>
              </w:rPr>
            </w:pPr>
            <w:r>
              <w:rPr>
                <w:rFonts w:ascii="Times New Roman" w:hAnsi="Times New Roman"/>
              </w:rPr>
              <w:t>（一）开山、采石、开矿、开荒、修坟立碑等破坏景观、植被和地形地貌的活动；</w:t>
            </w:r>
          </w:p>
          <w:p>
            <w:pPr>
              <w:adjustRightInd w:val="0"/>
              <w:snapToGrid w:val="0"/>
              <w:rPr>
                <w:rFonts w:ascii="Times New Roman" w:hAnsi="Times New Roman"/>
              </w:rPr>
            </w:pPr>
            <w:r>
              <w:rPr>
                <w:rFonts w:ascii="Times New Roman" w:hAnsi="Times New Roman"/>
              </w:rPr>
              <w:t>（二）修建储存爆炸性、易燃性、放射性、毒害性、腐蚀性物品的设施；</w:t>
            </w:r>
          </w:p>
          <w:p>
            <w:pPr>
              <w:adjustRightInd w:val="0"/>
              <w:snapToGrid w:val="0"/>
              <w:rPr>
                <w:rFonts w:ascii="Times New Roman" w:hAnsi="Times New Roman"/>
              </w:rPr>
            </w:pPr>
            <w:r>
              <w:rPr>
                <w:rFonts w:ascii="Times New Roman" w:hAnsi="Times New Roman"/>
              </w:rPr>
              <w:t>（三）在景物或者设施上刻划、涂污；</w:t>
            </w:r>
          </w:p>
          <w:p>
            <w:pPr>
              <w:adjustRightInd w:val="0"/>
              <w:snapToGrid w:val="0"/>
              <w:rPr>
                <w:rFonts w:ascii="Times New Roman" w:hAnsi="Times New Roman"/>
                <w:b/>
                <w:color w:val="000000"/>
              </w:rPr>
            </w:pPr>
            <w:r>
              <w:rPr>
                <w:rFonts w:ascii="Times New Roman" w:hAnsi="Times New Roman"/>
              </w:rPr>
              <w:t>（四）乱扔垃圾。</w:t>
            </w:r>
          </w:p>
        </w:tc>
        <w:tc>
          <w:tcPr>
            <w:tcW w:w="1686" w:type="pct"/>
            <w:vAlign w:val="center"/>
          </w:tcPr>
          <w:p>
            <w:pPr>
              <w:adjustRightInd w:val="0"/>
              <w:snapToGrid w:val="0"/>
              <w:rPr>
                <w:rFonts w:ascii="Times New Roman" w:hAnsi="Times New Roman"/>
                <w:color w:val="000000"/>
              </w:rPr>
            </w:pPr>
            <w:r>
              <w:rPr>
                <w:rFonts w:ascii="Times New Roman" w:hAnsi="Times New Roman"/>
                <w:color w:val="000000"/>
              </w:rPr>
              <w:t>本项目位于城陵矶独立景点的外围保护地带范围内，不涉及特级、一级、二级和三级保护区。项目建设不涉及“第二十六条”中禁止活动。</w:t>
            </w:r>
          </w:p>
        </w:tc>
        <w:tc>
          <w:tcPr>
            <w:tcW w:w="421" w:type="pct"/>
            <w:vAlign w:val="center"/>
          </w:tcPr>
          <w:p>
            <w:pPr>
              <w:adjustRightInd w:val="0"/>
              <w:snapToGrid w:val="0"/>
              <w:jc w:val="center"/>
              <w:rPr>
                <w:rFonts w:ascii="Times New Roman" w:hAnsi="Times New Roman"/>
                <w:color w:val="000000"/>
              </w:rPr>
            </w:pPr>
            <w:r>
              <w:rPr>
                <w:rFonts w:ascii="Times New Roman" w:hAnsi="Times New Roman"/>
                <w:color w:val="00000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93" w:type="pct"/>
            <w:vAlign w:val="center"/>
          </w:tcPr>
          <w:p>
            <w:pPr>
              <w:adjustRightInd w:val="0"/>
              <w:snapToGrid w:val="0"/>
              <w:rPr>
                <w:rFonts w:ascii="Times New Roman" w:hAnsi="Times New Roman"/>
              </w:rPr>
            </w:pPr>
            <w:r>
              <w:rPr>
                <w:rFonts w:ascii="Times New Roman" w:hAnsi="Times New Roman"/>
                <w:b/>
                <w:bCs/>
              </w:rPr>
              <w:t>第二十七条</w:t>
            </w:r>
            <w:r>
              <w:rPr>
                <w:rFonts w:ascii="Times New Roman" w:hAnsi="Times New Roman"/>
              </w:rPr>
              <w:t xml:space="preserve">  禁止违反风景名胜区规划，在风景名胜区内设立各类开发区和在核心景区内建设宾馆、招待所、培训中心、疗养院以及与风景名胜资源保护无关的其他建筑物；已经建设的，应当按照风景名胜区规划，逐步迁出。</w:t>
            </w:r>
          </w:p>
        </w:tc>
        <w:tc>
          <w:tcPr>
            <w:tcW w:w="1686" w:type="pct"/>
            <w:vAlign w:val="center"/>
          </w:tcPr>
          <w:p>
            <w:pPr>
              <w:adjustRightInd w:val="0"/>
              <w:snapToGrid w:val="0"/>
              <w:rPr>
                <w:rFonts w:ascii="Times New Roman" w:hAnsi="Times New Roman"/>
                <w:color w:val="000000"/>
              </w:rPr>
            </w:pPr>
            <w:r>
              <w:rPr>
                <w:rFonts w:ascii="Times New Roman" w:hAnsi="Times New Roman"/>
                <w:color w:val="000000"/>
              </w:rPr>
              <w:t>本项目作为《岳阳港总体规划》的项目，虽位于城陵矶独立景点的外围保护地带范围内，但其提质改造工程内容不涉及违反风景名胜区“第二十七条”内容。</w:t>
            </w:r>
          </w:p>
        </w:tc>
        <w:tc>
          <w:tcPr>
            <w:tcW w:w="421" w:type="pct"/>
            <w:vAlign w:val="center"/>
          </w:tcPr>
          <w:p>
            <w:pPr>
              <w:adjustRightInd w:val="0"/>
              <w:snapToGrid w:val="0"/>
              <w:jc w:val="center"/>
              <w:rPr>
                <w:rFonts w:ascii="Times New Roman" w:hAnsi="Times New Roman"/>
                <w:color w:val="000000"/>
              </w:rPr>
            </w:pPr>
            <w:r>
              <w:rPr>
                <w:rFonts w:ascii="Times New Roman" w:hAnsi="Times New Roman"/>
                <w:color w:val="00000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93" w:type="pct"/>
            <w:vAlign w:val="center"/>
          </w:tcPr>
          <w:p>
            <w:pPr>
              <w:adjustRightInd w:val="0"/>
              <w:snapToGrid w:val="0"/>
              <w:rPr>
                <w:rFonts w:ascii="Times New Roman" w:hAnsi="Times New Roman"/>
              </w:rPr>
            </w:pPr>
            <w:r>
              <w:rPr>
                <w:rFonts w:ascii="Times New Roman" w:hAnsi="Times New Roman"/>
                <w:b/>
                <w:bCs/>
              </w:rPr>
              <w:t>第二十九条</w:t>
            </w:r>
            <w:r>
              <w:rPr>
                <w:rFonts w:ascii="Times New Roman" w:hAnsi="Times New Roman"/>
              </w:rPr>
              <w:t xml:space="preserve">  在风景名胜区内进行下列活动，应当经风景名胜区管理机构审核后，依照有关法律、法规的规定报有关主管部门批准：</w:t>
            </w:r>
          </w:p>
          <w:p>
            <w:pPr>
              <w:adjustRightInd w:val="0"/>
              <w:snapToGrid w:val="0"/>
              <w:rPr>
                <w:rFonts w:ascii="Times New Roman" w:hAnsi="Times New Roman"/>
              </w:rPr>
            </w:pPr>
            <w:r>
              <w:rPr>
                <w:rFonts w:ascii="Times New Roman" w:hAnsi="Times New Roman"/>
              </w:rPr>
              <w:t>（一）设置、张贴商业广告；</w:t>
            </w:r>
          </w:p>
          <w:p>
            <w:pPr>
              <w:adjustRightInd w:val="0"/>
              <w:snapToGrid w:val="0"/>
              <w:rPr>
                <w:rFonts w:ascii="Times New Roman" w:hAnsi="Times New Roman"/>
              </w:rPr>
            </w:pPr>
            <w:r>
              <w:rPr>
                <w:rFonts w:ascii="Times New Roman" w:hAnsi="Times New Roman"/>
              </w:rPr>
              <w:t>（二）举办大型游乐等活动；</w:t>
            </w:r>
          </w:p>
          <w:p>
            <w:pPr>
              <w:adjustRightInd w:val="0"/>
              <w:snapToGrid w:val="0"/>
              <w:rPr>
                <w:rFonts w:ascii="Times New Roman" w:hAnsi="Times New Roman"/>
              </w:rPr>
            </w:pPr>
            <w:r>
              <w:rPr>
                <w:rFonts w:ascii="Times New Roman" w:hAnsi="Times New Roman"/>
              </w:rPr>
              <w:t>（三）改变水资源、水环境自然状态的活动；</w:t>
            </w:r>
          </w:p>
          <w:p>
            <w:pPr>
              <w:adjustRightInd w:val="0"/>
              <w:snapToGrid w:val="0"/>
              <w:rPr>
                <w:rFonts w:ascii="Times New Roman" w:hAnsi="Times New Roman"/>
                <w:b/>
                <w:color w:val="000000"/>
              </w:rPr>
            </w:pPr>
            <w:r>
              <w:rPr>
                <w:rFonts w:ascii="Times New Roman" w:hAnsi="Times New Roman"/>
              </w:rPr>
              <w:t>（四）其他影响生态和景观的活动。</w:t>
            </w:r>
          </w:p>
        </w:tc>
        <w:tc>
          <w:tcPr>
            <w:tcW w:w="1686" w:type="pct"/>
            <w:vAlign w:val="center"/>
          </w:tcPr>
          <w:p>
            <w:pPr>
              <w:adjustRightInd w:val="0"/>
              <w:snapToGrid w:val="0"/>
              <w:rPr>
                <w:rFonts w:ascii="Times New Roman" w:hAnsi="Times New Roman"/>
                <w:color w:val="000000"/>
              </w:rPr>
            </w:pPr>
            <w:r>
              <w:rPr>
                <w:rFonts w:ascii="Times New Roman" w:hAnsi="Times New Roman"/>
                <w:color w:val="000000"/>
              </w:rPr>
              <w:t>本项目位于城陵矶独立景点的外围保护地带范围内，不涉及特级、一级、二级和三级保护区。项目建设不涉及“第二十九条”中禁止活动。</w:t>
            </w:r>
          </w:p>
        </w:tc>
        <w:tc>
          <w:tcPr>
            <w:tcW w:w="421" w:type="pct"/>
            <w:vAlign w:val="center"/>
          </w:tcPr>
          <w:p>
            <w:pPr>
              <w:adjustRightInd w:val="0"/>
              <w:snapToGrid w:val="0"/>
              <w:jc w:val="center"/>
              <w:rPr>
                <w:rFonts w:ascii="Times New Roman" w:hAnsi="Times New Roman"/>
                <w:color w:val="000000"/>
              </w:rPr>
            </w:pPr>
            <w:r>
              <w:rPr>
                <w:rFonts w:ascii="Times New Roman" w:hAnsi="Times New Roman"/>
                <w:color w:val="00000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893" w:type="pct"/>
            <w:vAlign w:val="center"/>
          </w:tcPr>
          <w:p>
            <w:pPr>
              <w:adjustRightInd w:val="0"/>
              <w:snapToGrid w:val="0"/>
              <w:rPr>
                <w:rFonts w:ascii="Times New Roman" w:hAnsi="Times New Roman"/>
              </w:rPr>
            </w:pPr>
            <w:r>
              <w:rPr>
                <w:rFonts w:ascii="Times New Roman" w:hAnsi="Times New Roman"/>
                <w:b/>
                <w:bCs/>
              </w:rPr>
              <w:t>第三十条</w:t>
            </w:r>
            <w:r>
              <w:rPr>
                <w:rFonts w:ascii="Times New Roman" w:hAnsi="Times New Roman"/>
              </w:rPr>
              <w:t xml:space="preserve">  风景名胜区内的建设项目应当符合风景名胜区规划，并与景观相协调，不得破坏景观、污染环境、妨碍游览。</w:t>
            </w:r>
          </w:p>
          <w:p>
            <w:pPr>
              <w:adjustRightInd w:val="0"/>
              <w:snapToGrid w:val="0"/>
              <w:rPr>
                <w:rFonts w:ascii="Times New Roman" w:hAnsi="Times New Roman"/>
              </w:rPr>
            </w:pPr>
            <w:r>
              <w:rPr>
                <w:rFonts w:ascii="Times New Roman" w:hAnsi="Times New Roman"/>
              </w:rPr>
              <w:t>在风景名胜区内进行建设活动的，建设单位、施工单位应当制定污染防治和水土保持方案，并采取有效措施，保护好周围景物、水体、林草植被、野生动物资源和地形地貌。</w:t>
            </w:r>
          </w:p>
        </w:tc>
        <w:tc>
          <w:tcPr>
            <w:tcW w:w="1686" w:type="pct"/>
            <w:vAlign w:val="center"/>
          </w:tcPr>
          <w:p>
            <w:pPr>
              <w:adjustRightInd w:val="0"/>
              <w:snapToGrid w:val="0"/>
              <w:rPr>
                <w:rFonts w:ascii="Times New Roman" w:hAnsi="Times New Roman"/>
                <w:color w:val="000000"/>
              </w:rPr>
            </w:pPr>
            <w:r>
              <w:rPr>
                <w:rFonts w:ascii="Times New Roman" w:hAnsi="Times New Roman"/>
                <w:color w:val="000000"/>
              </w:rPr>
              <w:t>本项目位于城陵矶独立景点的外围保护地带范围内，不涉及特级、一级、二级和三级保护区。项目建设不涉及“第三十条”中禁止活动。</w:t>
            </w:r>
          </w:p>
        </w:tc>
        <w:tc>
          <w:tcPr>
            <w:tcW w:w="421" w:type="pct"/>
            <w:vAlign w:val="center"/>
          </w:tcPr>
          <w:p>
            <w:pPr>
              <w:adjustRightInd w:val="0"/>
              <w:snapToGrid w:val="0"/>
              <w:jc w:val="center"/>
              <w:rPr>
                <w:rFonts w:ascii="Times New Roman" w:hAnsi="Times New Roman"/>
                <w:color w:val="000000"/>
              </w:rPr>
            </w:pPr>
            <w:r>
              <w:rPr>
                <w:rFonts w:ascii="Times New Roman" w:hAnsi="Times New Roman"/>
                <w:color w:val="000000"/>
              </w:rPr>
              <w:t>符合</w:t>
            </w:r>
          </w:p>
        </w:tc>
      </w:tr>
    </w:tbl>
    <w:p>
      <w:pPr>
        <w:adjustRightInd w:val="0"/>
        <w:snapToGrid w:val="0"/>
        <w:spacing w:line="360" w:lineRule="auto"/>
        <w:ind w:firstLine="480" w:firstLineChars="200"/>
        <w:rPr>
          <w:rFonts w:ascii="Times New Roman" w:hAnsi="Times New Roman" w:eastAsiaTheme="minorEastAsia"/>
          <w:color w:val="000000"/>
          <w:sz w:val="24"/>
          <w:szCs w:val="24"/>
        </w:rPr>
      </w:pP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sz w:val="24"/>
        </w:rPr>
        <w:t>经上述分析，本项目不会对岳阳楼-洞庭湖风景名胜区的城陵矶独立景点带来直接影响，项目建设与《风景名胜区管理条例》要求是不相冲突的。</w:t>
      </w:r>
    </w:p>
    <w:p>
      <w:pPr>
        <w:pStyle w:val="3"/>
        <w:rPr>
          <w:rFonts w:ascii="Times New Roman" w:hAnsi="Times New Roman" w:eastAsiaTheme="minorEastAsia"/>
          <w:b/>
          <w:szCs w:val="24"/>
        </w:rPr>
      </w:pPr>
      <w:bookmarkStart w:id="130" w:name="_Toc3071"/>
      <w:r>
        <w:rPr>
          <w:rFonts w:ascii="Times New Roman" w:hAnsi="Times New Roman" w:eastAsiaTheme="minorEastAsia"/>
          <w:b/>
        </w:rPr>
        <w:t>与“三线一单”的符合性分析</w:t>
      </w:r>
      <w:bookmarkEnd w:id="130"/>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1、与生态保护红线相符性分析</w:t>
      </w:r>
    </w:p>
    <w:p>
      <w:pPr>
        <w:adjustRightInd w:val="0"/>
        <w:snapToGrid w:val="0"/>
        <w:spacing w:line="360" w:lineRule="auto"/>
        <w:ind w:firstLine="504" w:firstLineChars="200"/>
        <w:rPr>
          <w:rFonts w:ascii="Times New Roman" w:hAnsi="Times New Roman" w:eastAsiaTheme="minorEastAsia"/>
          <w:spacing w:val="6"/>
          <w:kern w:val="0"/>
          <w:sz w:val="24"/>
          <w:szCs w:val="24"/>
        </w:rPr>
      </w:pPr>
      <w:r>
        <w:rPr>
          <w:rFonts w:ascii="Times New Roman" w:hAnsi="Times New Roman" w:eastAsiaTheme="minorEastAsia"/>
          <w:spacing w:val="6"/>
          <w:kern w:val="0"/>
          <w:sz w:val="24"/>
          <w:szCs w:val="24"/>
        </w:rPr>
        <w:t>根据《湖南省人民政府关于印发〈湖南省生态保护红线〉的通知》（湘政发〔2018〕20号）划定结果，湖南省生态保护红线划定面积为4.28万km</w:t>
      </w:r>
      <w:r>
        <w:rPr>
          <w:rFonts w:ascii="Times New Roman" w:hAnsi="Times New Roman" w:eastAsiaTheme="minorEastAsia"/>
          <w:spacing w:val="6"/>
          <w:kern w:val="0"/>
          <w:sz w:val="24"/>
          <w:szCs w:val="24"/>
          <w:vertAlign w:val="superscript"/>
        </w:rPr>
        <w:t>2</w:t>
      </w:r>
      <w:r>
        <w:rPr>
          <w:rFonts w:ascii="Times New Roman" w:hAnsi="Times New Roman" w:eastAsiaTheme="minorEastAsia"/>
          <w:spacing w:val="6"/>
          <w:kern w:val="0"/>
          <w:sz w:val="24"/>
          <w:szCs w:val="24"/>
        </w:rPr>
        <w:t>，占全省国土面积的20.23%。全省生态保护红线空间格局为“一湖三山四水”：“一湖”为洞庭湖（主要包括东洞庭湖、南洞庭湖、横岭湖、西洞庭湖等自然保护区和长江岸线），主要生态功能为生物多样性维护、洪水调蓄。“三山”包括武陵-雪峰山脉生态屏障，主要生态功能为生物多样性维护与水土保持；罗霄-幕阜山脉生态屏障，主要生态功能为生物多样性维护、水源涵养和水土保持；南岭山脉生态屏障，主要生态功能为水源涵养和生物多样性维护，其中南岭山脉生态屏障是南方丘陵山地带的重要组成部分。“四水”为湘资沅澧（湘江、资水、沅江、澧水）的源头区及重要水域。</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通过本项目选址位置与湖南省生态保护红线区域的位置关系对比，本项目不涉及生态红线保护区，距离本项目最近的生态红线保护区域为东洞庭湖国家级自然保护区，最近直线距离约3.0km。因此，本项目符合生态保护红线要求。</w:t>
      </w:r>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2、环境质量底线</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本项目营运期船舶废水由船舶交给海事部门环保船接收处理，码头生活污水、码头冲洗水、初期雨水经码头后方管理用房污水处理设施处理后用作绿化，不排入</w:t>
      </w:r>
      <w:r>
        <w:rPr>
          <w:rFonts w:ascii="Times New Roman" w:hAnsi="Times New Roman" w:eastAsiaTheme="minorEastAsia"/>
          <w:kern w:val="0"/>
          <w:sz w:val="24"/>
          <w:szCs w:val="24"/>
        </w:rPr>
        <w:t>长江</w:t>
      </w:r>
      <w:r>
        <w:rPr>
          <w:rFonts w:ascii="Times New Roman" w:hAnsi="Times New Roman" w:eastAsiaTheme="minorEastAsia"/>
          <w:color w:val="000000"/>
          <w:sz w:val="24"/>
          <w:szCs w:val="24"/>
        </w:rPr>
        <w:t>；码头前方作业区周边200m范围内无居民点等敏感点，项目噪声不会产生扰民现象；固废全部处置。因此，本项目固废全部处置，废气、废水经处理后可达标排放，噪声不会产生扰民现象，不会改变区域环境质量，满足环境质量底线要求。</w:t>
      </w:r>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3、资源利用上线</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本项目位于城陵矶集镇区东北侧1.5km处，本项目所需水、电供给较为便利，也未突破区域资源消耗的上线。</w:t>
      </w:r>
    </w:p>
    <w:p>
      <w:pPr>
        <w:adjustRightInd w:val="0"/>
        <w:snapToGrid w:val="0"/>
        <w:spacing w:line="360" w:lineRule="auto"/>
        <w:ind w:firstLine="482" w:firstLineChars="200"/>
        <w:rPr>
          <w:rFonts w:ascii="Times New Roman" w:hAnsi="Times New Roman" w:eastAsiaTheme="minorEastAsia"/>
          <w:b/>
          <w:color w:val="000000"/>
          <w:sz w:val="24"/>
          <w:szCs w:val="24"/>
        </w:rPr>
      </w:pPr>
      <w:r>
        <w:rPr>
          <w:rFonts w:ascii="Times New Roman" w:hAnsi="Times New Roman" w:eastAsiaTheme="minorEastAsia"/>
          <w:b/>
          <w:color w:val="000000"/>
          <w:sz w:val="24"/>
          <w:szCs w:val="24"/>
        </w:rPr>
        <w:t>4、环境准入负面清单</w:t>
      </w:r>
    </w:p>
    <w:p>
      <w:pPr>
        <w:tabs>
          <w:tab w:val="left" w:pos="900"/>
        </w:tabs>
        <w:snapToGrid w:val="0"/>
        <w:spacing w:line="360" w:lineRule="auto"/>
        <w:ind w:firstLine="480" w:firstLineChars="200"/>
        <w:rPr>
          <w:rFonts w:ascii="Times New Roman" w:hAnsi="Times New Roman"/>
          <w:color w:val="000000"/>
          <w:sz w:val="24"/>
        </w:rPr>
      </w:pPr>
      <w:r>
        <w:rPr>
          <w:rFonts w:ascii="Times New Roman" w:hAnsi="Times New Roman"/>
          <w:color w:val="000000"/>
          <w:sz w:val="24"/>
        </w:rPr>
        <w:t>根据“湖南省发展和改革委员会关于印发《湖南省国家重点生态功能区产业准入负面清单》的通知”（湘发改规划〔2018〕373号）和“湖南省发展和改革委员会关于印发《湖南省新增19个国家重点生态功能区产业准入负面清单（试行）》的通知”（湘发改规划〔2018〕972号），本项目未纳入湖南省的产业准入负面清单。</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根据《长江经济带发展负面清单指南（试行）》（第89号）指出，禁止建设不符合全国和省级港口布局规划以及港口体现划的码头项目，禁止建设不符合《长江干线过江通道布局规划》的过长江通道项目；禁止在自然保护区核心区、缓冲区的岸线和河段范围内投资建设旅游和生产经营项目。禁止在风景名胜区核心景区的岸线和河段范围内投资建设与风景名胜资源保护无关的项目；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p>
      <w:pPr>
        <w:adjustRightInd w:val="0"/>
        <w:snapToGrid w:val="0"/>
        <w:spacing w:line="360" w:lineRule="auto"/>
        <w:ind w:firstLine="480" w:firstLineChars="200"/>
        <w:rPr>
          <w:rFonts w:ascii="Times New Roman" w:hAnsi="Times New Roman" w:eastAsiaTheme="minorEastAsia"/>
          <w:color w:val="000000"/>
          <w:sz w:val="24"/>
          <w:szCs w:val="24"/>
        </w:rPr>
      </w:pPr>
      <w:r>
        <w:rPr>
          <w:rFonts w:ascii="Times New Roman" w:hAnsi="Times New Roman" w:eastAsiaTheme="minorEastAsia"/>
          <w:color w:val="000000"/>
          <w:sz w:val="24"/>
          <w:szCs w:val="24"/>
        </w:rPr>
        <w:t>本项目属于《岳阳港总体规划》的码头项目，并且不在自然保护区及饮用水水源保护区范围内，本项目不属于所在长江经济带发展负面清单列明的项目。</w:t>
      </w:r>
    </w:p>
    <w:p>
      <w:pPr>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本项目不在生态保护红线范围内，项目的建设不会造成所在区域环境质量下降或恶化，符合资源利用上限中相关规定，且不属于港口岸线利用功能准入负面清单中所列明的禁止项目，符合“三线一单”的要求。</w:t>
      </w:r>
    </w:p>
    <w:p>
      <w:pPr>
        <w:pStyle w:val="3"/>
        <w:rPr>
          <w:rFonts w:ascii="Times New Roman" w:hAnsi="Times New Roman" w:eastAsiaTheme="minorEastAsia"/>
          <w:b/>
        </w:rPr>
      </w:pPr>
      <w:bookmarkStart w:id="131" w:name="_Toc25310"/>
      <w:r>
        <w:rPr>
          <w:rFonts w:ascii="Times New Roman" w:hAnsi="Times New Roman" w:eastAsiaTheme="minorEastAsia"/>
          <w:b/>
        </w:rPr>
        <w:t>选址的可行性</w:t>
      </w:r>
      <w:bookmarkEnd w:id="131"/>
    </w:p>
    <w:p>
      <w:pPr>
        <w:pStyle w:val="6"/>
        <w:ind w:firstLine="480"/>
        <w:rPr>
          <w:rFonts w:cs="Times New Roman" w:eastAsiaTheme="minorEastAsia"/>
          <w:color w:val="000000"/>
          <w:szCs w:val="24"/>
        </w:rPr>
      </w:pPr>
      <w:r>
        <w:rPr>
          <w:rFonts w:cs="Times New Roman" w:eastAsiaTheme="minorEastAsia"/>
          <w:color w:val="000000"/>
          <w:szCs w:val="24"/>
        </w:rPr>
        <w:t>本项目位于岳阳市城陵矶港区松阳湖作业区，蒙华铁路长江大桥下游5.1km的长江右岸。</w:t>
      </w:r>
    </w:p>
    <w:p>
      <w:pPr>
        <w:pStyle w:val="6"/>
        <w:ind w:firstLine="482"/>
        <w:rPr>
          <w:rFonts w:cs="Times New Roman" w:eastAsiaTheme="minorEastAsia"/>
          <w:b/>
          <w:color w:val="000000"/>
          <w:szCs w:val="24"/>
        </w:rPr>
      </w:pPr>
      <w:r>
        <w:rPr>
          <w:rFonts w:cs="Times New Roman" w:eastAsiaTheme="minorEastAsia"/>
          <w:b/>
          <w:color w:val="000000"/>
          <w:szCs w:val="24"/>
        </w:rPr>
        <w:t>1、工程选址的地质及水域条件</w:t>
      </w:r>
    </w:p>
    <w:p>
      <w:pPr>
        <w:pStyle w:val="6"/>
        <w:ind w:firstLine="480"/>
        <w:rPr>
          <w:rFonts w:cs="Times New Roman" w:eastAsiaTheme="minorEastAsia"/>
          <w:color w:val="000000"/>
          <w:szCs w:val="24"/>
        </w:rPr>
      </w:pPr>
      <w:r>
        <w:rPr>
          <w:rFonts w:cs="Times New Roman" w:eastAsiaTheme="minorEastAsia"/>
          <w:color w:val="000000"/>
          <w:szCs w:val="24"/>
        </w:rPr>
        <w:t>拟建码头河段河床稳定，前沿江面宽阔，水深条件较好，无需疏浚。工程范围内的地质条件较好，适用于桩基结构。码头建成后，码头前满足水深和航行条件，其前水域在不影响主航道的前提下，可满足停泊水域及回旋水域宽度要求。</w:t>
      </w:r>
      <w:r>
        <w:rPr>
          <w:rFonts w:cs="Times New Roman" w:eastAsiaTheme="minorEastAsia"/>
          <w:bCs/>
          <w:szCs w:val="24"/>
        </w:rPr>
        <w:t>拟建码头与大桥的距离也满足《河港工程总体设计规范》（JTJ212-2006）中对桥梁下游新建码头距离需大于4倍设计船长的要求。</w:t>
      </w:r>
    </w:p>
    <w:p>
      <w:pPr>
        <w:pStyle w:val="6"/>
        <w:ind w:firstLine="480"/>
        <w:rPr>
          <w:rFonts w:cs="Times New Roman" w:eastAsiaTheme="minorEastAsia"/>
          <w:color w:val="000000"/>
          <w:szCs w:val="24"/>
        </w:rPr>
      </w:pPr>
      <w:r>
        <w:rPr>
          <w:rFonts w:cs="Times New Roman" w:eastAsiaTheme="minorEastAsia"/>
          <w:color w:val="000000"/>
          <w:szCs w:val="24"/>
        </w:rPr>
        <w:t>因此，码头的建设区域，满足航道安全通航的相关要求。</w:t>
      </w:r>
    </w:p>
    <w:p>
      <w:pPr>
        <w:pStyle w:val="6"/>
        <w:ind w:firstLine="482"/>
        <w:rPr>
          <w:rFonts w:cs="Times New Roman" w:eastAsiaTheme="minorEastAsia"/>
          <w:b/>
          <w:color w:val="000000"/>
          <w:szCs w:val="24"/>
        </w:rPr>
      </w:pPr>
      <w:r>
        <w:rPr>
          <w:rFonts w:cs="Times New Roman" w:eastAsiaTheme="minorEastAsia"/>
          <w:b/>
          <w:color w:val="000000"/>
          <w:szCs w:val="24"/>
        </w:rPr>
        <w:t>2、交通运输的便捷性</w:t>
      </w:r>
    </w:p>
    <w:p>
      <w:pPr>
        <w:pStyle w:val="6"/>
        <w:ind w:firstLine="480"/>
        <w:rPr>
          <w:rFonts w:cs="Times New Roman" w:eastAsiaTheme="minorEastAsia"/>
          <w:bCs/>
          <w:szCs w:val="24"/>
        </w:rPr>
      </w:pPr>
      <w:r>
        <w:rPr>
          <w:rFonts w:cs="Times New Roman" w:eastAsiaTheme="minorEastAsia"/>
          <w:bCs/>
          <w:szCs w:val="24"/>
        </w:rPr>
        <w:t>本项目港外交通条件较好，港区后方靠近S201，可与G107、G56杭瑞高速连接，能快捷到达市区各处。码头接S201约1.6km；由城陵矶接岳临高速约7.7km，公路运输十分便捷。此外，蒙华铁路从周边经过，码头处面临长江</w:t>
      </w:r>
      <w:r>
        <w:rPr>
          <w:rFonts w:hint="eastAsia" w:ascii="宋体" w:hAnsi="宋体" w:cs="宋体"/>
          <w:bCs/>
          <w:szCs w:val="24"/>
        </w:rPr>
        <w:t>Ⅰ</w:t>
      </w:r>
      <w:r>
        <w:rPr>
          <w:rFonts w:cs="Times New Roman" w:eastAsiaTheme="minorEastAsia"/>
          <w:bCs/>
          <w:szCs w:val="24"/>
        </w:rPr>
        <w:t>级航道，水路条件优越。</w:t>
      </w:r>
    </w:p>
    <w:p>
      <w:pPr>
        <w:pStyle w:val="6"/>
        <w:ind w:firstLine="480"/>
        <w:rPr>
          <w:rFonts w:cs="Times New Roman" w:eastAsiaTheme="minorEastAsia"/>
          <w:bCs/>
          <w:szCs w:val="24"/>
        </w:rPr>
      </w:pPr>
      <w:r>
        <w:rPr>
          <w:rFonts w:cs="Times New Roman" w:eastAsiaTheme="minorEastAsia"/>
          <w:bCs/>
          <w:szCs w:val="24"/>
        </w:rPr>
        <w:t>综上，港区水陆交通条件极其优越。</w:t>
      </w:r>
    </w:p>
    <w:p>
      <w:pPr>
        <w:pStyle w:val="6"/>
        <w:ind w:firstLine="466"/>
        <w:rPr>
          <w:rFonts w:cs="Times New Roman" w:eastAsiaTheme="minorEastAsia"/>
          <w:b/>
          <w:color w:val="000000"/>
          <w:spacing w:val="-4"/>
          <w:szCs w:val="24"/>
        </w:rPr>
      </w:pPr>
      <w:r>
        <w:rPr>
          <w:rFonts w:cs="Times New Roman" w:eastAsiaTheme="minorEastAsia"/>
          <w:b/>
          <w:color w:val="000000"/>
          <w:spacing w:val="-4"/>
          <w:szCs w:val="24"/>
        </w:rPr>
        <w:t>3、供水、供电等配套设施的完整性</w:t>
      </w:r>
    </w:p>
    <w:p>
      <w:pPr>
        <w:pStyle w:val="6"/>
        <w:ind w:firstLine="480"/>
        <w:rPr>
          <w:rFonts w:cs="Times New Roman" w:eastAsiaTheme="minorEastAsia"/>
          <w:color w:val="000000"/>
          <w:szCs w:val="24"/>
        </w:rPr>
      </w:pPr>
      <w:r>
        <w:rPr>
          <w:rFonts w:cs="Times New Roman" w:eastAsiaTheme="minorEastAsia"/>
          <w:bCs/>
          <w:szCs w:val="24"/>
        </w:rPr>
        <w:t>本项目给水、排水、供电、电信均可依托公共设施，项目后方陆域开阔，地质条件较好，施工便利。</w:t>
      </w:r>
    </w:p>
    <w:p>
      <w:pPr>
        <w:pStyle w:val="3"/>
        <w:rPr>
          <w:rFonts w:ascii="Times New Roman" w:hAnsi="Times New Roman" w:eastAsiaTheme="minorEastAsia"/>
          <w:b/>
        </w:rPr>
      </w:pPr>
      <w:bookmarkStart w:id="132" w:name="_Toc423004649"/>
      <w:bookmarkStart w:id="133" w:name="_Toc24844"/>
      <w:r>
        <w:rPr>
          <w:rFonts w:ascii="Times New Roman" w:hAnsi="Times New Roman" w:eastAsiaTheme="minorEastAsia"/>
          <w:b/>
        </w:rPr>
        <w:t>平面布置的合理性</w:t>
      </w:r>
      <w:bookmarkEnd w:id="132"/>
      <w:bookmarkEnd w:id="133"/>
    </w:p>
    <w:p>
      <w:pPr>
        <w:pStyle w:val="6"/>
        <w:ind w:firstLine="480"/>
        <w:rPr>
          <w:rFonts w:cs="Times New Roman" w:eastAsiaTheme="minorEastAsia"/>
          <w:bCs/>
          <w:szCs w:val="24"/>
        </w:rPr>
      </w:pPr>
      <w:r>
        <w:rPr>
          <w:rFonts w:hint="eastAsia" w:ascii="宋体" w:hAnsi="宋体" w:cs="宋体"/>
          <w:bCs/>
          <w:szCs w:val="24"/>
        </w:rPr>
        <w:t>⑴</w:t>
      </w:r>
      <w:r>
        <w:rPr>
          <w:rFonts w:cs="Times New Roman"/>
          <w:bCs/>
          <w:szCs w:val="24"/>
        </w:rPr>
        <w:t xml:space="preserve"> </w:t>
      </w:r>
      <w:r>
        <w:rPr>
          <w:rFonts w:cs="Times New Roman" w:eastAsiaTheme="minorEastAsia"/>
          <w:bCs/>
          <w:szCs w:val="24"/>
        </w:rPr>
        <w:t>港区陆域按生产区、辅助生产区的使用功能分区布置。港区陆域布置结合装卸工艺流程和自然条件合理组织各种运输系统，使港区用电和用水合理，减少相互干扰。</w:t>
      </w:r>
    </w:p>
    <w:p>
      <w:pPr>
        <w:pStyle w:val="6"/>
        <w:ind w:firstLine="480"/>
        <w:rPr>
          <w:rFonts w:cs="Times New Roman" w:eastAsiaTheme="minorEastAsia"/>
          <w:bCs/>
          <w:szCs w:val="24"/>
        </w:rPr>
      </w:pPr>
      <w:r>
        <w:rPr>
          <w:rFonts w:hint="eastAsia" w:ascii="宋体" w:hAnsi="宋体" w:cs="宋体"/>
          <w:bCs/>
          <w:szCs w:val="24"/>
        </w:rPr>
        <w:t>⑵</w:t>
      </w:r>
      <w:r>
        <w:rPr>
          <w:rFonts w:cs="Times New Roman"/>
          <w:bCs/>
          <w:szCs w:val="24"/>
        </w:rPr>
        <w:t xml:space="preserve"> </w:t>
      </w:r>
      <w:r>
        <w:rPr>
          <w:rFonts w:cs="Times New Roman" w:eastAsiaTheme="minorEastAsia"/>
          <w:bCs/>
          <w:szCs w:val="24"/>
        </w:rPr>
        <w:t>码头的布置满足装卸机械经济运距的要求，减少水平运输距离。</w:t>
      </w:r>
    </w:p>
    <w:p>
      <w:pPr>
        <w:pStyle w:val="6"/>
        <w:ind w:firstLine="480"/>
        <w:rPr>
          <w:rFonts w:cs="Times New Roman" w:eastAsiaTheme="minorEastAsia"/>
          <w:bCs/>
          <w:szCs w:val="24"/>
        </w:rPr>
      </w:pPr>
      <w:r>
        <w:rPr>
          <w:rFonts w:hint="eastAsia" w:ascii="宋体" w:hAnsi="宋体" w:cs="宋体"/>
          <w:bCs/>
          <w:szCs w:val="24"/>
        </w:rPr>
        <w:t>⑶</w:t>
      </w:r>
      <w:r>
        <w:rPr>
          <w:rFonts w:cs="Times New Roman"/>
          <w:bCs/>
          <w:szCs w:val="24"/>
        </w:rPr>
        <w:t xml:space="preserve"> </w:t>
      </w:r>
      <w:r>
        <w:rPr>
          <w:rFonts w:cs="Times New Roman" w:eastAsiaTheme="minorEastAsia"/>
          <w:bCs/>
          <w:szCs w:val="24"/>
        </w:rPr>
        <w:t>码头作业线协调布置有利于安全生产和方便船舶及物流运转，节约能源、降低能耗。</w:t>
      </w:r>
    </w:p>
    <w:p>
      <w:pPr>
        <w:pStyle w:val="6"/>
        <w:ind w:firstLine="480"/>
        <w:rPr>
          <w:rFonts w:cs="Times New Roman" w:eastAsiaTheme="minorEastAsia"/>
          <w:bCs/>
          <w:szCs w:val="24"/>
        </w:rPr>
      </w:pPr>
      <w:r>
        <w:rPr>
          <w:rFonts w:hint="eastAsia" w:ascii="宋体" w:hAnsi="宋体" w:cs="宋体"/>
          <w:bCs/>
          <w:szCs w:val="24"/>
        </w:rPr>
        <w:t>⑷</w:t>
      </w:r>
      <w:r>
        <w:rPr>
          <w:rFonts w:cs="Times New Roman"/>
          <w:bCs/>
          <w:szCs w:val="24"/>
        </w:rPr>
        <w:t xml:space="preserve"> </w:t>
      </w:r>
      <w:r>
        <w:rPr>
          <w:rFonts w:cs="Times New Roman" w:eastAsiaTheme="minorEastAsia"/>
          <w:bCs/>
          <w:szCs w:val="24"/>
        </w:rPr>
        <w:t>港区布置时，考虑了风向及水流流向对周围环境及水质的影响，同时码头布局与总体布局相互协调。</w:t>
      </w:r>
    </w:p>
    <w:p>
      <w:pPr>
        <w:pStyle w:val="6"/>
        <w:ind w:firstLine="480"/>
        <w:rPr>
          <w:rFonts w:cs="Times New Roman" w:eastAsiaTheme="minorEastAsia"/>
          <w:bCs/>
          <w:szCs w:val="24"/>
        </w:rPr>
      </w:pPr>
      <w:r>
        <w:rPr>
          <w:rFonts w:hint="eastAsia" w:ascii="宋体" w:hAnsi="宋体" w:cs="宋体"/>
          <w:bCs/>
          <w:szCs w:val="24"/>
        </w:rPr>
        <w:t>⑸</w:t>
      </w:r>
      <w:r>
        <w:rPr>
          <w:rFonts w:cs="Times New Roman"/>
          <w:bCs/>
          <w:szCs w:val="24"/>
        </w:rPr>
        <w:t xml:space="preserve"> </w:t>
      </w:r>
      <w:r>
        <w:rPr>
          <w:rFonts w:cs="Times New Roman" w:eastAsiaTheme="minorEastAsia"/>
          <w:bCs/>
          <w:szCs w:val="24"/>
        </w:rPr>
        <w:t>码头前沿线的位置确定，结合了地形特点及码头使用要求，合理利用了天然水深，以尽量降低工程造价。</w:t>
      </w:r>
    </w:p>
    <w:p>
      <w:pPr>
        <w:pStyle w:val="6"/>
        <w:ind w:firstLine="480"/>
        <w:rPr>
          <w:rFonts w:cs="Times New Roman" w:eastAsiaTheme="minorEastAsia"/>
          <w:bCs/>
          <w:szCs w:val="24"/>
        </w:rPr>
      </w:pPr>
      <w:r>
        <w:rPr>
          <w:rFonts w:hint="eastAsia" w:ascii="宋体" w:hAnsi="宋体" w:cs="宋体"/>
          <w:bCs/>
          <w:szCs w:val="24"/>
        </w:rPr>
        <w:t>⑹</w:t>
      </w:r>
      <w:r>
        <w:rPr>
          <w:rFonts w:cs="Times New Roman"/>
          <w:bCs/>
          <w:szCs w:val="24"/>
        </w:rPr>
        <w:t xml:space="preserve"> </w:t>
      </w:r>
      <w:r>
        <w:rPr>
          <w:rFonts w:cs="Times New Roman" w:eastAsiaTheme="minorEastAsia"/>
          <w:bCs/>
          <w:szCs w:val="24"/>
        </w:rPr>
        <w:t>总平面布置时，结合港区地形地质条件，综合考虑了码头建成后对河床冲淤变化的影响及对岸坡稳定的影响。</w:t>
      </w:r>
    </w:p>
    <w:p>
      <w:pPr>
        <w:pStyle w:val="6"/>
        <w:ind w:firstLine="480"/>
        <w:rPr>
          <w:rFonts w:cs="Times New Roman" w:eastAsiaTheme="minorEastAsia"/>
          <w:bCs/>
          <w:szCs w:val="24"/>
        </w:rPr>
      </w:pPr>
      <w:r>
        <w:rPr>
          <w:rFonts w:hint="eastAsia" w:ascii="宋体" w:hAnsi="宋体" w:cs="宋体"/>
          <w:bCs/>
          <w:szCs w:val="24"/>
        </w:rPr>
        <w:t>⑺</w:t>
      </w:r>
      <w:r>
        <w:rPr>
          <w:rFonts w:cs="Times New Roman"/>
          <w:bCs/>
          <w:szCs w:val="24"/>
        </w:rPr>
        <w:t xml:space="preserve"> </w:t>
      </w:r>
      <w:r>
        <w:rPr>
          <w:rFonts w:cs="Times New Roman" w:eastAsiaTheme="minorEastAsia"/>
          <w:bCs/>
          <w:szCs w:val="24"/>
        </w:rPr>
        <w:t>港区符合《岳阳港口总体规划》中对港区作业区划分和泊位布置。进港道路与规划道路网能良好衔接。</w:t>
      </w:r>
    </w:p>
    <w:p>
      <w:pPr>
        <w:pStyle w:val="6"/>
        <w:ind w:firstLine="480"/>
        <w:rPr>
          <w:rFonts w:cs="Times New Roman" w:eastAsiaTheme="minorEastAsia"/>
          <w:bCs/>
          <w:szCs w:val="24"/>
        </w:rPr>
      </w:pPr>
      <w:r>
        <w:rPr>
          <w:rFonts w:hint="eastAsia" w:ascii="宋体" w:hAnsi="宋体" w:cs="宋体"/>
          <w:bCs/>
          <w:szCs w:val="24"/>
        </w:rPr>
        <w:t>⑻</w:t>
      </w:r>
      <w:r>
        <w:rPr>
          <w:rFonts w:cs="Times New Roman"/>
          <w:bCs/>
          <w:szCs w:val="24"/>
        </w:rPr>
        <w:t xml:space="preserve"> </w:t>
      </w:r>
      <w:r>
        <w:rPr>
          <w:rFonts w:cs="Times New Roman" w:eastAsiaTheme="minorEastAsia"/>
          <w:bCs/>
          <w:szCs w:val="24"/>
        </w:rPr>
        <w:t>本项目总平面布置应符合《港口工程环境保护设计规范》（JTS149-1-2007）、《河港工程总体设计规范》（JTJ212-2006）、《港口工程劳动安全卫生设计规定》（JT320-1997）、《工业企业设计卫生标准》（GBZ 1-2010）、《生产过程安全卫生要求总则》（GB/T12801-2008）等有关要求。</w:t>
      </w:r>
    </w:p>
    <w:p>
      <w:pPr>
        <w:pStyle w:val="6"/>
        <w:ind w:firstLine="480"/>
        <w:rPr>
          <w:rFonts w:cs="Times New Roman" w:eastAsiaTheme="minorEastAsia"/>
          <w:bCs/>
          <w:szCs w:val="24"/>
        </w:rPr>
      </w:pPr>
      <w:r>
        <w:rPr>
          <w:rFonts w:cs="Times New Roman" w:eastAsiaTheme="minorEastAsia"/>
          <w:bCs/>
          <w:szCs w:val="24"/>
        </w:rPr>
        <w:t>因此，本项目平面布置是合理的。</w:t>
      </w:r>
    </w:p>
    <w:p>
      <w:pPr>
        <w:pStyle w:val="3"/>
        <w:rPr>
          <w:rFonts w:ascii="Times New Roman" w:hAnsi="Times New Roman" w:eastAsiaTheme="minorEastAsia"/>
          <w:b/>
        </w:rPr>
      </w:pPr>
      <w:bookmarkStart w:id="134" w:name="_Toc2958"/>
      <w:r>
        <w:rPr>
          <w:rFonts w:ascii="Times New Roman" w:hAnsi="Times New Roman" w:eastAsiaTheme="minorEastAsia"/>
          <w:b/>
        </w:rPr>
        <w:t>环境制约因素及解决方案</w:t>
      </w:r>
      <w:bookmarkEnd w:id="134"/>
    </w:p>
    <w:p>
      <w:pPr>
        <w:pStyle w:val="4"/>
        <w:rPr>
          <w:rFonts w:eastAsiaTheme="minorEastAsia"/>
          <w:color w:val="000000" w:themeColor="text1"/>
          <w14:textFill>
            <w14:solidFill>
              <w14:schemeClr w14:val="tx1"/>
            </w14:solidFill>
          </w14:textFill>
        </w:rPr>
      </w:pPr>
      <w:r>
        <w:t>洞庭湖口铜鱼短颌鲚水产种质资源保护区</w:t>
      </w:r>
    </w:p>
    <w:p>
      <w:pPr>
        <w:tabs>
          <w:tab w:val="left" w:pos="900"/>
        </w:tabs>
        <w:snapToGrid w:val="0"/>
        <w:spacing w:line="360" w:lineRule="auto"/>
        <w:ind w:firstLine="482" w:firstLineChars="200"/>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1、制约因素</w:t>
      </w:r>
    </w:p>
    <w:p>
      <w:pPr>
        <w:tabs>
          <w:tab w:val="left" w:pos="900"/>
        </w:tabs>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本项目水域工程位于洞庭湖口铜鱼短颌鲚水产种质资源保护区的实验区范围内。</w:t>
      </w:r>
    </w:p>
    <w:p>
      <w:pPr>
        <w:tabs>
          <w:tab w:val="left" w:pos="900"/>
        </w:tabs>
        <w:snapToGrid w:val="0"/>
        <w:spacing w:line="360" w:lineRule="auto"/>
        <w:ind w:firstLine="482" w:firstLineChars="200"/>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2、解决方法</w:t>
      </w:r>
    </w:p>
    <w:p>
      <w:pPr>
        <w:tabs>
          <w:tab w:val="left" w:pos="900"/>
        </w:tabs>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⑴</w:t>
      </w:r>
      <w:r>
        <w:rPr>
          <w:rFonts w:ascii="Times New Roman" w:hAnsi="Times New Roman" w:eastAsiaTheme="minorEastAsia"/>
          <w:color w:val="000000" w:themeColor="text1"/>
          <w:sz w:val="24"/>
          <w:szCs w:val="24"/>
          <w14:textFill>
            <w14:solidFill>
              <w14:schemeClr w14:val="tx1"/>
            </w14:solidFill>
          </w14:textFill>
        </w:rPr>
        <w:t xml:space="preserve"> 建设单位已委托华中师范大学编制了《华能岳阳电厂码头及岸线综合利用工程对洞庭湖口铜鱼短颌鲚水产种质资源保护区影响专题论证报告》，现已征得主管单位岳阳市洞庭湖江豚保护中心同意意见，见附件</w:t>
      </w:r>
      <w:r>
        <w:rPr>
          <w:rFonts w:hint="eastAsia" w:ascii="Times New Roman" w:hAnsi="Times New Roman" w:eastAsiaTheme="minorEastAsia"/>
          <w:color w:val="000000" w:themeColor="text1"/>
          <w:sz w:val="24"/>
          <w:szCs w:val="24"/>
          <w:lang w:val="en-US" w:eastAsia="zh-CN"/>
          <w14:textFill>
            <w14:solidFill>
              <w14:schemeClr w14:val="tx1"/>
            </w14:solidFill>
          </w14:textFill>
        </w:rPr>
        <w:t>8</w:t>
      </w:r>
      <w:r>
        <w:rPr>
          <w:rFonts w:ascii="Times New Roman" w:hAnsi="Times New Roman" w:eastAsiaTheme="minorEastAsia"/>
          <w:color w:val="000000" w:themeColor="text1"/>
          <w:sz w:val="24"/>
          <w:szCs w:val="24"/>
          <w14:textFill>
            <w14:solidFill>
              <w14:schemeClr w14:val="tx1"/>
            </w14:solidFill>
          </w14:textFill>
        </w:rPr>
        <w:t>。</w:t>
      </w:r>
      <w:r>
        <w:rPr>
          <w:rFonts w:hint="eastAsia" w:ascii="Times New Roman" w:hAnsi="Times New Roman" w:eastAsiaTheme="minorEastAsia"/>
          <w:color w:val="000000" w:themeColor="text1"/>
          <w:sz w:val="24"/>
          <w:szCs w:val="24"/>
          <w:lang w:val="en-US" w:eastAsia="zh-CN"/>
          <w14:textFill>
            <w14:solidFill>
              <w14:schemeClr w14:val="tx1"/>
            </w14:solidFill>
          </w14:textFill>
        </w:rPr>
        <w:t>2020年9月</w:t>
      </w:r>
      <w:r>
        <w:rPr>
          <w:rFonts w:ascii="Times New Roman" w:hAnsi="Times New Roman" w:eastAsiaTheme="minorEastAsia"/>
          <w:color w:val="000000" w:themeColor="text1"/>
          <w:sz w:val="24"/>
          <w:szCs w:val="24"/>
          <w14:textFill>
            <w14:solidFill>
              <w14:schemeClr w14:val="tx1"/>
            </w14:solidFill>
          </w14:textFill>
        </w:rPr>
        <w:t>，《华能岳阳电厂码头及岸线综合利用工程对洞庭湖口铜鱼短颌鲚水产种质资源保护区影响专题论证报告》</w:t>
      </w:r>
      <w:r>
        <w:rPr>
          <w:rFonts w:hint="eastAsia" w:ascii="Times New Roman" w:hAnsi="Times New Roman" w:eastAsiaTheme="minorEastAsia"/>
          <w:color w:val="000000" w:themeColor="text1"/>
          <w:sz w:val="24"/>
          <w:szCs w:val="24"/>
          <w:lang w:eastAsia="zh-CN"/>
          <w14:textFill>
            <w14:solidFill>
              <w14:schemeClr w14:val="tx1"/>
            </w14:solidFill>
          </w14:textFill>
        </w:rPr>
        <w:t>已通过</w:t>
      </w:r>
      <w:r>
        <w:rPr>
          <w:rFonts w:ascii="Times New Roman" w:hAnsi="Times New Roman" w:eastAsiaTheme="minorEastAsia"/>
          <w:color w:val="000000" w:themeColor="text1"/>
          <w:sz w:val="24"/>
          <w:szCs w:val="24"/>
          <w14:textFill>
            <w14:solidFill>
              <w14:schemeClr w14:val="tx1"/>
            </w14:solidFill>
          </w14:textFill>
        </w:rPr>
        <w:t>湖南省农业农村厅</w:t>
      </w:r>
      <w:r>
        <w:rPr>
          <w:rFonts w:hint="eastAsia" w:ascii="Times New Roman" w:hAnsi="Times New Roman" w:eastAsiaTheme="minorEastAsia"/>
          <w:color w:val="000000" w:themeColor="text1"/>
          <w:sz w:val="24"/>
          <w:szCs w:val="24"/>
          <w:lang w:eastAsia="zh-CN"/>
          <w14:textFill>
            <w14:solidFill>
              <w14:schemeClr w14:val="tx1"/>
            </w14:solidFill>
          </w14:textFill>
        </w:rPr>
        <w:t>组织的专家审查会，见附件</w:t>
      </w:r>
      <w:r>
        <w:rPr>
          <w:rFonts w:hint="eastAsia" w:ascii="Times New Roman" w:hAnsi="Times New Roman" w:eastAsiaTheme="minorEastAsia"/>
          <w:color w:val="000000" w:themeColor="text1"/>
          <w:sz w:val="24"/>
          <w:szCs w:val="24"/>
          <w:lang w:val="en-US" w:eastAsia="zh-CN"/>
          <w14:textFill>
            <w14:solidFill>
              <w14:schemeClr w14:val="tx1"/>
            </w14:solidFill>
          </w14:textFill>
        </w:rPr>
        <w:t>9</w:t>
      </w:r>
      <w:r>
        <w:rPr>
          <w:rFonts w:ascii="Times New Roman" w:hAnsi="Times New Roman" w:eastAsiaTheme="minorEastAsia"/>
          <w:color w:val="000000" w:themeColor="text1"/>
          <w:sz w:val="24"/>
          <w:szCs w:val="24"/>
          <w14:textFill>
            <w14:solidFill>
              <w14:schemeClr w14:val="tx1"/>
            </w14:solidFill>
          </w14:textFill>
        </w:rPr>
        <w:t>。</w:t>
      </w:r>
    </w:p>
    <w:p>
      <w:pPr>
        <w:tabs>
          <w:tab w:val="left" w:pos="900"/>
        </w:tabs>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⑵</w:t>
      </w:r>
      <w:r>
        <w:rPr>
          <w:rFonts w:ascii="Times New Roman" w:hAnsi="Times New Roman" w:eastAsiaTheme="minorEastAsia"/>
          <w:color w:val="000000" w:themeColor="text1"/>
          <w:sz w:val="24"/>
          <w:szCs w:val="24"/>
          <w14:textFill>
            <w14:solidFill>
              <w14:schemeClr w14:val="tx1"/>
            </w14:solidFill>
          </w14:textFill>
        </w:rPr>
        <w:t xml:space="preserve"> 在下一阶段进一步优化码头设计方案；施工时应加强码头施工管理和环境监理，避开保护鱼类繁殖期，选择枯水期进行围堰施工和拆除，禁止施工废水、生活污水不经处理直接排入水产种质资源保护区内，避免施工弃渣随意弃入水体。</w:t>
      </w:r>
    </w:p>
    <w:p>
      <w:pPr>
        <w:pStyle w:val="4"/>
        <w:rPr>
          <w:rFonts w:eastAsiaTheme="minorEastAsia"/>
          <w:color w:val="000000" w:themeColor="text1"/>
          <w14:textFill>
            <w14:solidFill>
              <w14:schemeClr w14:val="tx1"/>
            </w14:solidFill>
          </w14:textFill>
        </w:rPr>
      </w:pPr>
      <w:r>
        <w:rPr>
          <w:rFonts w:eastAsiaTheme="minorEastAsia"/>
        </w:rPr>
        <w:t>湖南东洞庭湖国家级自然保护区</w:t>
      </w:r>
    </w:p>
    <w:p>
      <w:pPr>
        <w:tabs>
          <w:tab w:val="left" w:pos="900"/>
        </w:tabs>
        <w:snapToGrid w:val="0"/>
        <w:spacing w:line="360" w:lineRule="auto"/>
        <w:ind w:firstLine="482" w:firstLineChars="200"/>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1、制约因素</w:t>
      </w:r>
    </w:p>
    <w:p>
      <w:pPr>
        <w:tabs>
          <w:tab w:val="left" w:pos="900"/>
        </w:tabs>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本项目水域工程靠近</w:t>
      </w:r>
      <w:r>
        <w:rPr>
          <w:rFonts w:ascii="Times New Roman" w:hAnsi="Times New Roman" w:eastAsiaTheme="minorEastAsia"/>
          <w:sz w:val="24"/>
          <w:szCs w:val="24"/>
        </w:rPr>
        <w:t>东洞庭国家级自然保护区，与自然保护区实验区边界最近距离约40m。</w:t>
      </w:r>
    </w:p>
    <w:p>
      <w:pPr>
        <w:tabs>
          <w:tab w:val="left" w:pos="900"/>
        </w:tabs>
        <w:snapToGrid w:val="0"/>
        <w:spacing w:line="360" w:lineRule="auto"/>
        <w:ind w:firstLine="482" w:firstLineChars="200"/>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2、解决方法</w:t>
      </w:r>
    </w:p>
    <w:p>
      <w:pPr>
        <w:tabs>
          <w:tab w:val="left" w:pos="900"/>
        </w:tabs>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建设单位已委托湖南葆华环保有限公司编制了对东洞庭湖生态影响的专题报告，并向湖南东洞庭湖国家级自然保护区管理局征求了书面意见，湖南东洞庭湖国家级自然保护区管理局表示：项目工程区域不属于湖南东洞庭湖国家级自然保护区范围。但紧邻保护区实验区，应按照项目工程建设环境影响评价要求，采取有效措施，做好生态保护，严格控制范围，避免项目工程建设对保护区生态环境产生影响。见附件10。</w:t>
      </w:r>
    </w:p>
    <w:p>
      <w:pPr>
        <w:pStyle w:val="4"/>
        <w:rPr>
          <w:rFonts w:eastAsiaTheme="minorEastAsia"/>
        </w:rPr>
      </w:pPr>
      <w:r>
        <w:rPr>
          <w:rFonts w:eastAsiaTheme="minorEastAsia"/>
        </w:rPr>
        <w:t>岳阳楼-洞庭湖风景名胜区</w:t>
      </w:r>
    </w:p>
    <w:p>
      <w:pPr>
        <w:tabs>
          <w:tab w:val="left" w:pos="900"/>
        </w:tabs>
        <w:snapToGrid w:val="0"/>
        <w:spacing w:line="360" w:lineRule="auto"/>
        <w:ind w:firstLine="482" w:firstLineChars="200"/>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1、制约因素</w:t>
      </w:r>
    </w:p>
    <w:p>
      <w:pPr>
        <w:tabs>
          <w:tab w:val="left" w:pos="900"/>
        </w:tabs>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本项目位于</w:t>
      </w:r>
      <w:r>
        <w:rPr>
          <w:rFonts w:ascii="Times New Roman" w:hAnsi="Times New Roman" w:eastAsiaTheme="minorEastAsia"/>
          <w:sz w:val="24"/>
          <w:szCs w:val="24"/>
        </w:rPr>
        <w:t>岳阳楼-洞庭湖风景名胜区的城陵矶独立景点的外围保护地带范围内，不涉及特级、一级、二级和三级保护区范围。</w:t>
      </w:r>
    </w:p>
    <w:p>
      <w:pPr>
        <w:tabs>
          <w:tab w:val="left" w:pos="900"/>
        </w:tabs>
        <w:snapToGrid w:val="0"/>
        <w:spacing w:line="360" w:lineRule="auto"/>
        <w:ind w:firstLine="482" w:firstLineChars="200"/>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2、解决方法</w:t>
      </w:r>
    </w:p>
    <w:p>
      <w:pPr>
        <w:tabs>
          <w:tab w:val="left" w:pos="900"/>
        </w:tabs>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color w:val="000000" w:themeColor="text1"/>
          <w:sz w:val="24"/>
          <w:szCs w:val="24"/>
          <w14:textFill>
            <w14:solidFill>
              <w14:schemeClr w14:val="tx1"/>
            </w14:solidFill>
          </w14:textFill>
        </w:rPr>
        <w:t>本项目位于风景名胜区的范围外。近期，</w:t>
      </w:r>
      <w:r>
        <w:rPr>
          <w:rFonts w:ascii="Times New Roman" w:hAnsi="Times New Roman" w:eastAsiaTheme="minorEastAsia"/>
          <w:sz w:val="24"/>
          <w:szCs w:val="24"/>
        </w:rPr>
        <w:t>《岳阳楼-洞庭湖风景名胜区总体规划》已完成重新修编工程，现已报送相关主管部门批复。在总体规划完成修编后，本项目将不涉及风景名胜区的外围保护区范围。</w:t>
      </w:r>
    </w:p>
    <w:p>
      <w:pPr>
        <w:tabs>
          <w:tab w:val="left" w:pos="900"/>
        </w:tabs>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sz w:val="24"/>
          <w:szCs w:val="24"/>
        </w:rPr>
        <w:t>综上所述，本项目不存在明显的环境制约因素。</w:t>
      </w:r>
    </w:p>
    <w:p>
      <w:pPr>
        <w:tabs>
          <w:tab w:val="left" w:pos="900"/>
        </w:tabs>
        <w:snapToGrid w:val="0"/>
        <w:spacing w:line="360" w:lineRule="auto"/>
        <w:rPr>
          <w:rFonts w:ascii="Times New Roman" w:hAnsi="Times New Roman" w:eastAsiaTheme="minorEastAsia"/>
          <w:color w:val="000000"/>
          <w:sz w:val="24"/>
          <w:szCs w:val="24"/>
        </w:rPr>
      </w:pPr>
    </w:p>
    <w:p>
      <w:pPr>
        <w:pStyle w:val="40"/>
        <w:adjustRightInd w:val="0"/>
        <w:snapToGrid w:val="0"/>
        <w:spacing w:after="0" w:line="360" w:lineRule="auto"/>
        <w:ind w:left="0" w:leftChars="0" w:firstLine="480" w:firstLineChars="200"/>
        <w:rPr>
          <w:rFonts w:ascii="Times New Roman" w:hAnsi="Times New Roman" w:eastAsiaTheme="minorEastAsia"/>
          <w:sz w:val="24"/>
          <w:szCs w:val="24"/>
        </w:rPr>
        <w:sectPr>
          <w:headerReference r:id="rId13" w:type="default"/>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2"/>
        <w:spacing w:line="480" w:lineRule="auto"/>
        <w:ind w:left="431" w:hanging="431"/>
        <w:jc w:val="center"/>
        <w:rPr>
          <w:rFonts w:eastAsiaTheme="minorEastAsia"/>
          <w:b/>
          <w:sz w:val="32"/>
          <w:szCs w:val="32"/>
        </w:rPr>
      </w:pPr>
      <w:bookmarkStart w:id="135" w:name="_Toc21658"/>
      <w:r>
        <w:rPr>
          <w:rFonts w:eastAsiaTheme="minorEastAsia"/>
          <w:b/>
          <w:sz w:val="32"/>
          <w:szCs w:val="32"/>
        </w:rPr>
        <w:t>环境影响预测与评价</w:t>
      </w:r>
      <w:bookmarkEnd w:id="135"/>
    </w:p>
    <w:p>
      <w:pPr>
        <w:pStyle w:val="3"/>
        <w:rPr>
          <w:rFonts w:ascii="Times New Roman" w:hAnsi="Times New Roman" w:eastAsiaTheme="minorEastAsia"/>
          <w:b/>
        </w:rPr>
      </w:pPr>
      <w:bookmarkStart w:id="136" w:name="_Toc1647851"/>
      <w:bookmarkEnd w:id="136"/>
      <w:bookmarkStart w:id="137" w:name="_Toc335720735"/>
      <w:bookmarkEnd w:id="137"/>
      <w:bookmarkStart w:id="138" w:name="_Toc14512"/>
      <w:r>
        <w:rPr>
          <w:rFonts w:ascii="Times New Roman" w:hAnsi="Times New Roman" w:eastAsiaTheme="minorEastAsia"/>
          <w:b/>
        </w:rPr>
        <w:t>地表水环境影响影响评价</w:t>
      </w:r>
      <w:bookmarkEnd w:id="138"/>
    </w:p>
    <w:p>
      <w:pPr>
        <w:pStyle w:val="4"/>
        <w:rPr>
          <w:rFonts w:eastAsiaTheme="minorEastAsia"/>
        </w:rPr>
      </w:pPr>
      <w:r>
        <w:rPr>
          <w:rFonts w:eastAsiaTheme="minorEastAsia"/>
        </w:rPr>
        <w:t>施工期地表水环境影响分析</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拟建项目施工期污水主要发生在泊位建设、岸上辅助设施等建设过程中，对水环境的影响主要是主体结构水下施工对水环境的影响以及施工期生活污水、生产废水及船舶油污水对水环境的影响。</w:t>
      </w:r>
    </w:p>
    <w:p>
      <w:pPr>
        <w:pStyle w:val="5"/>
        <w:rPr>
          <w:rFonts w:eastAsiaTheme="minorEastAsia"/>
        </w:rPr>
      </w:pPr>
      <w:r>
        <w:rPr>
          <w:rFonts w:eastAsiaTheme="minorEastAsia"/>
        </w:rPr>
        <w:t>码头主体结构施工的水环境影响分析</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码头主体结构的水域施工会对河流底泥进行扰动，造成施工区域附近水中SS浓度增高，影响水体水质。本项目码头主体结构的水域施工采取围堰法，码头主体结构施工过程在围堰内完成，对围堰外水域的影响较小，对水体的扰动仅发生在围堰的安装和拆除过程。</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根据工程施工方案，本项目码头主体结构利用枯水期构筑围堰干地施工。根据同类工程类比分析，围堰施工和拆除过程中，局部水域的SS浓度在80~160mg/L之间，但施工点下游100m范围外SS增量不超过50mg/L，对下游100m范围外水域水质不产生污染影响。</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因此，码头主体结构施工对水体影响范围在施工点100m以内，持续时间短，围堰和围堰拆除过程结束，这种影响也不复存在，对水质影响轻微。</w:t>
      </w:r>
    </w:p>
    <w:p>
      <w:pPr>
        <w:pStyle w:val="5"/>
        <w:rPr>
          <w:rFonts w:eastAsiaTheme="minorEastAsia"/>
        </w:rPr>
      </w:pPr>
      <w:r>
        <w:rPr>
          <w:rFonts w:eastAsiaTheme="minorEastAsia"/>
        </w:rPr>
        <w:t>施工期生产废水环境影响分析</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施工废水主要来自施工场地机械冲洗废水、砂石料冲洗废水及施工场地地表径流水等。</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施工机械跑、冒、滴、漏的污油及冲洗后产生的油污染废水主要含石油类，如不经处理直接排放，会对项目所在地地表水造成油污染，污染水体如用于灌溉则会对农作物生长产生不利影响。砂石料冲洗废水SS含量较高，不处理直接排放会引起地表水浑浊。此外，雨水对施工场地上物料、机械冲刷形成的径流也含有SS、石油类等污染物。</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根据码头建设项目施工废水特征，施工期间在施工场地四周设置截水沟截留雨水径流，并在施工场地内设置隔油池和沉淀池对收集的施工废水进行隔油、沉淀处理，处理水首先循环回用于施工生产，其余用于施工现场的洒水防尘和车辆、机械冲洗，不向外排放，对本项目所在地地表水环境的影响较小。</w:t>
      </w:r>
    </w:p>
    <w:p>
      <w:pPr>
        <w:pStyle w:val="5"/>
        <w:rPr>
          <w:rFonts w:eastAsiaTheme="minorEastAsia"/>
        </w:rPr>
      </w:pPr>
      <w:r>
        <w:rPr>
          <w:rFonts w:eastAsiaTheme="minorEastAsia"/>
        </w:rPr>
        <w:t>施工期生活污水和施工船舶油污水影响分析</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color w:val="000000"/>
          <w:sz w:val="24"/>
          <w:szCs w:val="24"/>
        </w:rPr>
        <w:t>施工生活设施设置在后方码头院内，在工棚建设临时化粪池，处理后的</w:t>
      </w:r>
      <w:r>
        <w:rPr>
          <w:rFonts w:ascii="Times New Roman" w:hAnsi="Times New Roman" w:eastAsiaTheme="minorEastAsia"/>
          <w:sz w:val="24"/>
          <w:szCs w:val="24"/>
        </w:rPr>
        <w:t>陆域施工人员生活污水</w:t>
      </w:r>
      <w:r>
        <w:rPr>
          <w:rFonts w:ascii="Times New Roman" w:hAnsi="Times New Roman" w:eastAsiaTheme="minorEastAsia"/>
          <w:color w:val="000000"/>
          <w:sz w:val="24"/>
          <w:szCs w:val="24"/>
        </w:rPr>
        <w:t>通过污水管网进入华能电厂厂区，用作绿化用水，不排入长江</w:t>
      </w:r>
      <w:r>
        <w:rPr>
          <w:rFonts w:ascii="Times New Roman" w:hAnsi="Times New Roman" w:eastAsiaTheme="minorEastAsia"/>
          <w:sz w:val="24"/>
          <w:szCs w:val="24"/>
        </w:rPr>
        <w:t>；施工期船舶产生的船舶油污水和生活污水由施工单位负责交海事部门环保船接收处理，对周边水域水质影响较小。</w:t>
      </w:r>
    </w:p>
    <w:p>
      <w:pPr>
        <w:pStyle w:val="5"/>
        <w:rPr>
          <w:rFonts w:eastAsiaTheme="minorEastAsia"/>
        </w:rPr>
      </w:pPr>
      <w:r>
        <w:rPr>
          <w:rFonts w:eastAsiaTheme="minorEastAsia"/>
        </w:rPr>
        <w:t>其它污水的水环境影响分析</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结构施工时的砂浆、石灰等废液，以及建筑材料堆放时产生的初期雨水若处置不当，会污染周围环境，因此应采取以下措施：</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sz w:val="24"/>
          <w:szCs w:val="24"/>
        </w:rPr>
        <w:t xml:space="preserve"> </w:t>
      </w:r>
      <w:r>
        <w:rPr>
          <w:rFonts w:ascii="Times New Roman" w:hAnsi="Times New Roman" w:eastAsiaTheme="minorEastAsia"/>
          <w:sz w:val="24"/>
          <w:szCs w:val="24"/>
        </w:rPr>
        <w:t>施工期的砂浆、石灰等废液应集中处理，干燥后与固体废物一起处置。</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sz w:val="24"/>
          <w:szCs w:val="24"/>
        </w:rPr>
        <w:t xml:space="preserve"> </w:t>
      </w:r>
      <w:r>
        <w:rPr>
          <w:rFonts w:ascii="Times New Roman" w:hAnsi="Times New Roman" w:eastAsiaTheme="minorEastAsia"/>
          <w:sz w:val="24"/>
          <w:szCs w:val="24"/>
        </w:rPr>
        <w:t>水泥、黄砂、石灰类的建筑材料需集中堆放，并采取一定的防护措施，以免雨水冲刷污染附近水体，同时也避免了不必要的建筑材料经济损失。</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综上所述，施工期污水由于量小且较为分散，可以通过加强施工管理、充分利用各种污水处理设施来减轻其不利影响，其给环境带来的影响是局部的、短期的、可逆的、一般性的，一旦施工结束，影响也将很快消除。</w:t>
      </w:r>
    </w:p>
    <w:p>
      <w:pPr>
        <w:pStyle w:val="4"/>
        <w:rPr>
          <w:rFonts w:eastAsiaTheme="minorEastAsia"/>
        </w:rPr>
      </w:pPr>
      <w:r>
        <w:rPr>
          <w:rFonts w:eastAsiaTheme="minorEastAsia"/>
        </w:rPr>
        <w:t>营运期地表水环境影响分析</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根据工程分析，本项目运营期的主要污水为：到港船舶舱底油污水、船舶生活污水、趸船冲洗废水、码头生活污水、初期雨水等。</w:t>
      </w:r>
    </w:p>
    <w:p>
      <w:pPr>
        <w:pStyle w:val="5"/>
        <w:rPr>
          <w:rFonts w:eastAsiaTheme="minorEastAsia"/>
          <w:color w:val="auto"/>
        </w:rPr>
      </w:pPr>
      <w:r>
        <w:rPr>
          <w:rFonts w:eastAsiaTheme="minorEastAsia"/>
          <w:color w:val="auto"/>
        </w:rPr>
        <w:t>船舶舱底油污水、生活污水影响分析</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本项目全年船舶舱底油污水发生量为718.38t/a，其含油浓度为5000mg/L；到港船舶舱底油污水由船舶自备的油水分离器隔油处理后由船舶交给海事部门环保船接收处理，不上岸处理。项目年船舶生活污水产生量237.6m</w:t>
      </w:r>
      <w:r>
        <w:rPr>
          <w:rFonts w:ascii="Times New Roman" w:hAnsi="Times New Roman" w:eastAsiaTheme="minorEastAsia"/>
          <w:sz w:val="24"/>
          <w:szCs w:val="24"/>
          <w:vertAlign w:val="superscript"/>
        </w:rPr>
        <w:t>3</w:t>
      </w:r>
      <w:r>
        <w:rPr>
          <w:rFonts w:ascii="Times New Roman" w:hAnsi="Times New Roman" w:eastAsiaTheme="minorEastAsia"/>
          <w:sz w:val="24"/>
          <w:szCs w:val="24"/>
        </w:rPr>
        <w:t>/a，船舶生活污水由海事部门环保船接收处理，不上岸处理。</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根据交通部2015年25号令《中华人民共和国防治船舶污染内河水域环境管理规定》，营运船舶舱底油污水应申请海事部门认可的有资质的船舶污水接收点接收处理，生活污水上岸依托港区或区域污水处理厂处理，不得在航道内随意排放未经处理的船舶舱底油污水和船舶生活污水。</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营运期海事部门应加强对航道内船舶污水的管理，只要管理到位，船舶污水基本不会对长江水环境造成污染影响。</w:t>
      </w:r>
    </w:p>
    <w:p>
      <w:pPr>
        <w:pStyle w:val="5"/>
        <w:rPr>
          <w:rFonts w:eastAsiaTheme="minorEastAsia"/>
          <w:color w:val="auto"/>
        </w:rPr>
      </w:pPr>
      <w:r>
        <w:rPr>
          <w:rFonts w:eastAsiaTheme="minorEastAsia"/>
          <w:color w:val="auto"/>
        </w:rPr>
        <w:t>趸船冲洗废水影响分析</w:t>
      </w:r>
    </w:p>
    <w:p>
      <w:pPr>
        <w:pStyle w:val="7"/>
        <w:adjustRightInd w:val="0"/>
        <w:snapToGrid w:val="0"/>
        <w:spacing w:after="0"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趸船冲洗废水产生量1900.8m</w:t>
      </w:r>
      <w:r>
        <w:rPr>
          <w:rFonts w:ascii="Times New Roman" w:hAnsi="Times New Roman" w:eastAsiaTheme="minorEastAsia"/>
          <w:sz w:val="24"/>
          <w:szCs w:val="24"/>
          <w:vertAlign w:val="superscript"/>
        </w:rPr>
        <w:t>3</w:t>
      </w:r>
      <w:r>
        <w:rPr>
          <w:rFonts w:ascii="Times New Roman" w:hAnsi="Times New Roman" w:eastAsiaTheme="minorEastAsia"/>
          <w:sz w:val="24"/>
          <w:szCs w:val="24"/>
        </w:rPr>
        <w:t>/a，主要污染物为 SS，浓度为1000 mg/L，冲洗废水经码头设置的收集坎，收集后进入趸船内设煤水收集池，经沉淀处理后泵送上岸进入后方码头院内的散货污水处理站处理达到《污水综合排放标准》（GB8978-1996）一级标准后，再通过管道泵送至电厂厂区用作绿化用水。</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snapToGrid w:val="0"/>
          <w:sz w:val="24"/>
        </w:rPr>
        <w:t>趸船冲洗废水经处理后回用于</w:t>
      </w:r>
      <w:r>
        <w:rPr>
          <w:rFonts w:ascii="Times New Roman" w:hAnsi="Times New Roman" w:eastAsiaTheme="minorEastAsia"/>
          <w:sz w:val="24"/>
          <w:szCs w:val="24"/>
        </w:rPr>
        <w:t>绿化用水</w:t>
      </w:r>
      <w:r>
        <w:rPr>
          <w:rFonts w:ascii="Times New Roman" w:hAnsi="Times New Roman"/>
          <w:snapToGrid w:val="0"/>
          <w:sz w:val="24"/>
        </w:rPr>
        <w:t>，不排放，</w:t>
      </w:r>
      <w:r>
        <w:rPr>
          <w:rFonts w:ascii="Times New Roman" w:hAnsi="Times New Roman" w:eastAsiaTheme="minorEastAsia"/>
          <w:sz w:val="24"/>
          <w:szCs w:val="24"/>
        </w:rPr>
        <w:t>不会对长江水环境造成污染影响。</w:t>
      </w:r>
    </w:p>
    <w:p>
      <w:pPr>
        <w:pStyle w:val="5"/>
        <w:rPr>
          <w:rFonts w:eastAsiaTheme="minorEastAsia"/>
          <w:color w:val="auto"/>
        </w:rPr>
      </w:pPr>
      <w:r>
        <w:rPr>
          <w:rFonts w:eastAsiaTheme="minorEastAsia"/>
          <w:color w:val="auto"/>
        </w:rPr>
        <w:t>员工生活污水、初期雨水影响分析</w:t>
      </w:r>
    </w:p>
    <w:p>
      <w:pPr>
        <w:spacing w:line="360" w:lineRule="auto"/>
        <w:ind w:firstLine="480" w:firstLineChars="200"/>
        <w:rPr>
          <w:rFonts w:hint="eastAsia" w:ascii="Times New Roman" w:hAnsi="Times New Roman" w:eastAsiaTheme="minorEastAsia"/>
          <w:color w:val="FF0000"/>
          <w:sz w:val="24"/>
          <w:szCs w:val="24"/>
          <w:u w:val="single"/>
          <w:lang w:eastAsia="zh-CN"/>
        </w:rPr>
      </w:pPr>
      <w:r>
        <w:rPr>
          <w:rFonts w:ascii="Times New Roman" w:hAnsi="Times New Roman" w:eastAsiaTheme="minorEastAsia"/>
          <w:color w:val="FF0000"/>
          <w:sz w:val="24"/>
          <w:szCs w:val="24"/>
          <w:u w:val="single"/>
        </w:rPr>
        <w:t>本项目员工生活污水产生量为330m</w:t>
      </w:r>
      <w:r>
        <w:rPr>
          <w:rFonts w:ascii="Times New Roman" w:hAnsi="Times New Roman" w:eastAsiaTheme="minorEastAsia"/>
          <w:color w:val="FF0000"/>
          <w:sz w:val="24"/>
          <w:szCs w:val="24"/>
          <w:u w:val="single"/>
          <w:vertAlign w:val="superscript"/>
        </w:rPr>
        <w:t>3</w:t>
      </w:r>
      <w:r>
        <w:rPr>
          <w:rFonts w:ascii="Times New Roman" w:hAnsi="Times New Roman" w:eastAsiaTheme="minorEastAsia"/>
          <w:color w:val="FF0000"/>
          <w:sz w:val="24"/>
          <w:szCs w:val="24"/>
          <w:u w:val="single"/>
        </w:rPr>
        <w:t>/a</w:t>
      </w:r>
      <w:r>
        <w:rPr>
          <w:rFonts w:ascii="Times New Roman" w:hAnsi="Times New Roman" w:eastAsiaTheme="minorEastAsia"/>
          <w:color w:val="FF0000"/>
          <w:spacing w:val="-1"/>
          <w:sz w:val="24"/>
          <w:szCs w:val="24"/>
          <w:u w:val="single"/>
        </w:rPr>
        <w:t>，</w:t>
      </w:r>
      <w:r>
        <w:rPr>
          <w:rFonts w:ascii="Times New Roman" w:hAnsi="Times New Roman" w:eastAsiaTheme="minorEastAsia"/>
          <w:color w:val="FF0000"/>
          <w:sz w:val="24"/>
          <w:szCs w:val="24"/>
          <w:u w:val="single"/>
        </w:rPr>
        <w:t>污水中COD、BOD</w:t>
      </w:r>
      <w:r>
        <w:rPr>
          <w:rFonts w:ascii="Times New Roman" w:hAnsi="Times New Roman" w:eastAsiaTheme="minorEastAsia"/>
          <w:color w:val="FF0000"/>
          <w:sz w:val="24"/>
          <w:szCs w:val="24"/>
          <w:u w:val="single"/>
          <w:vertAlign w:val="subscript"/>
        </w:rPr>
        <w:t>5</w:t>
      </w:r>
      <w:r>
        <w:rPr>
          <w:rFonts w:ascii="Times New Roman" w:hAnsi="Times New Roman" w:eastAsiaTheme="minorEastAsia"/>
          <w:color w:val="FF0000"/>
          <w:sz w:val="24"/>
          <w:szCs w:val="24"/>
          <w:u w:val="single"/>
        </w:rPr>
        <w:t>、SS、NH</w:t>
      </w:r>
      <w:r>
        <w:rPr>
          <w:rFonts w:ascii="Times New Roman" w:hAnsi="Times New Roman" w:eastAsiaTheme="minorEastAsia"/>
          <w:color w:val="FF0000"/>
          <w:sz w:val="24"/>
          <w:szCs w:val="24"/>
          <w:u w:val="single"/>
          <w:vertAlign w:val="subscript"/>
        </w:rPr>
        <w:t>3</w:t>
      </w:r>
      <w:r>
        <w:rPr>
          <w:rFonts w:ascii="Times New Roman" w:hAnsi="Times New Roman" w:eastAsiaTheme="minorEastAsia"/>
          <w:color w:val="FF0000"/>
          <w:sz w:val="24"/>
          <w:szCs w:val="24"/>
          <w:u w:val="single"/>
        </w:rPr>
        <w:t>-N浓度分别约为350mg/L、250mg/L、300mg/L、40mg/L。码头设置简易环保型厕所，</w:t>
      </w:r>
      <w:r>
        <w:rPr>
          <w:rFonts w:ascii="Times New Roman" w:hAnsi="Times New Roman" w:eastAsiaTheme="minorEastAsia"/>
          <w:snapToGrid w:val="0"/>
          <w:color w:val="FF0000"/>
          <w:sz w:val="24"/>
          <w:szCs w:val="24"/>
          <w:u w:val="single"/>
        </w:rPr>
        <w:t>码头在营运期产生的生活污水经</w:t>
      </w:r>
      <w:r>
        <w:rPr>
          <w:rFonts w:ascii="Times New Roman" w:hAnsi="Times New Roman" w:eastAsiaTheme="minorEastAsia"/>
          <w:color w:val="FF0000"/>
          <w:sz w:val="24"/>
          <w:szCs w:val="24"/>
          <w:u w:val="single"/>
        </w:rPr>
        <w:t>污水泵送至后方码头院内生活污水处理站处理达到《污水综合排放标准》（GB8978-1996）一级标准后，再通过管道泵送至电厂厂区用作绿化用水</w:t>
      </w:r>
      <w:r>
        <w:rPr>
          <w:rFonts w:ascii="Times New Roman" w:hAnsi="Times New Roman" w:eastAsiaTheme="minorEastAsia"/>
          <w:snapToGrid w:val="0"/>
          <w:color w:val="FF0000"/>
          <w:sz w:val="24"/>
          <w:szCs w:val="24"/>
          <w:u w:val="single"/>
        </w:rPr>
        <w:t>。</w:t>
      </w:r>
      <w:r>
        <w:rPr>
          <w:rFonts w:hint="eastAsia" w:ascii="Times New Roman" w:hAnsi="Times New Roman" w:eastAsiaTheme="minorEastAsia"/>
          <w:snapToGrid w:val="0"/>
          <w:color w:val="FF0000"/>
          <w:sz w:val="24"/>
          <w:szCs w:val="24"/>
          <w:u w:val="single"/>
          <w:lang w:eastAsia="zh-CN"/>
        </w:rPr>
        <w:t>后方码头院内与总厂区之间有污水管道联通，因此，本项目生活生产污水上岸处理后，进入华能电厂总厂区，再用作厂区绿化用水的方案是可行的。</w:t>
      </w:r>
    </w:p>
    <w:p>
      <w:pPr>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初期雨水收集量为359.824m</w:t>
      </w:r>
      <w:r>
        <w:rPr>
          <w:rFonts w:ascii="Times New Roman" w:hAnsi="Times New Roman" w:eastAsiaTheme="minorEastAsia"/>
          <w:sz w:val="24"/>
          <w:szCs w:val="24"/>
          <w:vertAlign w:val="superscript"/>
        </w:rPr>
        <w:t>3</w:t>
      </w:r>
      <w:r>
        <w:rPr>
          <w:rFonts w:ascii="Times New Roman" w:hAnsi="Times New Roman" w:eastAsiaTheme="minorEastAsia"/>
          <w:sz w:val="24"/>
          <w:szCs w:val="24"/>
        </w:rPr>
        <w:t>/a，污染物主要为SS，浓度为1000mg/L，初期雨水经收集坎收集后，与冲煤废水一同泵送上岸进入后方码头院内的散货污水处理站处理达到《污水综合排放标准》（GB8978-1996）一级标准后，再通过管道泵送至电厂厂区用作绿化用水。</w:t>
      </w:r>
    </w:p>
    <w:p>
      <w:pPr>
        <w:pStyle w:val="145"/>
        <w:spacing w:line="360" w:lineRule="auto"/>
        <w:ind w:firstLine="480" w:firstLineChars="200"/>
        <w:jc w:val="both"/>
        <w:rPr>
          <w:rFonts w:ascii="Times New Roman" w:hAnsi="Times New Roman" w:cs="Times New Roman" w:eastAsiaTheme="minorEastAsia"/>
        </w:rPr>
      </w:pPr>
      <w:r>
        <w:rPr>
          <w:rFonts w:ascii="Times New Roman" w:hAnsi="Times New Roman" w:cs="Times New Roman" w:eastAsiaTheme="minorEastAsia"/>
          <w:snapToGrid w:val="0"/>
        </w:rPr>
        <w:t>员工生活污水和初期雨水经处理后回用于</w:t>
      </w:r>
      <w:r>
        <w:rPr>
          <w:rFonts w:ascii="Times New Roman" w:hAnsi="Times New Roman" w:cs="Times New Roman" w:eastAsiaTheme="minorEastAsia"/>
        </w:rPr>
        <w:t>绿化用水</w:t>
      </w:r>
      <w:r>
        <w:rPr>
          <w:rFonts w:ascii="Times New Roman" w:hAnsi="Times New Roman" w:cs="Times New Roman" w:eastAsiaTheme="minorEastAsia"/>
          <w:snapToGrid w:val="0"/>
        </w:rPr>
        <w:t>，不排放，</w:t>
      </w:r>
      <w:r>
        <w:rPr>
          <w:rFonts w:ascii="Times New Roman" w:hAnsi="Times New Roman" w:cs="Times New Roman" w:eastAsiaTheme="minorEastAsia"/>
        </w:rPr>
        <w:t>不会对长江水环境造成污染影响。</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综上所述，本项目废水均得到有效处理，对周围水体水质影响较小。项目废水类别、污染物及污染治理设施信息见表6.1-1。</w:t>
      </w:r>
    </w:p>
    <w:p>
      <w:pPr>
        <w:adjustRightInd w:val="0"/>
        <w:snapToGrid w:val="0"/>
        <w:spacing w:line="360" w:lineRule="auto"/>
        <w:rPr>
          <w:rFonts w:ascii="Times New Roman" w:hAnsi="Times New Roman" w:eastAsiaTheme="minorEastAsia"/>
          <w:sz w:val="24"/>
          <w:szCs w:val="24"/>
        </w:rPr>
      </w:pPr>
    </w:p>
    <w:p>
      <w:pPr>
        <w:adjustRightInd w:val="0"/>
        <w:snapToGrid w:val="0"/>
        <w:spacing w:line="360" w:lineRule="auto"/>
        <w:ind w:firstLine="482"/>
        <w:rPr>
          <w:rFonts w:ascii="Times New Roman" w:hAnsi="Times New Roman" w:eastAsiaTheme="minorEastAsia"/>
          <w:sz w:val="24"/>
          <w:szCs w:val="24"/>
        </w:rPr>
        <w:sectPr>
          <w:headerReference r:id="rId14" w:type="default"/>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表6.1-1  废水类别、污染物及污染治理设施信息表</w:t>
      </w:r>
    </w:p>
    <w:tbl>
      <w:tblPr>
        <w:tblStyle w:val="7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696"/>
        <w:gridCol w:w="1283"/>
        <w:gridCol w:w="1852"/>
        <w:gridCol w:w="1706"/>
        <w:gridCol w:w="1748"/>
        <w:gridCol w:w="1268"/>
        <w:gridCol w:w="1268"/>
        <w:gridCol w:w="1125"/>
        <w:gridCol w:w="1283"/>
        <w:gridCol w:w="18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8"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序号</w:t>
            </w:r>
          </w:p>
        </w:tc>
        <w:tc>
          <w:tcPr>
            <w:tcW w:w="457"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废水类别</w:t>
            </w:r>
          </w:p>
        </w:tc>
        <w:tc>
          <w:tcPr>
            <w:tcW w:w="660"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污染物种类</w:t>
            </w:r>
          </w:p>
        </w:tc>
        <w:tc>
          <w:tcPr>
            <w:tcW w:w="608"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排放去向</w:t>
            </w:r>
          </w:p>
        </w:tc>
        <w:tc>
          <w:tcPr>
            <w:tcW w:w="623"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排放规律</w:t>
            </w:r>
          </w:p>
        </w:tc>
        <w:tc>
          <w:tcPr>
            <w:tcW w:w="904" w:type="pct"/>
            <w:gridSpan w:val="2"/>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污染治理设施</w:t>
            </w:r>
          </w:p>
        </w:tc>
        <w:tc>
          <w:tcPr>
            <w:tcW w:w="401"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排放编号</w:t>
            </w:r>
          </w:p>
        </w:tc>
        <w:tc>
          <w:tcPr>
            <w:tcW w:w="457"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排放口设置是否符合要求</w:t>
            </w:r>
          </w:p>
        </w:tc>
        <w:tc>
          <w:tcPr>
            <w:tcW w:w="643"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排放口类型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8" w:type="pct"/>
            <w:vMerge w:val="continue"/>
            <w:vAlign w:val="center"/>
          </w:tcPr>
          <w:p>
            <w:pPr>
              <w:adjustRightInd w:val="0"/>
              <w:snapToGrid w:val="0"/>
              <w:jc w:val="center"/>
              <w:rPr>
                <w:rFonts w:ascii="Times New Roman" w:hAnsi="Times New Roman" w:eastAsiaTheme="minorEastAsia"/>
                <w:b/>
              </w:rPr>
            </w:pPr>
          </w:p>
        </w:tc>
        <w:tc>
          <w:tcPr>
            <w:tcW w:w="457" w:type="pct"/>
            <w:vMerge w:val="continue"/>
            <w:vAlign w:val="center"/>
          </w:tcPr>
          <w:p>
            <w:pPr>
              <w:adjustRightInd w:val="0"/>
              <w:snapToGrid w:val="0"/>
              <w:jc w:val="center"/>
              <w:rPr>
                <w:rFonts w:ascii="Times New Roman" w:hAnsi="Times New Roman" w:eastAsiaTheme="minorEastAsia"/>
                <w:b/>
              </w:rPr>
            </w:pPr>
          </w:p>
        </w:tc>
        <w:tc>
          <w:tcPr>
            <w:tcW w:w="660" w:type="pct"/>
            <w:vMerge w:val="continue"/>
            <w:vAlign w:val="center"/>
          </w:tcPr>
          <w:p>
            <w:pPr>
              <w:adjustRightInd w:val="0"/>
              <w:snapToGrid w:val="0"/>
              <w:jc w:val="center"/>
              <w:rPr>
                <w:rFonts w:ascii="Times New Roman" w:hAnsi="Times New Roman" w:eastAsiaTheme="minorEastAsia"/>
                <w:b/>
              </w:rPr>
            </w:pPr>
          </w:p>
        </w:tc>
        <w:tc>
          <w:tcPr>
            <w:tcW w:w="608" w:type="pct"/>
            <w:vMerge w:val="continue"/>
            <w:vAlign w:val="center"/>
          </w:tcPr>
          <w:p>
            <w:pPr>
              <w:adjustRightInd w:val="0"/>
              <w:snapToGrid w:val="0"/>
              <w:jc w:val="center"/>
              <w:rPr>
                <w:rFonts w:ascii="Times New Roman" w:hAnsi="Times New Roman" w:eastAsiaTheme="minorEastAsia"/>
                <w:b/>
              </w:rPr>
            </w:pPr>
          </w:p>
        </w:tc>
        <w:tc>
          <w:tcPr>
            <w:tcW w:w="623" w:type="pct"/>
            <w:vMerge w:val="continue"/>
            <w:vAlign w:val="center"/>
          </w:tcPr>
          <w:p>
            <w:pPr>
              <w:adjustRightInd w:val="0"/>
              <w:snapToGrid w:val="0"/>
              <w:jc w:val="center"/>
              <w:rPr>
                <w:rFonts w:ascii="Times New Roman" w:hAnsi="Times New Roman" w:eastAsiaTheme="minorEastAsia"/>
                <w:b/>
              </w:rPr>
            </w:pPr>
          </w:p>
        </w:tc>
        <w:tc>
          <w:tcPr>
            <w:tcW w:w="452"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污染治理设施编号</w:t>
            </w:r>
          </w:p>
        </w:tc>
        <w:tc>
          <w:tcPr>
            <w:tcW w:w="452"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污染治理设施名称</w:t>
            </w:r>
          </w:p>
        </w:tc>
        <w:tc>
          <w:tcPr>
            <w:tcW w:w="401" w:type="pct"/>
            <w:vMerge w:val="continue"/>
            <w:vAlign w:val="center"/>
          </w:tcPr>
          <w:p>
            <w:pPr>
              <w:adjustRightInd w:val="0"/>
              <w:snapToGrid w:val="0"/>
              <w:jc w:val="center"/>
              <w:rPr>
                <w:rFonts w:ascii="Times New Roman" w:hAnsi="Times New Roman" w:eastAsiaTheme="minorEastAsia"/>
                <w:b/>
              </w:rPr>
            </w:pPr>
          </w:p>
        </w:tc>
        <w:tc>
          <w:tcPr>
            <w:tcW w:w="457" w:type="pct"/>
            <w:vMerge w:val="continue"/>
            <w:vAlign w:val="center"/>
          </w:tcPr>
          <w:p>
            <w:pPr>
              <w:adjustRightInd w:val="0"/>
              <w:snapToGrid w:val="0"/>
              <w:jc w:val="center"/>
              <w:rPr>
                <w:rFonts w:ascii="Times New Roman" w:hAnsi="Times New Roman" w:eastAsiaTheme="minorEastAsia"/>
                <w:b/>
              </w:rPr>
            </w:pPr>
          </w:p>
        </w:tc>
        <w:tc>
          <w:tcPr>
            <w:tcW w:w="643" w:type="pct"/>
            <w:vMerge w:val="continue"/>
            <w:vAlign w:val="center"/>
          </w:tcPr>
          <w:p>
            <w:pPr>
              <w:adjustRightInd w:val="0"/>
              <w:snapToGrid w:val="0"/>
              <w:jc w:val="center"/>
              <w:rPr>
                <w:rFonts w:ascii="Times New Roman" w:hAnsi="Times New Roman" w:eastAsiaTheme="minorEastAsia"/>
                <w: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4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w:t>
            </w:r>
          </w:p>
        </w:tc>
        <w:tc>
          <w:tcPr>
            <w:tcW w:w="45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综合废水</w:t>
            </w:r>
          </w:p>
        </w:tc>
        <w:tc>
          <w:tcPr>
            <w:tcW w:w="66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COD、悬浮物、氨氮、BOD</w:t>
            </w:r>
            <w:r>
              <w:rPr>
                <w:rFonts w:ascii="Times New Roman" w:hAnsi="Times New Roman" w:eastAsiaTheme="minorEastAsia"/>
                <w:vertAlign w:val="subscript"/>
              </w:rPr>
              <w:t>5</w:t>
            </w:r>
            <w:r>
              <w:rPr>
                <w:rFonts w:ascii="Times New Roman" w:hAnsi="Times New Roman" w:eastAsiaTheme="minorEastAsia"/>
              </w:rPr>
              <w:t>、石油类</w:t>
            </w:r>
          </w:p>
        </w:tc>
        <w:tc>
          <w:tcPr>
            <w:tcW w:w="60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送至电厂厂区用作绿化用水</w:t>
            </w:r>
          </w:p>
        </w:tc>
        <w:tc>
          <w:tcPr>
            <w:tcW w:w="623"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间断排放，排放期间流量不稳定且无规律，但不属于冲击型排放</w:t>
            </w:r>
          </w:p>
        </w:tc>
        <w:tc>
          <w:tcPr>
            <w:tcW w:w="45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w:t>
            </w:r>
          </w:p>
        </w:tc>
        <w:tc>
          <w:tcPr>
            <w:tcW w:w="45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废水处理站</w:t>
            </w:r>
          </w:p>
        </w:tc>
        <w:tc>
          <w:tcPr>
            <w:tcW w:w="40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DW001</w:t>
            </w:r>
          </w:p>
        </w:tc>
        <w:tc>
          <w:tcPr>
            <w:tcW w:w="457" w:type="pct"/>
            <w:vAlign w:val="center"/>
          </w:tcPr>
          <w:p>
            <w:pPr>
              <w:adjustRightInd w:val="0"/>
              <w:snapToGrid w:val="0"/>
              <w:jc w:val="center"/>
              <w:rPr>
                <w:rFonts w:ascii="Times New Roman" w:hAnsi="Times New Roman" w:eastAsiaTheme="minorEastAsia"/>
              </w:rPr>
            </w:pPr>
            <w:r>
              <w:rPr>
                <w:rFonts w:ascii="Segoe UI Symbol" w:hAnsi="Segoe UI Symbol" w:cs="Segoe UI Symbol" w:eastAsiaTheme="minorEastAsia"/>
              </w:rPr>
              <w:t>☑</w:t>
            </w:r>
            <w:r>
              <w:rPr>
                <w:rFonts w:ascii="Times New Roman" w:hAnsi="Times New Roman" w:eastAsiaTheme="minorEastAsia"/>
              </w:rPr>
              <w:t>是</w:t>
            </w:r>
          </w:p>
          <w:p>
            <w:pPr>
              <w:adjustRightInd w:val="0"/>
              <w:snapToGrid w:val="0"/>
              <w:jc w:val="center"/>
              <w:rPr>
                <w:rFonts w:ascii="Times New Roman" w:hAnsi="Times New Roman" w:eastAsiaTheme="minorEastAsia"/>
              </w:rPr>
            </w:pPr>
            <w:r>
              <w:rPr>
                <w:rFonts w:ascii="Times New Roman" w:hAnsi="Times New Roman" w:eastAsiaTheme="minorEastAsia"/>
              </w:rPr>
              <w:t>口否</w:t>
            </w:r>
          </w:p>
        </w:tc>
        <w:tc>
          <w:tcPr>
            <w:tcW w:w="643" w:type="pct"/>
            <w:vAlign w:val="center"/>
          </w:tcPr>
          <w:p>
            <w:pPr>
              <w:adjustRightInd w:val="0"/>
              <w:snapToGrid w:val="0"/>
              <w:rPr>
                <w:rFonts w:ascii="Times New Roman" w:hAnsi="Times New Roman" w:eastAsiaTheme="minorEastAsia"/>
              </w:rPr>
            </w:pPr>
            <w:r>
              <w:rPr>
                <w:rFonts w:ascii="Segoe UI Symbol" w:hAnsi="Segoe UI Symbol" w:cs="Segoe UI Symbol" w:eastAsiaTheme="minorEastAsia"/>
              </w:rPr>
              <w:t>☑</w:t>
            </w:r>
            <w:r>
              <w:rPr>
                <w:rFonts w:ascii="Times New Roman" w:hAnsi="Times New Roman" w:eastAsiaTheme="minorEastAsia"/>
              </w:rPr>
              <w:t>企业总排</w:t>
            </w:r>
          </w:p>
          <w:p>
            <w:pPr>
              <w:adjustRightInd w:val="0"/>
              <w:snapToGrid w:val="0"/>
              <w:rPr>
                <w:rFonts w:ascii="Times New Roman" w:hAnsi="Times New Roman" w:eastAsiaTheme="minorEastAsia"/>
              </w:rPr>
            </w:pPr>
            <w:r>
              <w:rPr>
                <w:rFonts w:ascii="Times New Roman" w:hAnsi="Times New Roman" w:eastAsiaTheme="minorEastAsia"/>
              </w:rPr>
              <w:t>口雨水排放</w:t>
            </w:r>
          </w:p>
          <w:p>
            <w:pPr>
              <w:adjustRightInd w:val="0"/>
              <w:snapToGrid w:val="0"/>
              <w:rPr>
                <w:rFonts w:ascii="Times New Roman" w:hAnsi="Times New Roman" w:eastAsiaTheme="minorEastAsia"/>
              </w:rPr>
            </w:pPr>
            <w:r>
              <w:rPr>
                <w:rFonts w:ascii="Times New Roman" w:hAnsi="Times New Roman" w:eastAsiaTheme="minorEastAsia"/>
              </w:rPr>
              <w:t>口清净下水排放</w:t>
            </w:r>
          </w:p>
          <w:p>
            <w:pPr>
              <w:adjustRightInd w:val="0"/>
              <w:snapToGrid w:val="0"/>
              <w:rPr>
                <w:rFonts w:ascii="Times New Roman" w:hAnsi="Times New Roman" w:eastAsiaTheme="minorEastAsia"/>
              </w:rPr>
            </w:pPr>
            <w:r>
              <w:rPr>
                <w:rFonts w:ascii="Times New Roman" w:hAnsi="Times New Roman" w:eastAsiaTheme="minorEastAsia"/>
              </w:rPr>
              <w:t>口温排水排放</w:t>
            </w:r>
          </w:p>
          <w:p>
            <w:pPr>
              <w:adjustRightInd w:val="0"/>
              <w:snapToGrid w:val="0"/>
              <w:rPr>
                <w:rFonts w:ascii="Times New Roman" w:hAnsi="Times New Roman" w:eastAsiaTheme="minorEastAsia"/>
              </w:rPr>
            </w:pPr>
            <w:r>
              <w:rPr>
                <w:rFonts w:ascii="Times New Roman" w:hAnsi="Times New Roman" w:eastAsiaTheme="minorEastAsia"/>
              </w:rPr>
              <w:t>口车间或车间处理设施排放口</w:t>
            </w:r>
          </w:p>
        </w:tc>
      </w:tr>
    </w:tbl>
    <w:p>
      <w:pPr>
        <w:adjustRightInd w:val="0"/>
        <w:snapToGrid w:val="0"/>
        <w:spacing w:line="360" w:lineRule="auto"/>
        <w:rPr>
          <w:rFonts w:ascii="Times New Roman" w:hAnsi="Times New Roman" w:eastAsiaTheme="minorEastAsia"/>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项目废水污染物排放执行标准见表6.1-2。</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表6.1-2  废水污染物排放执行标准表</w:t>
      </w:r>
    </w:p>
    <w:tbl>
      <w:tblPr>
        <w:tblStyle w:val="7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850"/>
        <w:gridCol w:w="1281"/>
        <w:gridCol w:w="1423"/>
        <w:gridCol w:w="2848"/>
        <w:gridCol w:w="26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67"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序号</w:t>
            </w:r>
          </w:p>
        </w:tc>
        <w:tc>
          <w:tcPr>
            <w:tcW w:w="704"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排放口编号</w:t>
            </w:r>
          </w:p>
        </w:tc>
        <w:tc>
          <w:tcPr>
            <w:tcW w:w="782" w:type="pct"/>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污染物种类</w:t>
            </w:r>
          </w:p>
        </w:tc>
        <w:tc>
          <w:tcPr>
            <w:tcW w:w="3047" w:type="pct"/>
            <w:gridSpan w:val="2"/>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国家或地方污染物排放标准及其他按规定商定的排放协议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67" w:type="pct"/>
            <w:vMerge w:val="continue"/>
            <w:vAlign w:val="center"/>
          </w:tcPr>
          <w:p>
            <w:pPr>
              <w:adjustRightInd w:val="0"/>
              <w:snapToGrid w:val="0"/>
              <w:jc w:val="center"/>
              <w:rPr>
                <w:rFonts w:ascii="Times New Roman" w:hAnsi="Times New Roman" w:eastAsiaTheme="minorEastAsia"/>
                <w:b/>
              </w:rPr>
            </w:pPr>
          </w:p>
        </w:tc>
        <w:tc>
          <w:tcPr>
            <w:tcW w:w="704" w:type="pct"/>
            <w:vMerge w:val="continue"/>
            <w:vAlign w:val="center"/>
          </w:tcPr>
          <w:p>
            <w:pPr>
              <w:adjustRightInd w:val="0"/>
              <w:snapToGrid w:val="0"/>
              <w:jc w:val="center"/>
              <w:rPr>
                <w:rFonts w:ascii="Times New Roman" w:hAnsi="Times New Roman" w:eastAsiaTheme="minorEastAsia"/>
                <w:b/>
              </w:rPr>
            </w:pPr>
          </w:p>
        </w:tc>
        <w:tc>
          <w:tcPr>
            <w:tcW w:w="782" w:type="pct"/>
            <w:vMerge w:val="continue"/>
            <w:vAlign w:val="center"/>
          </w:tcPr>
          <w:p>
            <w:pPr>
              <w:adjustRightInd w:val="0"/>
              <w:snapToGrid w:val="0"/>
              <w:jc w:val="center"/>
              <w:rPr>
                <w:rFonts w:ascii="Times New Roman" w:hAnsi="Times New Roman" w:eastAsiaTheme="minorEastAsia"/>
                <w:b/>
              </w:rPr>
            </w:pPr>
          </w:p>
        </w:tc>
        <w:tc>
          <w:tcPr>
            <w:tcW w:w="1565"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污染物种类</w:t>
            </w:r>
          </w:p>
        </w:tc>
        <w:tc>
          <w:tcPr>
            <w:tcW w:w="1482"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浓度限值/（毫克/升）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67" w:type="pct"/>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w:t>
            </w:r>
          </w:p>
        </w:tc>
        <w:tc>
          <w:tcPr>
            <w:tcW w:w="704" w:type="pct"/>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DW001</w:t>
            </w:r>
          </w:p>
        </w:tc>
        <w:tc>
          <w:tcPr>
            <w:tcW w:w="782" w:type="pct"/>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COD、悬浮物、氨氮、BOD</w:t>
            </w:r>
            <w:r>
              <w:rPr>
                <w:rFonts w:ascii="Times New Roman" w:hAnsi="Times New Roman" w:eastAsiaTheme="minorEastAsia"/>
                <w:vertAlign w:val="subscript"/>
              </w:rPr>
              <w:t>5</w:t>
            </w:r>
            <w:r>
              <w:rPr>
                <w:rFonts w:ascii="Times New Roman" w:hAnsi="Times New Roman" w:eastAsiaTheme="minorEastAsia"/>
              </w:rPr>
              <w:t>、石油类</w:t>
            </w:r>
          </w:p>
        </w:tc>
        <w:tc>
          <w:tcPr>
            <w:tcW w:w="1565"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COD</w:t>
            </w:r>
          </w:p>
        </w:tc>
        <w:tc>
          <w:tcPr>
            <w:tcW w:w="148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67" w:type="pct"/>
            <w:vMerge w:val="continue"/>
            <w:vAlign w:val="center"/>
          </w:tcPr>
          <w:p>
            <w:pPr>
              <w:adjustRightInd w:val="0"/>
              <w:snapToGrid w:val="0"/>
              <w:jc w:val="center"/>
              <w:rPr>
                <w:rFonts w:ascii="Times New Roman" w:hAnsi="Times New Roman" w:eastAsiaTheme="minorEastAsia"/>
              </w:rPr>
            </w:pPr>
          </w:p>
        </w:tc>
        <w:tc>
          <w:tcPr>
            <w:tcW w:w="704" w:type="pct"/>
            <w:vMerge w:val="continue"/>
            <w:vAlign w:val="center"/>
          </w:tcPr>
          <w:p>
            <w:pPr>
              <w:adjustRightInd w:val="0"/>
              <w:snapToGrid w:val="0"/>
              <w:jc w:val="center"/>
              <w:rPr>
                <w:rFonts w:ascii="Times New Roman" w:hAnsi="Times New Roman" w:eastAsiaTheme="minorEastAsia"/>
              </w:rPr>
            </w:pPr>
          </w:p>
        </w:tc>
        <w:tc>
          <w:tcPr>
            <w:tcW w:w="782" w:type="pct"/>
            <w:vMerge w:val="continue"/>
            <w:vAlign w:val="center"/>
          </w:tcPr>
          <w:p>
            <w:pPr>
              <w:adjustRightInd w:val="0"/>
              <w:snapToGrid w:val="0"/>
              <w:jc w:val="center"/>
              <w:rPr>
                <w:rFonts w:ascii="Times New Roman" w:hAnsi="Times New Roman" w:eastAsiaTheme="minorEastAsia"/>
              </w:rPr>
            </w:pPr>
          </w:p>
        </w:tc>
        <w:tc>
          <w:tcPr>
            <w:tcW w:w="1565"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悬浮物</w:t>
            </w:r>
          </w:p>
        </w:tc>
        <w:tc>
          <w:tcPr>
            <w:tcW w:w="148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67" w:type="pct"/>
            <w:vMerge w:val="continue"/>
            <w:vAlign w:val="center"/>
          </w:tcPr>
          <w:p>
            <w:pPr>
              <w:adjustRightInd w:val="0"/>
              <w:snapToGrid w:val="0"/>
              <w:jc w:val="center"/>
              <w:rPr>
                <w:rFonts w:ascii="Times New Roman" w:hAnsi="Times New Roman" w:eastAsiaTheme="minorEastAsia"/>
              </w:rPr>
            </w:pPr>
          </w:p>
        </w:tc>
        <w:tc>
          <w:tcPr>
            <w:tcW w:w="704" w:type="pct"/>
            <w:vMerge w:val="continue"/>
            <w:vAlign w:val="center"/>
          </w:tcPr>
          <w:p>
            <w:pPr>
              <w:adjustRightInd w:val="0"/>
              <w:snapToGrid w:val="0"/>
              <w:jc w:val="center"/>
              <w:rPr>
                <w:rFonts w:ascii="Times New Roman" w:hAnsi="Times New Roman" w:eastAsiaTheme="minorEastAsia"/>
              </w:rPr>
            </w:pPr>
          </w:p>
        </w:tc>
        <w:tc>
          <w:tcPr>
            <w:tcW w:w="782" w:type="pct"/>
            <w:vMerge w:val="continue"/>
            <w:vAlign w:val="center"/>
          </w:tcPr>
          <w:p>
            <w:pPr>
              <w:adjustRightInd w:val="0"/>
              <w:snapToGrid w:val="0"/>
              <w:jc w:val="center"/>
              <w:rPr>
                <w:rFonts w:ascii="Times New Roman" w:hAnsi="Times New Roman" w:eastAsiaTheme="minorEastAsia"/>
              </w:rPr>
            </w:pPr>
          </w:p>
        </w:tc>
        <w:tc>
          <w:tcPr>
            <w:tcW w:w="1565"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氨氮</w:t>
            </w:r>
          </w:p>
        </w:tc>
        <w:tc>
          <w:tcPr>
            <w:tcW w:w="148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67" w:type="pct"/>
            <w:vMerge w:val="continue"/>
            <w:vAlign w:val="center"/>
          </w:tcPr>
          <w:p>
            <w:pPr>
              <w:adjustRightInd w:val="0"/>
              <w:snapToGrid w:val="0"/>
              <w:jc w:val="center"/>
              <w:rPr>
                <w:rFonts w:ascii="Times New Roman" w:hAnsi="Times New Roman" w:eastAsiaTheme="minorEastAsia"/>
              </w:rPr>
            </w:pPr>
          </w:p>
        </w:tc>
        <w:tc>
          <w:tcPr>
            <w:tcW w:w="704" w:type="pct"/>
            <w:vMerge w:val="continue"/>
            <w:vAlign w:val="center"/>
          </w:tcPr>
          <w:p>
            <w:pPr>
              <w:adjustRightInd w:val="0"/>
              <w:snapToGrid w:val="0"/>
              <w:jc w:val="center"/>
              <w:rPr>
                <w:rFonts w:ascii="Times New Roman" w:hAnsi="Times New Roman" w:eastAsiaTheme="minorEastAsia"/>
              </w:rPr>
            </w:pPr>
          </w:p>
        </w:tc>
        <w:tc>
          <w:tcPr>
            <w:tcW w:w="782" w:type="pct"/>
            <w:vMerge w:val="continue"/>
            <w:vAlign w:val="center"/>
          </w:tcPr>
          <w:p>
            <w:pPr>
              <w:adjustRightInd w:val="0"/>
              <w:snapToGrid w:val="0"/>
              <w:jc w:val="center"/>
              <w:rPr>
                <w:rFonts w:ascii="Times New Roman" w:hAnsi="Times New Roman" w:eastAsiaTheme="minorEastAsia"/>
              </w:rPr>
            </w:pPr>
          </w:p>
        </w:tc>
        <w:tc>
          <w:tcPr>
            <w:tcW w:w="1565"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BOD</w:t>
            </w:r>
            <w:r>
              <w:rPr>
                <w:rFonts w:ascii="Times New Roman" w:hAnsi="Times New Roman" w:eastAsiaTheme="minorEastAsia"/>
                <w:vertAlign w:val="subscript"/>
              </w:rPr>
              <w:t>5</w:t>
            </w:r>
          </w:p>
        </w:tc>
        <w:tc>
          <w:tcPr>
            <w:tcW w:w="148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67" w:type="pct"/>
            <w:vMerge w:val="continue"/>
            <w:vAlign w:val="center"/>
          </w:tcPr>
          <w:p>
            <w:pPr>
              <w:adjustRightInd w:val="0"/>
              <w:snapToGrid w:val="0"/>
              <w:jc w:val="center"/>
              <w:rPr>
                <w:rFonts w:ascii="Times New Roman" w:hAnsi="Times New Roman" w:eastAsiaTheme="minorEastAsia"/>
              </w:rPr>
            </w:pPr>
          </w:p>
        </w:tc>
        <w:tc>
          <w:tcPr>
            <w:tcW w:w="704" w:type="pct"/>
            <w:vMerge w:val="continue"/>
            <w:vAlign w:val="center"/>
          </w:tcPr>
          <w:p>
            <w:pPr>
              <w:adjustRightInd w:val="0"/>
              <w:snapToGrid w:val="0"/>
              <w:jc w:val="center"/>
              <w:rPr>
                <w:rFonts w:ascii="Times New Roman" w:hAnsi="Times New Roman" w:eastAsiaTheme="minorEastAsia"/>
              </w:rPr>
            </w:pPr>
          </w:p>
        </w:tc>
        <w:tc>
          <w:tcPr>
            <w:tcW w:w="782" w:type="pct"/>
            <w:vMerge w:val="continue"/>
            <w:vAlign w:val="center"/>
          </w:tcPr>
          <w:p>
            <w:pPr>
              <w:adjustRightInd w:val="0"/>
              <w:snapToGrid w:val="0"/>
              <w:jc w:val="center"/>
              <w:rPr>
                <w:rFonts w:ascii="Times New Roman" w:hAnsi="Times New Roman" w:eastAsiaTheme="minorEastAsia"/>
              </w:rPr>
            </w:pPr>
          </w:p>
        </w:tc>
        <w:tc>
          <w:tcPr>
            <w:tcW w:w="1565"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石油类</w:t>
            </w:r>
          </w:p>
        </w:tc>
        <w:tc>
          <w:tcPr>
            <w:tcW w:w="1482"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≤10</w:t>
            </w:r>
          </w:p>
        </w:tc>
      </w:tr>
    </w:tbl>
    <w:p>
      <w:pPr>
        <w:adjustRightInd w:val="0"/>
        <w:snapToGrid w:val="0"/>
        <w:spacing w:line="360" w:lineRule="auto"/>
        <w:ind w:firstLine="482"/>
        <w:rPr>
          <w:rFonts w:ascii="Times New Roman" w:hAnsi="Times New Roman" w:eastAsiaTheme="minorEastAsia"/>
          <w:sz w:val="24"/>
          <w:szCs w:val="24"/>
        </w:rPr>
      </w:pP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项目废水污染物排放信息见表6.1-3。</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表6.1-3  废水污染物排放信息表</w:t>
      </w:r>
    </w:p>
    <w:tbl>
      <w:tblPr>
        <w:tblStyle w:val="7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708"/>
        <w:gridCol w:w="1279"/>
        <w:gridCol w:w="1281"/>
        <w:gridCol w:w="2139"/>
        <w:gridCol w:w="1856"/>
        <w:gridCol w:w="18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89"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序号</w:t>
            </w:r>
          </w:p>
        </w:tc>
        <w:tc>
          <w:tcPr>
            <w:tcW w:w="703"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排放口编号</w:t>
            </w:r>
          </w:p>
        </w:tc>
        <w:tc>
          <w:tcPr>
            <w:tcW w:w="704"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污染物种类</w:t>
            </w:r>
          </w:p>
        </w:tc>
        <w:tc>
          <w:tcPr>
            <w:tcW w:w="1175"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排放浓度（毫克/升）</w:t>
            </w:r>
          </w:p>
        </w:tc>
        <w:tc>
          <w:tcPr>
            <w:tcW w:w="1020"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日排放量（吨/天）</w:t>
            </w:r>
          </w:p>
        </w:tc>
        <w:tc>
          <w:tcPr>
            <w:tcW w:w="1009"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年排放量（吨/年）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89" w:type="pct"/>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w:t>
            </w:r>
          </w:p>
        </w:tc>
        <w:tc>
          <w:tcPr>
            <w:tcW w:w="703" w:type="pct"/>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DW001</w:t>
            </w:r>
          </w:p>
        </w:tc>
        <w:tc>
          <w:tcPr>
            <w:tcW w:w="70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COD</w:t>
            </w:r>
          </w:p>
        </w:tc>
        <w:tc>
          <w:tcPr>
            <w:tcW w:w="1175" w:type="pct"/>
            <w:vAlign w:val="center"/>
          </w:tcPr>
          <w:p>
            <w:pPr>
              <w:jc w:val="center"/>
              <w:rPr>
                <w:rFonts w:ascii="Times New Roman" w:hAnsi="Times New Roman" w:eastAsiaTheme="minorEastAsia"/>
              </w:rPr>
            </w:pPr>
            <w:r>
              <w:rPr>
                <w:rFonts w:ascii="Times New Roman" w:hAnsi="Times New Roman" w:eastAsiaTheme="minorEastAsia"/>
              </w:rPr>
              <w:t>100</w:t>
            </w:r>
          </w:p>
        </w:tc>
        <w:tc>
          <w:tcPr>
            <w:tcW w:w="102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0.390</w:t>
            </w:r>
          </w:p>
        </w:tc>
        <w:tc>
          <w:tcPr>
            <w:tcW w:w="100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0.129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89" w:type="pct"/>
            <w:vMerge w:val="continue"/>
            <w:vAlign w:val="center"/>
          </w:tcPr>
          <w:p>
            <w:pPr>
              <w:adjustRightInd w:val="0"/>
              <w:snapToGrid w:val="0"/>
              <w:jc w:val="center"/>
              <w:rPr>
                <w:rFonts w:ascii="Times New Roman" w:hAnsi="Times New Roman" w:eastAsiaTheme="minorEastAsia"/>
              </w:rPr>
            </w:pPr>
          </w:p>
        </w:tc>
        <w:tc>
          <w:tcPr>
            <w:tcW w:w="703" w:type="pct"/>
            <w:vMerge w:val="continue"/>
            <w:vAlign w:val="center"/>
          </w:tcPr>
          <w:p>
            <w:pPr>
              <w:adjustRightInd w:val="0"/>
              <w:snapToGrid w:val="0"/>
              <w:jc w:val="center"/>
              <w:rPr>
                <w:rFonts w:ascii="Times New Roman" w:hAnsi="Times New Roman" w:eastAsiaTheme="minorEastAsia"/>
              </w:rPr>
            </w:pPr>
          </w:p>
        </w:tc>
        <w:tc>
          <w:tcPr>
            <w:tcW w:w="70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悬浮物</w:t>
            </w:r>
          </w:p>
        </w:tc>
        <w:tc>
          <w:tcPr>
            <w:tcW w:w="1175" w:type="pct"/>
            <w:vAlign w:val="center"/>
          </w:tcPr>
          <w:p>
            <w:pPr>
              <w:jc w:val="center"/>
              <w:rPr>
                <w:rFonts w:ascii="Times New Roman" w:hAnsi="Times New Roman" w:eastAsiaTheme="minorEastAsia"/>
              </w:rPr>
            </w:pPr>
            <w:r>
              <w:rPr>
                <w:rFonts w:ascii="Times New Roman" w:hAnsi="Times New Roman" w:eastAsiaTheme="minorEastAsia"/>
              </w:rPr>
              <w:t>70</w:t>
            </w:r>
          </w:p>
        </w:tc>
        <w:tc>
          <w:tcPr>
            <w:tcW w:w="102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0.600</w:t>
            </w:r>
          </w:p>
        </w:tc>
        <w:tc>
          <w:tcPr>
            <w:tcW w:w="100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0.198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89" w:type="pct"/>
            <w:vMerge w:val="continue"/>
            <w:vAlign w:val="center"/>
          </w:tcPr>
          <w:p>
            <w:pPr>
              <w:adjustRightInd w:val="0"/>
              <w:snapToGrid w:val="0"/>
              <w:jc w:val="center"/>
              <w:rPr>
                <w:rFonts w:ascii="Times New Roman" w:hAnsi="Times New Roman" w:eastAsiaTheme="minorEastAsia"/>
              </w:rPr>
            </w:pPr>
          </w:p>
        </w:tc>
        <w:tc>
          <w:tcPr>
            <w:tcW w:w="703" w:type="pct"/>
            <w:vMerge w:val="continue"/>
            <w:vAlign w:val="center"/>
          </w:tcPr>
          <w:p>
            <w:pPr>
              <w:adjustRightInd w:val="0"/>
              <w:snapToGrid w:val="0"/>
              <w:jc w:val="center"/>
              <w:rPr>
                <w:rFonts w:ascii="Times New Roman" w:hAnsi="Times New Roman" w:eastAsiaTheme="minorEastAsia"/>
              </w:rPr>
            </w:pPr>
          </w:p>
        </w:tc>
        <w:tc>
          <w:tcPr>
            <w:tcW w:w="70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氨氮</w:t>
            </w:r>
          </w:p>
        </w:tc>
        <w:tc>
          <w:tcPr>
            <w:tcW w:w="1175" w:type="pct"/>
            <w:vAlign w:val="center"/>
          </w:tcPr>
          <w:p>
            <w:pPr>
              <w:jc w:val="center"/>
              <w:rPr>
                <w:rFonts w:ascii="Times New Roman" w:hAnsi="Times New Roman" w:eastAsiaTheme="minorEastAsia"/>
              </w:rPr>
            </w:pPr>
            <w:r>
              <w:rPr>
                <w:rFonts w:ascii="Times New Roman" w:hAnsi="Times New Roman" w:eastAsiaTheme="minorEastAsia"/>
              </w:rPr>
              <w:t>15</w:t>
            </w:r>
          </w:p>
        </w:tc>
        <w:tc>
          <w:tcPr>
            <w:tcW w:w="102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0.026</w:t>
            </w:r>
          </w:p>
        </w:tc>
        <w:tc>
          <w:tcPr>
            <w:tcW w:w="100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89" w:type="pct"/>
            <w:vMerge w:val="continue"/>
            <w:vAlign w:val="center"/>
          </w:tcPr>
          <w:p>
            <w:pPr>
              <w:adjustRightInd w:val="0"/>
              <w:snapToGrid w:val="0"/>
              <w:jc w:val="center"/>
              <w:rPr>
                <w:rFonts w:ascii="Times New Roman" w:hAnsi="Times New Roman" w:eastAsiaTheme="minorEastAsia"/>
              </w:rPr>
            </w:pPr>
          </w:p>
        </w:tc>
        <w:tc>
          <w:tcPr>
            <w:tcW w:w="703" w:type="pct"/>
            <w:vMerge w:val="continue"/>
            <w:vAlign w:val="center"/>
          </w:tcPr>
          <w:p>
            <w:pPr>
              <w:adjustRightInd w:val="0"/>
              <w:snapToGrid w:val="0"/>
              <w:jc w:val="center"/>
              <w:rPr>
                <w:rFonts w:ascii="Times New Roman" w:hAnsi="Times New Roman" w:eastAsiaTheme="minorEastAsia"/>
              </w:rPr>
            </w:pPr>
          </w:p>
        </w:tc>
        <w:tc>
          <w:tcPr>
            <w:tcW w:w="70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BOD</w:t>
            </w:r>
            <w:r>
              <w:rPr>
                <w:rFonts w:ascii="Times New Roman" w:hAnsi="Times New Roman" w:eastAsiaTheme="minorEastAsia"/>
                <w:vertAlign w:val="subscript"/>
              </w:rPr>
              <w:t>5</w:t>
            </w:r>
          </w:p>
        </w:tc>
        <w:tc>
          <w:tcPr>
            <w:tcW w:w="1175" w:type="pct"/>
            <w:vAlign w:val="center"/>
          </w:tcPr>
          <w:p>
            <w:pPr>
              <w:jc w:val="center"/>
              <w:rPr>
                <w:rFonts w:ascii="Times New Roman" w:hAnsi="Times New Roman" w:eastAsiaTheme="minorEastAsia"/>
              </w:rPr>
            </w:pPr>
            <w:r>
              <w:rPr>
                <w:rFonts w:ascii="Times New Roman" w:hAnsi="Times New Roman" w:eastAsiaTheme="minorEastAsia"/>
              </w:rPr>
              <w:t>30</w:t>
            </w:r>
          </w:p>
        </w:tc>
        <w:tc>
          <w:tcPr>
            <w:tcW w:w="102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0.052</w:t>
            </w:r>
          </w:p>
        </w:tc>
        <w:tc>
          <w:tcPr>
            <w:tcW w:w="100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89" w:type="pct"/>
            <w:vMerge w:val="continue"/>
            <w:vAlign w:val="center"/>
          </w:tcPr>
          <w:p>
            <w:pPr>
              <w:adjustRightInd w:val="0"/>
              <w:snapToGrid w:val="0"/>
              <w:jc w:val="center"/>
              <w:rPr>
                <w:rFonts w:ascii="Times New Roman" w:hAnsi="Times New Roman" w:eastAsiaTheme="minorEastAsia"/>
              </w:rPr>
            </w:pPr>
          </w:p>
        </w:tc>
        <w:tc>
          <w:tcPr>
            <w:tcW w:w="703" w:type="pct"/>
            <w:vMerge w:val="continue"/>
            <w:vAlign w:val="center"/>
          </w:tcPr>
          <w:p>
            <w:pPr>
              <w:adjustRightInd w:val="0"/>
              <w:snapToGrid w:val="0"/>
              <w:jc w:val="center"/>
              <w:rPr>
                <w:rFonts w:ascii="Times New Roman" w:hAnsi="Times New Roman" w:eastAsiaTheme="minorEastAsia"/>
              </w:rPr>
            </w:pPr>
          </w:p>
        </w:tc>
        <w:tc>
          <w:tcPr>
            <w:tcW w:w="70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石油类</w:t>
            </w:r>
          </w:p>
        </w:tc>
        <w:tc>
          <w:tcPr>
            <w:tcW w:w="1175" w:type="pct"/>
            <w:vAlign w:val="center"/>
          </w:tcPr>
          <w:p>
            <w:pPr>
              <w:jc w:val="center"/>
              <w:rPr>
                <w:rFonts w:ascii="Times New Roman" w:hAnsi="Times New Roman" w:eastAsiaTheme="minorEastAsia"/>
              </w:rPr>
            </w:pPr>
            <w:r>
              <w:rPr>
                <w:rFonts w:ascii="Times New Roman" w:hAnsi="Times New Roman" w:eastAsiaTheme="minorEastAsia"/>
              </w:rPr>
              <w:t>10</w:t>
            </w:r>
          </w:p>
        </w:tc>
        <w:tc>
          <w:tcPr>
            <w:tcW w:w="102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0.022</w:t>
            </w:r>
          </w:p>
        </w:tc>
        <w:tc>
          <w:tcPr>
            <w:tcW w:w="100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92" w:type="pct"/>
            <w:gridSpan w:val="2"/>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排放口合计</w:t>
            </w:r>
          </w:p>
        </w:tc>
        <w:tc>
          <w:tcPr>
            <w:tcW w:w="2899" w:type="pct"/>
            <w:gridSpan w:val="3"/>
            <w:vAlign w:val="center"/>
          </w:tcPr>
          <w:p>
            <w:pPr>
              <w:adjustRightInd w:val="0"/>
              <w:snapToGrid w:val="0"/>
              <w:jc w:val="center"/>
              <w:rPr>
                <w:rFonts w:ascii="Times New Roman" w:hAnsi="Times New Roman" w:eastAsiaTheme="minorEastAsia"/>
              </w:rPr>
            </w:pPr>
            <w:r>
              <w:rPr>
                <w:rFonts w:ascii="Times New Roman" w:hAnsi="Times New Roman" w:eastAsiaTheme="minorEastAsia"/>
              </w:rPr>
              <w:t>COD</w:t>
            </w:r>
          </w:p>
        </w:tc>
        <w:tc>
          <w:tcPr>
            <w:tcW w:w="100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0.129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92" w:type="pct"/>
            <w:gridSpan w:val="2"/>
            <w:vMerge w:val="continue"/>
            <w:vAlign w:val="center"/>
          </w:tcPr>
          <w:p>
            <w:pPr>
              <w:adjustRightInd w:val="0"/>
              <w:snapToGrid w:val="0"/>
              <w:jc w:val="center"/>
              <w:rPr>
                <w:rFonts w:ascii="Times New Roman" w:hAnsi="Times New Roman" w:eastAsiaTheme="minorEastAsia"/>
              </w:rPr>
            </w:pPr>
          </w:p>
        </w:tc>
        <w:tc>
          <w:tcPr>
            <w:tcW w:w="2899" w:type="pct"/>
            <w:gridSpan w:val="3"/>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悬浮物</w:t>
            </w:r>
          </w:p>
        </w:tc>
        <w:tc>
          <w:tcPr>
            <w:tcW w:w="100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0.198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92" w:type="pct"/>
            <w:gridSpan w:val="2"/>
            <w:vMerge w:val="continue"/>
            <w:vAlign w:val="center"/>
          </w:tcPr>
          <w:p>
            <w:pPr>
              <w:adjustRightInd w:val="0"/>
              <w:snapToGrid w:val="0"/>
              <w:jc w:val="center"/>
              <w:rPr>
                <w:rFonts w:ascii="Times New Roman" w:hAnsi="Times New Roman" w:eastAsiaTheme="minorEastAsia"/>
              </w:rPr>
            </w:pPr>
          </w:p>
        </w:tc>
        <w:tc>
          <w:tcPr>
            <w:tcW w:w="2899" w:type="pct"/>
            <w:gridSpan w:val="3"/>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氨氮</w:t>
            </w:r>
          </w:p>
        </w:tc>
        <w:tc>
          <w:tcPr>
            <w:tcW w:w="100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92" w:type="pct"/>
            <w:gridSpan w:val="2"/>
            <w:vMerge w:val="continue"/>
            <w:vAlign w:val="center"/>
          </w:tcPr>
          <w:p>
            <w:pPr>
              <w:adjustRightInd w:val="0"/>
              <w:snapToGrid w:val="0"/>
              <w:jc w:val="center"/>
              <w:rPr>
                <w:rFonts w:ascii="Times New Roman" w:hAnsi="Times New Roman" w:eastAsiaTheme="minorEastAsia"/>
              </w:rPr>
            </w:pPr>
          </w:p>
        </w:tc>
        <w:tc>
          <w:tcPr>
            <w:tcW w:w="2899" w:type="pct"/>
            <w:gridSpan w:val="3"/>
            <w:vAlign w:val="center"/>
          </w:tcPr>
          <w:p>
            <w:pPr>
              <w:adjustRightInd w:val="0"/>
              <w:snapToGrid w:val="0"/>
              <w:jc w:val="center"/>
              <w:rPr>
                <w:rFonts w:ascii="Times New Roman" w:hAnsi="Times New Roman" w:eastAsiaTheme="minorEastAsia"/>
              </w:rPr>
            </w:pPr>
            <w:r>
              <w:rPr>
                <w:rFonts w:ascii="Times New Roman" w:hAnsi="Times New Roman" w:eastAsiaTheme="minorEastAsia"/>
              </w:rPr>
              <w:t>BOD</w:t>
            </w:r>
            <w:r>
              <w:rPr>
                <w:rFonts w:ascii="Times New Roman" w:hAnsi="Times New Roman" w:eastAsiaTheme="minorEastAsia"/>
                <w:vertAlign w:val="subscript"/>
              </w:rPr>
              <w:t>5</w:t>
            </w:r>
          </w:p>
        </w:tc>
        <w:tc>
          <w:tcPr>
            <w:tcW w:w="100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92" w:type="pct"/>
            <w:gridSpan w:val="2"/>
            <w:vMerge w:val="continue"/>
            <w:vAlign w:val="center"/>
          </w:tcPr>
          <w:p>
            <w:pPr>
              <w:adjustRightInd w:val="0"/>
              <w:snapToGrid w:val="0"/>
              <w:jc w:val="center"/>
              <w:rPr>
                <w:rFonts w:ascii="Times New Roman" w:hAnsi="Times New Roman" w:eastAsiaTheme="minorEastAsia"/>
              </w:rPr>
            </w:pPr>
          </w:p>
        </w:tc>
        <w:tc>
          <w:tcPr>
            <w:tcW w:w="2899" w:type="pct"/>
            <w:gridSpan w:val="3"/>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石油类</w:t>
            </w:r>
          </w:p>
        </w:tc>
        <w:tc>
          <w:tcPr>
            <w:tcW w:w="100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0.007</w:t>
            </w:r>
          </w:p>
        </w:tc>
      </w:tr>
    </w:tbl>
    <w:p>
      <w:pPr>
        <w:adjustRightInd w:val="0"/>
        <w:snapToGrid w:val="0"/>
        <w:spacing w:line="360" w:lineRule="auto"/>
        <w:ind w:firstLine="482"/>
        <w:rPr>
          <w:rFonts w:ascii="Times New Roman" w:hAnsi="Times New Roman" w:eastAsiaTheme="minorEastAsia"/>
          <w:sz w:val="24"/>
          <w:szCs w:val="24"/>
        </w:rPr>
      </w:pPr>
    </w:p>
    <w:p>
      <w:pPr>
        <w:pStyle w:val="5"/>
        <w:rPr>
          <w:rFonts w:eastAsiaTheme="minorEastAsia"/>
        </w:rPr>
      </w:pPr>
      <w:r>
        <w:rPr>
          <w:rFonts w:eastAsiaTheme="minorEastAsia"/>
        </w:rPr>
        <w:t>对河流水文影响分析</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根据《华能岳阳电厂码头及岸线综合利用工程可行性研究报告》，本码头为顺岸式布置，采用直立式岸壁结构，底部与长江河岸线基本在一平面线上，没有束窄河道，对长江的水面面积、水量、径流过程、水位、水深、流速、水面宽、冲淤变化等基本没有影响。因此，本项目对长江河水文要素影响较小。</w:t>
      </w:r>
    </w:p>
    <w:p>
      <w:pPr>
        <w:pStyle w:val="3"/>
        <w:rPr>
          <w:rFonts w:ascii="Times New Roman" w:hAnsi="Times New Roman" w:eastAsiaTheme="minorEastAsia"/>
          <w:b/>
        </w:rPr>
      </w:pPr>
      <w:bookmarkStart w:id="139" w:name="_Toc17388"/>
      <w:r>
        <w:rPr>
          <w:rFonts w:ascii="Times New Roman" w:hAnsi="Times New Roman" w:eastAsiaTheme="minorEastAsia"/>
          <w:b/>
        </w:rPr>
        <w:t>地下水环境影响评价</w:t>
      </w:r>
      <w:bookmarkEnd w:id="139"/>
    </w:p>
    <w:p>
      <w:pPr>
        <w:pStyle w:val="4"/>
        <w:rPr>
          <w:rFonts w:eastAsiaTheme="minorEastAsia"/>
          <w:szCs w:val="24"/>
        </w:rPr>
      </w:pPr>
      <w:r>
        <w:rPr>
          <w:rFonts w:eastAsiaTheme="minorEastAsia"/>
        </w:rPr>
        <w:t>施工期地下水环境影响分析</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本项目施工期对地下水环境的影响主要表现在施工期生产废水、建筑材料堆放期间的淋渗水等对地下水环境的影响。材料堆场若物料堆放管理不严，施工机械设备漏油、机械维修过程中的残油等可能污染地下水。因此，为防止油料等物质不慎泄露对堆放场地附近的地下水环境带来影响，可在建筑材料堆放地设置一定的防渗区域，专门存放油料等物质。</w:t>
      </w:r>
    </w:p>
    <w:p>
      <w:pPr>
        <w:pStyle w:val="4"/>
        <w:rPr>
          <w:rFonts w:eastAsiaTheme="minorEastAsia"/>
        </w:rPr>
      </w:pPr>
      <w:r>
        <w:rPr>
          <w:rFonts w:eastAsiaTheme="minorEastAsia"/>
        </w:rPr>
        <w:t>营运期地下水环境影响分析</w:t>
      </w:r>
    </w:p>
    <w:p>
      <w:pPr>
        <w:pStyle w:val="4"/>
        <w:ind w:left="0" w:firstLine="0"/>
        <w:rPr>
          <w:rFonts w:eastAsiaTheme="minorEastAsia"/>
        </w:rPr>
      </w:pPr>
      <w:r>
        <w:rPr>
          <w:rFonts w:eastAsiaTheme="minorEastAsia"/>
        </w:rPr>
        <w:t>项目所在区域地质条件</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根据《华能岳阳电厂码头及岸线综合利用工程建设场地地质灾害危险性评估报告》，本项目所在区域地质条件如下：</w:t>
      </w:r>
    </w:p>
    <w:p>
      <w:pPr>
        <w:pStyle w:val="5"/>
        <w:rPr>
          <w:rFonts w:eastAsiaTheme="minorEastAsia"/>
          <w:color w:val="auto"/>
        </w:rPr>
      </w:pPr>
      <w:r>
        <w:rPr>
          <w:rFonts w:eastAsiaTheme="minorEastAsia"/>
          <w:color w:val="auto"/>
        </w:rPr>
        <w:t>地层岩性</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根据《1：20万岳阳幅区域地质报告》资料结合实地调查，评估区地层为第四系、冷家溪群。现将地层岩性从新至老分述如下：</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第四系全新统（Qh）：上部为褐黄色砂质粘土，厚1-4m，下部为砾石层，厚约3~5m。分布于整个场地。</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sz w:val="24"/>
          <w:szCs w:val="24"/>
        </w:rPr>
        <w:t xml:space="preserve"> 冷家溪群崔家坳组（Ptbne）：为深灰黑色泥质板岩。区域厚度大于100m。为整个场地基底岩石。</w:t>
      </w:r>
    </w:p>
    <w:p>
      <w:pPr>
        <w:pStyle w:val="5"/>
        <w:rPr>
          <w:rFonts w:eastAsiaTheme="minorEastAsia"/>
          <w:color w:val="auto"/>
        </w:rPr>
      </w:pPr>
      <w:r>
        <w:rPr>
          <w:rFonts w:eastAsiaTheme="minorEastAsia"/>
          <w:color w:val="auto"/>
        </w:rPr>
        <w:t>地质构造</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评估区地表第四系发育，基底岩石为冷家溪群崔家坳组泥质板岩。无区域深大断裂通过，为单斜构造，地质构造简单。</w:t>
      </w:r>
    </w:p>
    <w:p>
      <w:pPr>
        <w:pStyle w:val="5"/>
        <w:rPr>
          <w:rFonts w:eastAsiaTheme="minorEastAsia"/>
          <w:color w:val="auto"/>
        </w:rPr>
      </w:pPr>
      <w:r>
        <w:rPr>
          <w:rFonts w:eastAsiaTheme="minorEastAsia"/>
          <w:color w:val="auto"/>
        </w:rPr>
        <w:t>工程地质条件</w:t>
      </w:r>
    </w:p>
    <w:p>
      <w:pPr>
        <w:adjustRightInd w:val="0"/>
        <w:snapToGrid w:val="0"/>
        <w:spacing w:line="360" w:lineRule="auto"/>
        <w:ind w:firstLine="482"/>
        <w:rPr>
          <w:rFonts w:ascii="Times New Roman" w:hAnsi="Times New Roman" w:eastAsiaTheme="minorEastAsia"/>
          <w:b/>
          <w:bCs/>
          <w:sz w:val="24"/>
          <w:szCs w:val="24"/>
        </w:rPr>
      </w:pPr>
      <w:r>
        <w:rPr>
          <w:rFonts w:ascii="Times New Roman" w:hAnsi="Times New Roman" w:eastAsiaTheme="minorEastAsia"/>
          <w:b/>
          <w:bCs/>
          <w:sz w:val="24"/>
          <w:szCs w:val="24"/>
        </w:rPr>
        <w:t>1、土体工程地质特征</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双层结构砂质粘土、砾石层综合体：由第四系全新统冲积层组成，上为褐黄色砂质粘土，下部为砾石层，厚度4~10m。可塑软塑状态，含水量高。</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sz w:val="24"/>
          <w:szCs w:val="24"/>
        </w:rPr>
        <w:t xml:space="preserve"> 特殊性土</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①</w:t>
      </w:r>
      <w:r>
        <w:rPr>
          <w:rFonts w:ascii="Times New Roman" w:hAnsi="Times New Roman" w:eastAsiaTheme="minorEastAsia"/>
          <w:sz w:val="24"/>
          <w:szCs w:val="24"/>
        </w:rPr>
        <w:t xml:space="preserve"> 填筑土：主要分布于路堤处，地表坡面见到的为黄色、灰黄色、黄褐色粉质粘土、粘土，偶见含砾石粘土，砂壤土。填土多呈稍密～中密状态，成分以粘性土为主，具中等压缩性。</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②</w:t>
      </w:r>
      <w:r>
        <w:rPr>
          <w:rFonts w:ascii="Times New Roman" w:hAnsi="Times New Roman" w:eastAsiaTheme="minorEastAsia"/>
          <w:sz w:val="24"/>
          <w:szCs w:val="24"/>
        </w:rPr>
        <w:t xml:space="preserve"> 淤泥土：主要分布于长江干堤外侧河漫滩及内侧水塘内，为灰黑色淤泥质土，呈流塑状，属高压缩性土。河漫滩处淤泥土厚度较大，约3~5m，干堤内侧水塘淤泥土厚度为0.5~1.2m。</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b/>
          <w:bCs/>
          <w:sz w:val="24"/>
          <w:szCs w:val="24"/>
        </w:rPr>
        <w:t>2、岩体工程地质特征</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中硬薄-中层泥质板岩岩组：由冷家溪群崔家坳组泥质板岩组成，岩体基本质量等级为</w:t>
      </w:r>
      <w:r>
        <w:rPr>
          <w:rFonts w:hint="eastAsia" w:ascii="宋体" w:hAnsi="宋体" w:cs="宋体"/>
          <w:sz w:val="24"/>
          <w:szCs w:val="24"/>
        </w:rPr>
        <w:t>Ⅵ</w:t>
      </w:r>
      <w:r>
        <w:rPr>
          <w:rFonts w:ascii="Times New Roman" w:hAnsi="Times New Roman" w:eastAsiaTheme="minorEastAsia"/>
          <w:sz w:val="24"/>
          <w:szCs w:val="24"/>
        </w:rPr>
        <w:t>级，风化岩石质量等级有所降低，为V级。板岩风化节理裂隙发育，强风化层厚一般4.4~9m。新鲜岩石单轴抗压强度：板岩：20~50MPa，为拟建场地的基底岩石。</w:t>
      </w:r>
    </w:p>
    <w:p>
      <w:pPr>
        <w:pStyle w:val="5"/>
        <w:rPr>
          <w:rFonts w:eastAsiaTheme="minorEastAsia"/>
          <w:color w:val="auto"/>
        </w:rPr>
      </w:pPr>
      <w:r>
        <w:rPr>
          <w:rFonts w:eastAsiaTheme="minorEastAsia"/>
          <w:color w:val="auto"/>
        </w:rPr>
        <w:t>水文地质条件</w:t>
      </w:r>
    </w:p>
    <w:p>
      <w:pPr>
        <w:adjustRightInd w:val="0"/>
        <w:snapToGrid w:val="0"/>
        <w:spacing w:line="360" w:lineRule="auto"/>
        <w:ind w:firstLine="482"/>
        <w:rPr>
          <w:rFonts w:ascii="Times New Roman" w:hAnsi="Times New Roman" w:eastAsiaTheme="minorEastAsia"/>
          <w:b/>
          <w:sz w:val="24"/>
          <w:szCs w:val="24"/>
        </w:rPr>
      </w:pPr>
      <w:r>
        <w:rPr>
          <w:rFonts w:ascii="Times New Roman" w:hAnsi="Times New Roman" w:eastAsiaTheme="minorEastAsia"/>
          <w:b/>
          <w:sz w:val="24"/>
          <w:szCs w:val="24"/>
        </w:rPr>
        <w:t>1、含水层分布及赋水性</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松散砂层孔隙含水层</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为承压孔隙含水层，分布整个评估区，下部砾石层为主要含水层，厚约3~5m，夹细砂含水层厚0.15m，地下水位埋深0.5~1.5m，地下水含水丰富。</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sz w:val="24"/>
          <w:szCs w:val="24"/>
        </w:rPr>
        <w:t xml:space="preserve"> 浅变质岩裂隙水</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分布于整个评估区地段，含水层为风化裂隙发育的泥质板岩强、中风化带，多埋藏于第四系地层以下，与浅部松散岩类孔隙水水力相通。中风化带厚度一般在3~10m，风化带裂隙连通性较差，为弱裂隙含水层。据区域水文地质资料：该含水层泉流量一般0.01~0.5L/s；水量贫乏~中等。地下水位埋深地势低部位一般4~8m，局部达16m以上。深部岩石裂隙不发育，为含水微弱的含水层或相对隔水层。地下水水化学类型主要为HCO</w:t>
      </w:r>
      <w:r>
        <w:rPr>
          <w:rFonts w:ascii="Times New Roman" w:hAnsi="Times New Roman" w:eastAsiaTheme="minorEastAsia"/>
          <w:sz w:val="24"/>
          <w:szCs w:val="24"/>
          <w:vertAlign w:val="superscript"/>
        </w:rPr>
        <w:t>3-</w:t>
      </w:r>
      <w:r>
        <w:rPr>
          <w:rFonts w:ascii="Times New Roman" w:hAnsi="Times New Roman" w:eastAsiaTheme="minorEastAsia"/>
          <w:sz w:val="24"/>
          <w:szCs w:val="24"/>
        </w:rPr>
        <w:t>Ca·Mg型淡水。</w:t>
      </w:r>
    </w:p>
    <w:p>
      <w:pPr>
        <w:adjustRightInd w:val="0"/>
        <w:snapToGrid w:val="0"/>
        <w:spacing w:line="360" w:lineRule="auto"/>
        <w:ind w:firstLine="482"/>
        <w:rPr>
          <w:rFonts w:ascii="Times New Roman" w:hAnsi="Times New Roman" w:eastAsiaTheme="minorEastAsia"/>
          <w:b/>
          <w:sz w:val="24"/>
          <w:szCs w:val="24"/>
        </w:rPr>
      </w:pPr>
      <w:r>
        <w:rPr>
          <w:rFonts w:ascii="Times New Roman" w:hAnsi="Times New Roman" w:eastAsiaTheme="minorEastAsia"/>
          <w:b/>
          <w:sz w:val="24"/>
          <w:szCs w:val="24"/>
        </w:rPr>
        <w:t>2、地下水类型及动态特征</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松散岩类孔隙水</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含水砂砾石层厚3~5m，水位埋深0.5~1.5m，为承压孔隙含水层，水位、流量受季节影响明显，年变幅2~3m。</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sz w:val="24"/>
          <w:szCs w:val="24"/>
        </w:rPr>
        <w:t xml:space="preserve"> 变质岩裂隙水</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含水层分布不稳定，厚度变化大，4~16m，上部第四系地层覆盖，厚度0~8m不等，地下水位埋深0~6m，为浅层风化裂隙潜水含水层，水位、流量受季节变化明显，年变幅3~4m，枯季泉水干枯。</w:t>
      </w:r>
    </w:p>
    <w:p>
      <w:pPr>
        <w:adjustRightInd w:val="0"/>
        <w:snapToGrid w:val="0"/>
        <w:spacing w:line="360" w:lineRule="auto"/>
        <w:ind w:firstLine="482"/>
        <w:rPr>
          <w:rFonts w:ascii="Times New Roman" w:hAnsi="Times New Roman" w:eastAsiaTheme="minorEastAsia"/>
          <w:b/>
          <w:sz w:val="24"/>
          <w:szCs w:val="24"/>
        </w:rPr>
      </w:pPr>
      <w:r>
        <w:rPr>
          <w:rFonts w:ascii="Times New Roman" w:hAnsi="Times New Roman" w:eastAsiaTheme="minorEastAsia"/>
          <w:b/>
          <w:sz w:val="24"/>
          <w:szCs w:val="24"/>
        </w:rPr>
        <w:t>3、地下水开采与补给、迳流、排泄特征</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松散岩类孔隙潜水的补给、迳流、排泄特征</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该类地下水赋存于第四系河湖相堆积物土层内，埋藏深度不一，接受大气降水及湖水补给，水量中等，随季节变化较明显。迳流长度不大，就近排泄于湖泊或低洼处。</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sz w:val="24"/>
          <w:szCs w:val="24"/>
        </w:rPr>
        <w:t xml:space="preserve"> 变质岩裂隙水的补给、径流、排泄特征</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补给源主要为大气降水直接补给，其次是地表孔隙水的间接补给。补给方式主要是大气降水沿裸露基岩的裂隙和覆盖层的孔隙分散渗入，径流途径短，一般以下降泉形式排泄，地下水动态变化大，50%以上泉水枯季断流，多数泉水流量随季节有明显变化。</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大气降水的补给强度，取决于地形、风化发育程度。区内地势平坦开阔有利于大气降水补给，地下水沿基岩裂隙渗入。基岩裂隙水的动态变化一般不稳定，因枯、洪期水动态变化较大。</w:t>
      </w:r>
    </w:p>
    <w:p>
      <w:pPr>
        <w:pStyle w:val="5"/>
        <w:rPr>
          <w:rFonts w:eastAsiaTheme="minorEastAsia"/>
          <w:color w:val="auto"/>
        </w:rPr>
      </w:pPr>
      <w:r>
        <w:rPr>
          <w:rFonts w:eastAsiaTheme="minorEastAsia"/>
          <w:color w:val="auto"/>
        </w:rPr>
        <w:t>地下水环境影响分析</w:t>
      </w:r>
    </w:p>
    <w:p>
      <w:pPr>
        <w:adjustRightInd w:val="0"/>
        <w:snapToGrid w:val="0"/>
        <w:spacing w:line="360" w:lineRule="auto"/>
        <w:ind w:firstLine="482"/>
        <w:rPr>
          <w:rFonts w:ascii="Times New Roman" w:hAnsi="Times New Roman" w:eastAsiaTheme="minorEastAsia"/>
          <w:b/>
          <w:sz w:val="24"/>
          <w:szCs w:val="24"/>
        </w:rPr>
      </w:pPr>
      <w:r>
        <w:rPr>
          <w:rFonts w:ascii="Times New Roman" w:hAnsi="Times New Roman" w:eastAsiaTheme="minorEastAsia"/>
          <w:b/>
          <w:sz w:val="24"/>
          <w:szCs w:val="24"/>
        </w:rPr>
        <w:t>1、正常状况</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正常状况下，各生产环节按照设计参数运行，地下水可能的污染来源为各管线、污水池、设备、泵阀等单元发生的跑冒滴漏现象。本项目已经根据相关防渗设计规范采取严格的防渗、防溢流、防泄漏、防腐蚀等措施，一般情况下污水不会渗漏和进入地下，对地下水不会造成污染，因此本项目运营期，正常情况下对地下水影响较小。</w:t>
      </w:r>
    </w:p>
    <w:p>
      <w:pPr>
        <w:adjustRightInd w:val="0"/>
        <w:snapToGrid w:val="0"/>
        <w:spacing w:line="360" w:lineRule="auto"/>
        <w:ind w:firstLine="482"/>
        <w:rPr>
          <w:rFonts w:ascii="Times New Roman" w:hAnsi="Times New Roman" w:eastAsiaTheme="minorEastAsia"/>
          <w:b/>
          <w:sz w:val="24"/>
          <w:szCs w:val="24"/>
        </w:rPr>
      </w:pPr>
      <w:r>
        <w:rPr>
          <w:rFonts w:ascii="Times New Roman" w:hAnsi="Times New Roman" w:eastAsiaTheme="minorEastAsia"/>
          <w:b/>
          <w:sz w:val="24"/>
          <w:szCs w:val="24"/>
        </w:rPr>
        <w:t>2、非正常状况</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非正常状况是指：建设项目的工艺设备或地下水环境保护措施因系统老化、腐蚀等原因不能正常运行或保护效果达不到设计要求时的运行状况。由于项目废水输送全程采用密封管道穿堤至污水处理站，趸船四周设置收集池收集事故情况下的废水，不会出现溢出和泄露情况，可避免趸船工作平台上的泄漏的液体进入水体；另外，本项目码头为浮码头码头，位于水域上方，码头与地下水之间无水力联系，即使发生泄漏事故，码头废水和油品也将直接进入长江，因此不会产生地面径流污染地下水。</w:t>
      </w:r>
    </w:p>
    <w:p>
      <w:pPr>
        <w:pStyle w:val="3"/>
        <w:rPr>
          <w:rFonts w:ascii="Times New Roman" w:hAnsi="Times New Roman" w:eastAsiaTheme="minorEastAsia"/>
          <w:b/>
        </w:rPr>
      </w:pPr>
      <w:bookmarkStart w:id="140" w:name="_Toc23599"/>
      <w:r>
        <w:rPr>
          <w:rFonts w:ascii="Times New Roman" w:hAnsi="Times New Roman" w:eastAsiaTheme="minorEastAsia"/>
          <w:b/>
        </w:rPr>
        <w:t>环境空气影响评价</w:t>
      </w:r>
      <w:bookmarkEnd w:id="140"/>
    </w:p>
    <w:p>
      <w:pPr>
        <w:pStyle w:val="4"/>
        <w:rPr>
          <w:rFonts w:eastAsiaTheme="minorEastAsia"/>
          <w:szCs w:val="24"/>
        </w:rPr>
      </w:pPr>
      <w:r>
        <w:rPr>
          <w:rFonts w:eastAsiaTheme="minorEastAsia"/>
        </w:rPr>
        <w:t>施工期环境空气影响分析</w:t>
      </w:r>
    </w:p>
    <w:p>
      <w:pPr>
        <w:pStyle w:val="18"/>
        <w:spacing w:line="360" w:lineRule="auto"/>
        <w:ind w:firstLine="448"/>
        <w:rPr>
          <w:rFonts w:ascii="Times New Roman" w:hAnsi="Times New Roman" w:eastAsiaTheme="minorEastAsia"/>
          <w:sz w:val="24"/>
          <w:szCs w:val="24"/>
        </w:rPr>
      </w:pPr>
      <w:r>
        <w:rPr>
          <w:rFonts w:ascii="Times New Roman" w:hAnsi="Times New Roman" w:eastAsiaTheme="minorEastAsia"/>
          <w:spacing w:val="-8"/>
          <w:sz w:val="24"/>
          <w:szCs w:val="24"/>
        </w:rPr>
        <w:t>施工期大气污染物为施工场地扬尘、运输扬尘、施工机具尾气等</w:t>
      </w:r>
      <w:r>
        <w:rPr>
          <w:rFonts w:ascii="Times New Roman" w:hAnsi="Times New Roman" w:eastAsiaTheme="minorEastAsia"/>
          <w:spacing w:val="-1"/>
          <w:sz w:val="24"/>
          <w:szCs w:val="24"/>
        </w:rPr>
        <w:t>。</w:t>
      </w:r>
    </w:p>
    <w:p>
      <w:pPr>
        <w:pStyle w:val="18"/>
        <w:spacing w:line="360" w:lineRule="auto"/>
        <w:ind w:firstLine="482"/>
        <w:rPr>
          <w:rFonts w:ascii="Times New Roman" w:hAnsi="Times New Roman" w:eastAsiaTheme="minorEastAsia"/>
          <w:b/>
          <w:bCs/>
          <w:sz w:val="24"/>
          <w:szCs w:val="24"/>
        </w:rPr>
      </w:pPr>
      <w:r>
        <w:rPr>
          <w:rFonts w:ascii="Times New Roman" w:hAnsi="Times New Roman" w:eastAsiaTheme="minorEastAsia"/>
          <w:b/>
          <w:bCs/>
          <w:sz w:val="24"/>
          <w:szCs w:val="24"/>
        </w:rPr>
        <w:t>1、扬尘</w:t>
      </w:r>
    </w:p>
    <w:p>
      <w:pPr>
        <w:pStyle w:val="131"/>
        <w:spacing w:line="360" w:lineRule="auto"/>
        <w:ind w:firstLine="480"/>
        <w:rPr>
          <w:rFonts w:eastAsiaTheme="minorEastAsia"/>
          <w:sz w:val="24"/>
          <w:szCs w:val="24"/>
        </w:rPr>
      </w:pPr>
      <w:r>
        <w:rPr>
          <w:rFonts w:eastAsiaTheme="minorEastAsia"/>
          <w:sz w:val="24"/>
          <w:szCs w:val="24"/>
        </w:rPr>
        <w:t>施工期扬尘主要来自于土石方开挖、施工活动扰动、散装施工材料如水泥、砂石料装卸、车辆运输等。根据同类型施工资料，施工场地土石方开挖、施工活动、装卸散装材料等产生的扬尘影响范围主要是施工场地周围100m，施工场地下方向影响范围增加至150~200m。车辆运输产生扬尘影响道路两侧的环境空气，路面积尘量在0.1kg/m</w:t>
      </w:r>
      <w:r>
        <w:rPr>
          <w:rFonts w:eastAsiaTheme="minorEastAsia"/>
          <w:sz w:val="24"/>
          <w:szCs w:val="24"/>
          <w:vertAlign w:val="superscript"/>
        </w:rPr>
        <w:t>2</w:t>
      </w:r>
      <w:r>
        <w:rPr>
          <w:rFonts w:eastAsiaTheme="minorEastAsia"/>
          <w:sz w:val="24"/>
          <w:szCs w:val="24"/>
        </w:rPr>
        <w:t>时，道路扬尘影响范围约为20~30m间，而道路积尘量为0.6kg/m</w:t>
      </w:r>
      <w:r>
        <w:rPr>
          <w:rFonts w:eastAsiaTheme="minorEastAsia"/>
          <w:sz w:val="24"/>
          <w:szCs w:val="24"/>
          <w:vertAlign w:val="superscript"/>
        </w:rPr>
        <w:t>2</w:t>
      </w:r>
      <w:r>
        <w:rPr>
          <w:rFonts w:eastAsiaTheme="minorEastAsia"/>
          <w:sz w:val="24"/>
          <w:szCs w:val="24"/>
        </w:rPr>
        <w:t>时，汽车行驶时影响范围可达120~150m。施工过程中对积尘较大的施工区和施工场地外200m的运输道路和进行洒水（每天4~5次），可使空气中的扬尘量减少70%以上，有效减少扬尘对附近环境空气的影响。施工期扬尘对环境空气的影响是暂时的，随着施工的结束而消失。</w:t>
      </w:r>
    </w:p>
    <w:p>
      <w:pPr>
        <w:pStyle w:val="18"/>
        <w:adjustRightInd w:val="0"/>
        <w:snapToGrid w:val="0"/>
        <w:spacing w:line="360" w:lineRule="auto"/>
        <w:ind w:firstLine="482"/>
        <w:rPr>
          <w:rFonts w:ascii="Times New Roman" w:hAnsi="Times New Roman" w:eastAsiaTheme="minorEastAsia"/>
          <w:b/>
          <w:bCs/>
          <w:sz w:val="24"/>
          <w:szCs w:val="24"/>
        </w:rPr>
      </w:pPr>
      <w:r>
        <w:rPr>
          <w:rFonts w:ascii="Times New Roman" w:hAnsi="Times New Roman" w:eastAsiaTheme="minorEastAsia"/>
          <w:b/>
          <w:bCs/>
          <w:sz w:val="24"/>
          <w:szCs w:val="24"/>
        </w:rPr>
        <w:t>2、燃油废气及汽车尾气</w:t>
      </w:r>
    </w:p>
    <w:p>
      <w:pPr>
        <w:pStyle w:val="131"/>
        <w:snapToGrid w:val="0"/>
        <w:spacing w:line="360" w:lineRule="auto"/>
        <w:ind w:firstLine="480"/>
        <w:rPr>
          <w:rFonts w:eastAsiaTheme="minorEastAsia"/>
          <w:sz w:val="24"/>
          <w:szCs w:val="24"/>
        </w:rPr>
      </w:pPr>
      <w:r>
        <w:rPr>
          <w:rFonts w:eastAsiaTheme="minorEastAsia"/>
          <w:sz w:val="24"/>
          <w:szCs w:val="24"/>
        </w:rPr>
        <w:t>本项目施工过程中施工机械主要为项目建设中采用的挖掘机、推土机、装载机等，机械燃油废气和汽车尾气所含的污染物相似，主要有SO</w:t>
      </w:r>
      <w:r>
        <w:rPr>
          <w:rFonts w:eastAsiaTheme="minorEastAsia"/>
          <w:sz w:val="24"/>
          <w:szCs w:val="24"/>
          <w:vertAlign w:val="subscript"/>
        </w:rPr>
        <w:t>2</w:t>
      </w:r>
      <w:r>
        <w:rPr>
          <w:rFonts w:eastAsiaTheme="minorEastAsia"/>
          <w:sz w:val="24"/>
          <w:szCs w:val="24"/>
        </w:rPr>
        <w:t>、NOx、TSP、CO和总烃等，但产生量不大，影响范围比较局部。根据类似工程分析数据，SO</w:t>
      </w:r>
      <w:r>
        <w:rPr>
          <w:rFonts w:eastAsiaTheme="minorEastAsia"/>
          <w:sz w:val="24"/>
          <w:szCs w:val="24"/>
          <w:vertAlign w:val="subscript"/>
        </w:rPr>
        <w:t>2</w:t>
      </w:r>
      <w:r>
        <w:rPr>
          <w:rFonts w:eastAsiaTheme="minorEastAsia"/>
          <w:sz w:val="24"/>
          <w:szCs w:val="24"/>
        </w:rPr>
        <w:t>、NOx、TSP、CO和总烃浓度一般低于二级标准。</w:t>
      </w:r>
    </w:p>
    <w:p>
      <w:pPr>
        <w:pStyle w:val="131"/>
        <w:snapToGrid w:val="0"/>
        <w:spacing w:line="360" w:lineRule="auto"/>
        <w:ind w:firstLine="482"/>
        <w:rPr>
          <w:rFonts w:eastAsiaTheme="minorEastAsia"/>
          <w:sz w:val="24"/>
          <w:szCs w:val="24"/>
        </w:rPr>
      </w:pPr>
      <w:r>
        <w:rPr>
          <w:rFonts w:eastAsiaTheme="minorEastAsia"/>
          <w:b/>
          <w:bCs/>
          <w:sz w:val="24"/>
          <w:szCs w:val="24"/>
        </w:rPr>
        <w:t>3、对敏感点影响分析</w:t>
      </w:r>
    </w:p>
    <w:p>
      <w:pPr>
        <w:pStyle w:val="131"/>
        <w:snapToGrid w:val="0"/>
        <w:spacing w:line="360" w:lineRule="auto"/>
        <w:ind w:firstLine="480"/>
        <w:rPr>
          <w:rFonts w:eastAsiaTheme="minorEastAsia"/>
          <w:sz w:val="24"/>
          <w:szCs w:val="24"/>
        </w:rPr>
      </w:pPr>
      <w:r>
        <w:rPr>
          <w:rFonts w:eastAsiaTheme="minorEastAsia"/>
          <w:sz w:val="24"/>
          <w:szCs w:val="24"/>
        </w:rPr>
        <w:t>项目施工场地周围200m范围无敏感点存在，此外，此施工过程中应加强防尘洒水等降尘措施，可减少施工扬尘的产生。项目运输道路主要依托现有的道路，施工期材料运输可能对沿道路分布的居民有影响，在运输过程中对于施工场地的车辆进行洒水清除轮胎及车辆上的渣土，同时对运输的渣土及粉状建筑材料的车辆采用防雨布覆盖防止运输过程中散落。</w:t>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sz w:val="24"/>
          <w:szCs w:val="24"/>
        </w:rPr>
        <w:t>综上所述，项目施工工期较短，项目施工过程对环境空气因项目结束而结束，在采取防尘等措施后对环境空气影响较小</w:t>
      </w:r>
      <w:r>
        <w:rPr>
          <w:rFonts w:ascii="Times New Roman" w:hAnsi="Times New Roman" w:eastAsiaTheme="minorEastAsia"/>
          <w:color w:val="000000" w:themeColor="text1"/>
          <w:sz w:val="24"/>
          <w:szCs w:val="24"/>
          <w14:textFill>
            <w14:solidFill>
              <w14:schemeClr w14:val="tx1"/>
            </w14:solidFill>
          </w14:textFill>
        </w:rPr>
        <w:t>。</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营运期环境空气影响分析</w:t>
      </w:r>
    </w:p>
    <w:p>
      <w:pPr>
        <w:pStyle w:val="4"/>
        <w:rPr>
          <w:rFonts w:eastAsiaTheme="minorEastAsia"/>
          <w:szCs w:val="24"/>
        </w:rPr>
      </w:pPr>
      <w:r>
        <w:rPr>
          <w:rFonts w:eastAsiaTheme="minorEastAsia"/>
        </w:rPr>
        <w:t>气象资料</w:t>
      </w:r>
    </w:p>
    <w:p>
      <w:pPr>
        <w:snapToGrid w:val="0"/>
        <w:spacing w:line="360" w:lineRule="auto"/>
        <w:ind w:firstLine="480" w:firstLineChars="200"/>
        <w:rPr>
          <w:rFonts w:ascii="Times New Roman" w:hAnsi="Times New Roman" w:eastAsiaTheme="minorEastAsia"/>
          <w:snapToGrid w:val="0"/>
          <w:kern w:val="0"/>
          <w:sz w:val="24"/>
          <w:szCs w:val="24"/>
        </w:rPr>
      </w:pPr>
      <w:r>
        <w:rPr>
          <w:rFonts w:ascii="Times New Roman" w:hAnsi="Times New Roman" w:eastAsiaTheme="minorEastAsia"/>
          <w:snapToGrid w:val="0"/>
          <w:kern w:val="0"/>
          <w:sz w:val="24"/>
          <w:szCs w:val="24"/>
        </w:rPr>
        <w:t>拟建项目厂址距临湘气象站约17.4km，厂区高程约38m，临湘气象站经度113.45，纬度29.48，海拔高度60m。本项目厂址与临湘气象站海拔高度大致相当，地形、地貌基本相似，与气象站属于同一气候区。</w:t>
      </w:r>
    </w:p>
    <w:p>
      <w:pPr>
        <w:snapToGrid w:val="0"/>
        <w:spacing w:line="360" w:lineRule="auto"/>
        <w:ind w:firstLine="482" w:firstLineChars="200"/>
        <w:jc w:val="left"/>
        <w:rPr>
          <w:rFonts w:ascii="Times New Roman" w:hAnsi="Times New Roman" w:eastAsiaTheme="minorEastAsia"/>
          <w:b/>
          <w:snapToGrid w:val="0"/>
          <w:kern w:val="0"/>
          <w:sz w:val="24"/>
          <w:szCs w:val="24"/>
        </w:rPr>
      </w:pPr>
      <w:r>
        <w:rPr>
          <w:rFonts w:ascii="Times New Roman" w:hAnsi="Times New Roman" w:eastAsiaTheme="minorEastAsia"/>
          <w:b/>
          <w:snapToGrid w:val="0"/>
          <w:kern w:val="0"/>
          <w:sz w:val="24"/>
          <w:szCs w:val="24"/>
        </w:rPr>
        <w:t>1、温度</w:t>
      </w:r>
    </w:p>
    <w:p>
      <w:pPr>
        <w:snapToGrid w:val="0"/>
        <w:spacing w:line="360" w:lineRule="auto"/>
        <w:ind w:firstLine="480" w:firstLineChars="200"/>
        <w:jc w:val="left"/>
        <w:rPr>
          <w:rFonts w:ascii="Times New Roman" w:hAnsi="Times New Roman" w:eastAsiaTheme="minorEastAsia"/>
          <w:snapToGrid w:val="0"/>
          <w:kern w:val="0"/>
          <w:sz w:val="24"/>
          <w:szCs w:val="24"/>
        </w:rPr>
      </w:pPr>
      <w:r>
        <w:rPr>
          <w:rFonts w:ascii="Times New Roman" w:hAnsi="Times New Roman" w:eastAsiaTheme="minorEastAsia"/>
          <w:snapToGrid w:val="0"/>
          <w:kern w:val="0"/>
          <w:sz w:val="24"/>
          <w:szCs w:val="24"/>
        </w:rPr>
        <w:t>根据临湘气象站2017年逐日逐时气象资料统计，当地月均气温统计见表6.3-1，全年逐月温度变化曲线见图6.3-1。</w:t>
      </w:r>
    </w:p>
    <w:p>
      <w:pPr>
        <w:wordWrap w:val="0"/>
        <w:adjustRightInd w:val="0"/>
        <w:snapToGrid w:val="0"/>
        <w:spacing w:line="276" w:lineRule="auto"/>
        <w:jc w:val="right"/>
        <w:rPr>
          <w:rFonts w:ascii="Times New Roman" w:hAnsi="Times New Roman" w:eastAsiaTheme="minorEastAsia"/>
          <w:sz w:val="24"/>
          <w:szCs w:val="24"/>
        </w:rPr>
      </w:pPr>
      <w:r>
        <w:rPr>
          <w:rFonts w:ascii="Times New Roman" w:hAnsi="Times New Roman" w:eastAsiaTheme="minorEastAsia"/>
          <w:b/>
          <w:sz w:val="24"/>
          <w:szCs w:val="24"/>
        </w:rPr>
        <w:t>表6.3-1  月平均温度统计表</w:t>
      </w:r>
      <w:r>
        <w:rPr>
          <w:rFonts w:ascii="Times New Roman" w:hAnsi="Times New Roman" w:eastAsiaTheme="minorEastAsia"/>
          <w:sz w:val="24"/>
          <w:szCs w:val="24"/>
        </w:rPr>
        <w:t xml:space="preserve">                单位：</w:t>
      </w:r>
      <w:r>
        <w:rPr>
          <w:rFonts w:hint="eastAsia" w:ascii="宋体" w:hAnsi="宋体" w:cs="宋体"/>
          <w:sz w:val="24"/>
          <w:szCs w:val="24"/>
        </w:rPr>
        <w:t>℃</w:t>
      </w:r>
    </w:p>
    <w:tbl>
      <w:tblPr>
        <w:tblStyle w:val="71"/>
        <w:tblW w:w="91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99"/>
        <w:gridCol w:w="699"/>
        <w:gridCol w:w="701"/>
        <w:gridCol w:w="701"/>
        <w:gridCol w:w="699"/>
        <w:gridCol w:w="699"/>
        <w:gridCol w:w="701"/>
        <w:gridCol w:w="699"/>
        <w:gridCol w:w="700"/>
        <w:gridCol w:w="700"/>
        <w:gridCol w:w="700"/>
        <w:gridCol w:w="700"/>
        <w:gridCol w:w="7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9"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月份</w:t>
            </w:r>
          </w:p>
        </w:tc>
        <w:tc>
          <w:tcPr>
            <w:tcW w:w="699"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1月</w:t>
            </w:r>
          </w:p>
        </w:tc>
        <w:tc>
          <w:tcPr>
            <w:tcW w:w="701"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2月</w:t>
            </w:r>
          </w:p>
        </w:tc>
        <w:tc>
          <w:tcPr>
            <w:tcW w:w="701"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3月</w:t>
            </w:r>
          </w:p>
        </w:tc>
        <w:tc>
          <w:tcPr>
            <w:tcW w:w="699"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4月</w:t>
            </w:r>
          </w:p>
        </w:tc>
        <w:tc>
          <w:tcPr>
            <w:tcW w:w="699"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5月</w:t>
            </w:r>
          </w:p>
        </w:tc>
        <w:tc>
          <w:tcPr>
            <w:tcW w:w="701"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6月</w:t>
            </w:r>
          </w:p>
        </w:tc>
        <w:tc>
          <w:tcPr>
            <w:tcW w:w="699"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7月</w:t>
            </w:r>
          </w:p>
        </w:tc>
        <w:tc>
          <w:tcPr>
            <w:tcW w:w="700"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8月</w:t>
            </w:r>
          </w:p>
        </w:tc>
        <w:tc>
          <w:tcPr>
            <w:tcW w:w="700"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9月</w:t>
            </w:r>
          </w:p>
        </w:tc>
        <w:tc>
          <w:tcPr>
            <w:tcW w:w="700"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10月</w:t>
            </w:r>
          </w:p>
        </w:tc>
        <w:tc>
          <w:tcPr>
            <w:tcW w:w="700"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11月</w:t>
            </w:r>
          </w:p>
        </w:tc>
        <w:tc>
          <w:tcPr>
            <w:tcW w:w="702"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12月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9"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snapToGrid w:val="0"/>
                <w:kern w:val="0"/>
              </w:rPr>
              <w:t>温度</w:t>
            </w:r>
          </w:p>
        </w:tc>
        <w:tc>
          <w:tcPr>
            <w:tcW w:w="699"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7.41</w:t>
            </w:r>
          </w:p>
        </w:tc>
        <w:tc>
          <w:tcPr>
            <w:tcW w:w="701"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8.51</w:t>
            </w:r>
          </w:p>
        </w:tc>
        <w:tc>
          <w:tcPr>
            <w:tcW w:w="701"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11.71</w:t>
            </w:r>
          </w:p>
        </w:tc>
        <w:tc>
          <w:tcPr>
            <w:tcW w:w="699"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18.62</w:t>
            </w:r>
          </w:p>
        </w:tc>
        <w:tc>
          <w:tcPr>
            <w:tcW w:w="699"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23.16</w:t>
            </w:r>
          </w:p>
        </w:tc>
        <w:tc>
          <w:tcPr>
            <w:tcW w:w="701"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24.87</w:t>
            </w:r>
          </w:p>
        </w:tc>
        <w:tc>
          <w:tcPr>
            <w:tcW w:w="699"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30.81</w:t>
            </w:r>
          </w:p>
        </w:tc>
        <w:tc>
          <w:tcPr>
            <w:tcW w:w="70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28.97</w:t>
            </w:r>
          </w:p>
        </w:tc>
        <w:tc>
          <w:tcPr>
            <w:tcW w:w="70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24.60</w:t>
            </w:r>
          </w:p>
        </w:tc>
        <w:tc>
          <w:tcPr>
            <w:tcW w:w="70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17.44</w:t>
            </w:r>
          </w:p>
        </w:tc>
        <w:tc>
          <w:tcPr>
            <w:tcW w:w="70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12.93</w:t>
            </w:r>
          </w:p>
        </w:tc>
        <w:tc>
          <w:tcPr>
            <w:tcW w:w="702"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7.14</w:t>
            </w:r>
          </w:p>
        </w:tc>
      </w:tr>
    </w:tbl>
    <w:p>
      <w:pPr>
        <w:adjustRightInd w:val="0"/>
        <w:snapToGrid w:val="0"/>
        <w:spacing w:line="360" w:lineRule="auto"/>
        <w:rPr>
          <w:rFonts w:ascii="Times New Roman" w:hAnsi="Times New Roman" w:eastAsiaTheme="minorEastAsia"/>
          <w:kern w:val="0"/>
          <w:sz w:val="24"/>
          <w:szCs w:val="24"/>
        </w:rPr>
      </w:pPr>
    </w:p>
    <w:p>
      <w:pPr>
        <w:adjustRightInd w:val="0"/>
        <w:snapToGrid w:val="0"/>
        <w:spacing w:line="360" w:lineRule="auto"/>
        <w:jc w:val="center"/>
        <w:rPr>
          <w:rFonts w:ascii="Times New Roman" w:hAnsi="Times New Roman" w:eastAsiaTheme="minorEastAsia"/>
          <w:kern w:val="0"/>
          <w:sz w:val="24"/>
          <w:szCs w:val="24"/>
        </w:rPr>
      </w:pPr>
      <w:r>
        <w:rPr>
          <w:rFonts w:ascii="Times New Roman" w:hAnsi="Times New Roman" w:eastAsiaTheme="minorEastAsia"/>
        </w:rPr>
        <w:drawing>
          <wp:inline distT="0" distB="0" distL="0" distR="0">
            <wp:extent cx="5327650" cy="2045335"/>
            <wp:effectExtent l="0" t="0" r="6350" b="12065"/>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adjustRightInd w:val="0"/>
        <w:snapToGrid w:val="0"/>
        <w:spacing w:line="360" w:lineRule="auto"/>
        <w:ind w:left="240" w:right="240"/>
        <w:jc w:val="center"/>
        <w:rPr>
          <w:rFonts w:ascii="Times New Roman" w:hAnsi="Times New Roman" w:eastAsiaTheme="minorEastAsia"/>
          <w:b/>
          <w:sz w:val="24"/>
          <w:szCs w:val="24"/>
        </w:rPr>
      </w:pPr>
      <w:r>
        <w:rPr>
          <w:rFonts w:ascii="Times New Roman" w:hAnsi="Times New Roman" w:eastAsiaTheme="minorEastAsia"/>
          <w:b/>
          <w:sz w:val="24"/>
          <w:szCs w:val="24"/>
        </w:rPr>
        <w:t>图6.3-1  2017年各月平均温度变化曲线图</w:t>
      </w:r>
    </w:p>
    <w:p>
      <w:pPr>
        <w:snapToGrid w:val="0"/>
        <w:spacing w:line="360" w:lineRule="auto"/>
        <w:ind w:firstLine="482" w:firstLineChars="200"/>
        <w:jc w:val="left"/>
        <w:rPr>
          <w:rFonts w:ascii="Times New Roman" w:hAnsi="Times New Roman" w:eastAsiaTheme="minorEastAsia"/>
          <w:b/>
          <w:snapToGrid w:val="0"/>
          <w:kern w:val="0"/>
          <w:sz w:val="24"/>
          <w:szCs w:val="24"/>
        </w:rPr>
      </w:pPr>
      <w:r>
        <w:rPr>
          <w:rFonts w:ascii="Times New Roman" w:hAnsi="Times New Roman" w:eastAsiaTheme="minorEastAsia"/>
          <w:b/>
          <w:snapToGrid w:val="0"/>
          <w:kern w:val="0"/>
          <w:sz w:val="24"/>
          <w:szCs w:val="24"/>
        </w:rPr>
        <w:t>2、风速</w:t>
      </w:r>
    </w:p>
    <w:p>
      <w:pPr>
        <w:snapToGrid w:val="0"/>
        <w:spacing w:line="360" w:lineRule="auto"/>
        <w:ind w:firstLine="480" w:firstLineChars="200"/>
        <w:rPr>
          <w:rFonts w:ascii="Times New Roman" w:hAnsi="Times New Roman" w:eastAsiaTheme="minorEastAsia"/>
          <w:snapToGrid w:val="0"/>
          <w:kern w:val="0"/>
          <w:sz w:val="24"/>
          <w:szCs w:val="24"/>
        </w:rPr>
      </w:pPr>
      <w:r>
        <w:rPr>
          <w:rFonts w:ascii="Times New Roman" w:hAnsi="Times New Roman" w:eastAsiaTheme="minorEastAsia"/>
          <w:snapToGrid w:val="0"/>
          <w:kern w:val="0"/>
          <w:sz w:val="24"/>
          <w:szCs w:val="24"/>
        </w:rPr>
        <w:t>根据临湘气象站2017年气象资料统计，区域全年逐月的平均风速统计结果见表5.2-2，全年逐月风速变化曲线见图6.3-2。</w:t>
      </w:r>
    </w:p>
    <w:p>
      <w:pPr>
        <w:wordWrap w:val="0"/>
        <w:adjustRightInd w:val="0"/>
        <w:snapToGrid w:val="0"/>
        <w:spacing w:line="276" w:lineRule="auto"/>
        <w:jc w:val="right"/>
        <w:rPr>
          <w:rFonts w:ascii="Times New Roman" w:hAnsi="Times New Roman" w:eastAsiaTheme="minorEastAsia"/>
          <w:b/>
          <w:sz w:val="24"/>
          <w:szCs w:val="24"/>
        </w:rPr>
      </w:pPr>
      <w:r>
        <w:rPr>
          <w:rFonts w:ascii="Times New Roman" w:hAnsi="Times New Roman" w:eastAsiaTheme="minorEastAsia"/>
          <w:b/>
          <w:sz w:val="24"/>
          <w:szCs w:val="24"/>
        </w:rPr>
        <w:t xml:space="preserve">表6.3-2  2017年各月风速统计表          </w:t>
      </w:r>
      <w:r>
        <w:rPr>
          <w:rFonts w:ascii="Times New Roman" w:hAnsi="Times New Roman" w:eastAsiaTheme="minorEastAsia"/>
          <w:sz w:val="24"/>
          <w:szCs w:val="24"/>
        </w:rPr>
        <w:t>单位：m/s</w:t>
      </w:r>
    </w:p>
    <w:tbl>
      <w:tblPr>
        <w:tblStyle w:val="71"/>
        <w:tblW w:w="91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30"/>
        <w:gridCol w:w="655"/>
        <w:gridCol w:w="655"/>
        <w:gridCol w:w="655"/>
        <w:gridCol w:w="653"/>
        <w:gridCol w:w="653"/>
        <w:gridCol w:w="653"/>
        <w:gridCol w:w="653"/>
        <w:gridCol w:w="653"/>
        <w:gridCol w:w="653"/>
        <w:gridCol w:w="763"/>
        <w:gridCol w:w="764"/>
        <w:gridCol w:w="7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月份</w:t>
            </w:r>
          </w:p>
        </w:tc>
        <w:tc>
          <w:tcPr>
            <w:tcW w:w="655"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1月</w:t>
            </w:r>
          </w:p>
        </w:tc>
        <w:tc>
          <w:tcPr>
            <w:tcW w:w="655"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2月</w:t>
            </w:r>
          </w:p>
        </w:tc>
        <w:tc>
          <w:tcPr>
            <w:tcW w:w="655"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3月</w:t>
            </w:r>
          </w:p>
        </w:tc>
        <w:tc>
          <w:tcPr>
            <w:tcW w:w="653"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4月</w:t>
            </w:r>
          </w:p>
        </w:tc>
        <w:tc>
          <w:tcPr>
            <w:tcW w:w="653"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5月</w:t>
            </w:r>
          </w:p>
        </w:tc>
        <w:tc>
          <w:tcPr>
            <w:tcW w:w="653"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6月</w:t>
            </w:r>
          </w:p>
        </w:tc>
        <w:tc>
          <w:tcPr>
            <w:tcW w:w="653"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7月</w:t>
            </w:r>
          </w:p>
        </w:tc>
        <w:tc>
          <w:tcPr>
            <w:tcW w:w="653"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8月</w:t>
            </w:r>
          </w:p>
        </w:tc>
        <w:tc>
          <w:tcPr>
            <w:tcW w:w="653"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9月</w:t>
            </w:r>
          </w:p>
        </w:tc>
        <w:tc>
          <w:tcPr>
            <w:tcW w:w="763"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10月</w:t>
            </w:r>
          </w:p>
        </w:tc>
        <w:tc>
          <w:tcPr>
            <w:tcW w:w="764"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11月</w:t>
            </w:r>
          </w:p>
        </w:tc>
        <w:tc>
          <w:tcPr>
            <w:tcW w:w="760"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12月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snapToGrid w:val="0"/>
                <w:kern w:val="0"/>
              </w:rPr>
              <w:t>平均值</w:t>
            </w:r>
          </w:p>
        </w:tc>
        <w:tc>
          <w:tcPr>
            <w:tcW w:w="655"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1.43</w:t>
            </w:r>
          </w:p>
        </w:tc>
        <w:tc>
          <w:tcPr>
            <w:tcW w:w="655"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1.66</w:t>
            </w:r>
          </w:p>
        </w:tc>
        <w:tc>
          <w:tcPr>
            <w:tcW w:w="655"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1.50</w:t>
            </w:r>
          </w:p>
        </w:tc>
        <w:tc>
          <w:tcPr>
            <w:tcW w:w="653"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1.90</w:t>
            </w:r>
          </w:p>
        </w:tc>
        <w:tc>
          <w:tcPr>
            <w:tcW w:w="653"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1.78</w:t>
            </w:r>
          </w:p>
        </w:tc>
        <w:tc>
          <w:tcPr>
            <w:tcW w:w="653"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1.60</w:t>
            </w:r>
          </w:p>
        </w:tc>
        <w:tc>
          <w:tcPr>
            <w:tcW w:w="653"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2.33</w:t>
            </w:r>
          </w:p>
        </w:tc>
        <w:tc>
          <w:tcPr>
            <w:tcW w:w="653"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1.82</w:t>
            </w:r>
          </w:p>
        </w:tc>
        <w:tc>
          <w:tcPr>
            <w:tcW w:w="653"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1.47</w:t>
            </w:r>
          </w:p>
        </w:tc>
        <w:tc>
          <w:tcPr>
            <w:tcW w:w="763"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1.76</w:t>
            </w:r>
          </w:p>
        </w:tc>
        <w:tc>
          <w:tcPr>
            <w:tcW w:w="764"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1.39</w:t>
            </w:r>
          </w:p>
        </w:tc>
        <w:tc>
          <w:tcPr>
            <w:tcW w:w="76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1.24</w:t>
            </w:r>
          </w:p>
        </w:tc>
      </w:tr>
    </w:tbl>
    <w:p>
      <w:pPr>
        <w:adjustRightInd w:val="0"/>
        <w:snapToGrid w:val="0"/>
        <w:spacing w:line="360" w:lineRule="auto"/>
        <w:jc w:val="center"/>
        <w:rPr>
          <w:rFonts w:ascii="Times New Roman" w:hAnsi="Times New Roman" w:eastAsiaTheme="minorEastAsia"/>
        </w:rPr>
      </w:pPr>
    </w:p>
    <w:p>
      <w:pPr>
        <w:adjustRightInd w:val="0"/>
        <w:snapToGrid w:val="0"/>
        <w:spacing w:line="360" w:lineRule="auto"/>
        <w:jc w:val="center"/>
        <w:rPr>
          <w:rFonts w:ascii="Times New Roman" w:hAnsi="Times New Roman" w:eastAsiaTheme="minorEastAsia"/>
          <w:kern w:val="0"/>
          <w:sz w:val="24"/>
          <w:szCs w:val="24"/>
        </w:rPr>
      </w:pPr>
      <w:r>
        <w:rPr>
          <w:rFonts w:ascii="Times New Roman" w:hAnsi="Times New Roman" w:eastAsiaTheme="minorEastAsia"/>
        </w:rPr>
        <w:drawing>
          <wp:inline distT="0" distB="0" distL="0" distR="0">
            <wp:extent cx="5327650" cy="2051050"/>
            <wp:effectExtent l="0" t="0" r="6350" b="6350"/>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adjustRightInd w:val="0"/>
        <w:snapToGrid w:val="0"/>
        <w:spacing w:line="360" w:lineRule="auto"/>
        <w:ind w:left="240" w:right="240"/>
        <w:jc w:val="center"/>
        <w:rPr>
          <w:rFonts w:ascii="Times New Roman" w:hAnsi="Times New Roman" w:eastAsiaTheme="minorEastAsia"/>
          <w:b/>
          <w:sz w:val="24"/>
          <w:szCs w:val="24"/>
        </w:rPr>
      </w:pPr>
      <w:r>
        <w:rPr>
          <w:rFonts w:ascii="Times New Roman" w:hAnsi="Times New Roman" w:eastAsiaTheme="minorEastAsia"/>
          <w:b/>
          <w:sz w:val="24"/>
          <w:szCs w:val="24"/>
        </w:rPr>
        <w:t>图6.3-2  2017年各月平均风速变化曲线图</w:t>
      </w:r>
    </w:p>
    <w:p>
      <w:pPr>
        <w:snapToGrid w:val="0"/>
        <w:spacing w:line="360" w:lineRule="auto"/>
        <w:ind w:firstLine="480" w:firstLineChars="200"/>
        <w:jc w:val="left"/>
        <w:rPr>
          <w:rFonts w:ascii="Times New Roman" w:hAnsi="Times New Roman" w:eastAsiaTheme="minorEastAsia"/>
          <w:snapToGrid w:val="0"/>
          <w:kern w:val="0"/>
          <w:sz w:val="24"/>
          <w:szCs w:val="24"/>
        </w:rPr>
      </w:pPr>
      <w:r>
        <w:rPr>
          <w:rFonts w:ascii="Times New Roman" w:hAnsi="Times New Roman" w:eastAsiaTheme="minorEastAsia"/>
          <w:snapToGrid w:val="0"/>
          <w:kern w:val="0"/>
          <w:sz w:val="24"/>
          <w:szCs w:val="24"/>
        </w:rPr>
        <w:t>由图6.3-2可以看出：临湘站2017年年均风速为1.66m/s，平均风速最大值出现在7月，平均风速为2.33m/s，最小平均风速出现12月，平均风速为1.24m/s。</w:t>
      </w:r>
    </w:p>
    <w:p>
      <w:pPr>
        <w:snapToGrid w:val="0"/>
        <w:spacing w:line="360" w:lineRule="auto"/>
        <w:ind w:firstLine="436" w:firstLineChars="182"/>
        <w:jc w:val="left"/>
        <w:rPr>
          <w:rFonts w:ascii="Times New Roman" w:hAnsi="Times New Roman" w:eastAsiaTheme="minorEastAsia"/>
          <w:snapToGrid w:val="0"/>
          <w:kern w:val="0"/>
          <w:sz w:val="24"/>
          <w:szCs w:val="24"/>
        </w:rPr>
      </w:pPr>
      <w:r>
        <w:rPr>
          <w:rFonts w:ascii="Times New Roman" w:hAnsi="Times New Roman" w:eastAsiaTheme="minorEastAsia"/>
          <w:snapToGrid w:val="0"/>
          <w:kern w:val="0"/>
          <w:sz w:val="24"/>
          <w:szCs w:val="24"/>
        </w:rPr>
        <w:t>根据临湘气象站2017年气象资料统计，区域各季逐小时平均风速变化规律见表6.3-3及图6.3-3。</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表6.3-3  2017年各季小时平均风速的日变化</w:t>
      </w:r>
    </w:p>
    <w:tbl>
      <w:tblPr>
        <w:tblStyle w:val="71"/>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65"/>
        <w:gridCol w:w="1775"/>
        <w:gridCol w:w="1820"/>
        <w:gridCol w:w="1820"/>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blHeader/>
          <w:jc w:val="center"/>
        </w:trPr>
        <w:tc>
          <w:tcPr>
            <w:tcW w:w="1865" w:type="dxa"/>
            <w:tcBorders>
              <w:top w:val="single" w:color="auto" w:sz="12" w:space="0"/>
              <w:left w:val="single" w:color="auto" w:sz="12" w:space="0"/>
              <w:tl2br w:val="single" w:color="auto" w:sz="4" w:space="0"/>
            </w:tcBorders>
            <w:shd w:val="clear" w:color="auto" w:fill="auto"/>
            <w:vAlign w:val="center"/>
          </w:tcPr>
          <w:p>
            <w:pPr>
              <w:snapToGrid w:val="0"/>
              <w:jc w:val="right"/>
              <w:rPr>
                <w:rFonts w:ascii="Times New Roman" w:hAnsi="Times New Roman" w:eastAsiaTheme="minorEastAsia"/>
                <w:b/>
                <w:snapToGrid w:val="0"/>
              </w:rPr>
            </w:pPr>
            <w:r>
              <w:rPr>
                <w:rFonts w:ascii="Times New Roman" w:hAnsi="Times New Roman" w:eastAsiaTheme="minorEastAsia"/>
                <w:b/>
                <w:snapToGrid w:val="0"/>
              </w:rPr>
              <w:t>风速（m/s）</w:t>
            </w:r>
          </w:p>
          <w:p>
            <w:pPr>
              <w:snapToGrid w:val="0"/>
              <w:jc w:val="left"/>
              <w:rPr>
                <w:rFonts w:ascii="Times New Roman" w:hAnsi="Times New Roman" w:eastAsiaTheme="minorEastAsia"/>
                <w:b/>
              </w:rPr>
            </w:pPr>
            <w:r>
              <w:rPr>
                <w:rFonts w:ascii="Times New Roman" w:hAnsi="Times New Roman" w:eastAsiaTheme="minorEastAsia"/>
                <w:b/>
                <w:snapToGrid w:val="0"/>
              </w:rPr>
              <w:t>小时（h）</w:t>
            </w:r>
          </w:p>
        </w:tc>
        <w:tc>
          <w:tcPr>
            <w:tcW w:w="1775" w:type="dxa"/>
            <w:tcBorders>
              <w:top w:val="single" w:color="auto" w:sz="12" w:space="0"/>
            </w:tcBorders>
            <w:shd w:val="clear" w:color="auto" w:fill="auto"/>
            <w:vAlign w:val="center"/>
          </w:tcPr>
          <w:p>
            <w:pPr>
              <w:snapToGrid w:val="0"/>
              <w:jc w:val="center"/>
              <w:rPr>
                <w:rFonts w:ascii="Times New Roman" w:hAnsi="Times New Roman" w:eastAsiaTheme="minorEastAsia"/>
                <w:b/>
              </w:rPr>
            </w:pPr>
            <w:r>
              <w:rPr>
                <w:rFonts w:ascii="Times New Roman" w:hAnsi="Times New Roman" w:eastAsiaTheme="minorEastAsia"/>
                <w:b/>
                <w:snapToGrid w:val="0"/>
              </w:rPr>
              <w:t>春季</w:t>
            </w:r>
          </w:p>
        </w:tc>
        <w:tc>
          <w:tcPr>
            <w:tcW w:w="1820" w:type="dxa"/>
            <w:tcBorders>
              <w:top w:val="single" w:color="auto" w:sz="12" w:space="0"/>
            </w:tcBorders>
            <w:shd w:val="clear" w:color="auto" w:fill="auto"/>
            <w:vAlign w:val="center"/>
          </w:tcPr>
          <w:p>
            <w:pPr>
              <w:snapToGrid w:val="0"/>
              <w:jc w:val="center"/>
              <w:rPr>
                <w:rFonts w:ascii="Times New Roman" w:hAnsi="Times New Roman" w:eastAsiaTheme="minorEastAsia"/>
                <w:b/>
              </w:rPr>
            </w:pPr>
            <w:r>
              <w:rPr>
                <w:rFonts w:ascii="Times New Roman" w:hAnsi="Times New Roman" w:eastAsiaTheme="minorEastAsia"/>
                <w:b/>
                <w:snapToGrid w:val="0"/>
              </w:rPr>
              <w:t>夏季</w:t>
            </w:r>
          </w:p>
        </w:tc>
        <w:tc>
          <w:tcPr>
            <w:tcW w:w="1820" w:type="dxa"/>
            <w:tcBorders>
              <w:top w:val="single" w:color="auto" w:sz="12" w:space="0"/>
            </w:tcBorders>
            <w:shd w:val="clear" w:color="auto" w:fill="auto"/>
            <w:vAlign w:val="center"/>
          </w:tcPr>
          <w:p>
            <w:pPr>
              <w:snapToGrid w:val="0"/>
              <w:jc w:val="center"/>
              <w:rPr>
                <w:rFonts w:ascii="Times New Roman" w:hAnsi="Times New Roman" w:eastAsiaTheme="minorEastAsia"/>
                <w:b/>
              </w:rPr>
            </w:pPr>
            <w:r>
              <w:rPr>
                <w:rFonts w:ascii="Times New Roman" w:hAnsi="Times New Roman" w:eastAsiaTheme="minorEastAsia"/>
                <w:b/>
                <w:snapToGrid w:val="0"/>
              </w:rPr>
              <w:t>秋季</w:t>
            </w:r>
          </w:p>
        </w:tc>
        <w:tc>
          <w:tcPr>
            <w:tcW w:w="1820" w:type="dxa"/>
            <w:tcBorders>
              <w:top w:val="single" w:color="auto" w:sz="12" w:space="0"/>
              <w:right w:val="single" w:color="auto" w:sz="12" w:space="0"/>
            </w:tcBorders>
            <w:shd w:val="clear" w:color="auto" w:fill="auto"/>
            <w:vAlign w:val="center"/>
          </w:tcPr>
          <w:p>
            <w:pPr>
              <w:snapToGrid w:val="0"/>
              <w:jc w:val="center"/>
              <w:rPr>
                <w:rFonts w:ascii="Times New Roman" w:hAnsi="Times New Roman" w:eastAsiaTheme="minorEastAsia"/>
                <w:b/>
              </w:rPr>
            </w:pPr>
            <w:r>
              <w:rPr>
                <w:rFonts w:ascii="Times New Roman" w:hAnsi="Times New Roman" w:eastAsiaTheme="minorEastAsia"/>
                <w:b/>
                <w:snapToGrid w:val="0"/>
              </w:rPr>
              <w:t>冬季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65" w:type="dxa"/>
            <w:tcBorders>
              <w:lef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snapToGrid w:val="0"/>
              </w:rPr>
              <w:t>1</w:t>
            </w:r>
          </w:p>
        </w:tc>
        <w:tc>
          <w:tcPr>
            <w:tcW w:w="1775"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1.32</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1.43</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1.15</w:t>
            </w:r>
          </w:p>
        </w:tc>
        <w:tc>
          <w:tcPr>
            <w:tcW w:w="1820" w:type="dxa"/>
            <w:tcBorders>
              <w:righ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65" w:type="dxa"/>
            <w:tcBorders>
              <w:lef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snapToGrid w:val="0"/>
              </w:rPr>
              <w:t>2</w:t>
            </w:r>
          </w:p>
        </w:tc>
        <w:tc>
          <w:tcPr>
            <w:tcW w:w="1775"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1.28</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1.48</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1.14</w:t>
            </w:r>
          </w:p>
        </w:tc>
        <w:tc>
          <w:tcPr>
            <w:tcW w:w="1820" w:type="dxa"/>
            <w:tcBorders>
              <w:righ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65" w:type="dxa"/>
            <w:tcBorders>
              <w:lef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snapToGrid w:val="0"/>
              </w:rPr>
              <w:t>3</w:t>
            </w:r>
          </w:p>
        </w:tc>
        <w:tc>
          <w:tcPr>
            <w:tcW w:w="1775"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1.21</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1.43</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1.18</w:t>
            </w:r>
          </w:p>
        </w:tc>
        <w:tc>
          <w:tcPr>
            <w:tcW w:w="1820" w:type="dxa"/>
            <w:tcBorders>
              <w:righ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65" w:type="dxa"/>
            <w:tcBorders>
              <w:lef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snapToGrid w:val="0"/>
              </w:rPr>
              <w:t>4</w:t>
            </w:r>
          </w:p>
        </w:tc>
        <w:tc>
          <w:tcPr>
            <w:tcW w:w="1775"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1.21</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1.38</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1.17</w:t>
            </w:r>
          </w:p>
        </w:tc>
        <w:tc>
          <w:tcPr>
            <w:tcW w:w="1820" w:type="dxa"/>
            <w:tcBorders>
              <w:righ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65" w:type="dxa"/>
            <w:tcBorders>
              <w:lef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snapToGrid w:val="0"/>
              </w:rPr>
              <w:t>5</w:t>
            </w:r>
          </w:p>
        </w:tc>
        <w:tc>
          <w:tcPr>
            <w:tcW w:w="1775"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1.28</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1.43</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1.23</w:t>
            </w:r>
          </w:p>
        </w:tc>
        <w:tc>
          <w:tcPr>
            <w:tcW w:w="1820" w:type="dxa"/>
            <w:tcBorders>
              <w:righ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65" w:type="dxa"/>
            <w:tcBorders>
              <w:lef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snapToGrid w:val="0"/>
              </w:rPr>
              <w:t>6</w:t>
            </w:r>
          </w:p>
        </w:tc>
        <w:tc>
          <w:tcPr>
            <w:tcW w:w="1775"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1.31</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1.37</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1.27</w:t>
            </w:r>
          </w:p>
        </w:tc>
        <w:tc>
          <w:tcPr>
            <w:tcW w:w="1820" w:type="dxa"/>
            <w:tcBorders>
              <w:righ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65" w:type="dxa"/>
            <w:tcBorders>
              <w:lef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snapToGrid w:val="0"/>
              </w:rPr>
              <w:t>7</w:t>
            </w:r>
          </w:p>
        </w:tc>
        <w:tc>
          <w:tcPr>
            <w:tcW w:w="1775"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1.42</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1.45</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1.21</w:t>
            </w:r>
          </w:p>
        </w:tc>
        <w:tc>
          <w:tcPr>
            <w:tcW w:w="1820" w:type="dxa"/>
            <w:tcBorders>
              <w:righ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65" w:type="dxa"/>
            <w:tcBorders>
              <w:lef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snapToGrid w:val="0"/>
              </w:rPr>
              <w:t>8</w:t>
            </w:r>
          </w:p>
        </w:tc>
        <w:tc>
          <w:tcPr>
            <w:tcW w:w="1775"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1.69</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1.94</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1.26</w:t>
            </w:r>
          </w:p>
        </w:tc>
        <w:tc>
          <w:tcPr>
            <w:tcW w:w="1820" w:type="dxa"/>
            <w:tcBorders>
              <w:righ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65" w:type="dxa"/>
            <w:tcBorders>
              <w:lef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snapToGrid w:val="0"/>
              </w:rPr>
              <w:t>9</w:t>
            </w:r>
          </w:p>
        </w:tc>
        <w:tc>
          <w:tcPr>
            <w:tcW w:w="1775"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1.96</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2.20</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1.55</w:t>
            </w:r>
          </w:p>
        </w:tc>
        <w:tc>
          <w:tcPr>
            <w:tcW w:w="1820" w:type="dxa"/>
            <w:tcBorders>
              <w:righ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65" w:type="dxa"/>
            <w:tcBorders>
              <w:lef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snapToGrid w:val="0"/>
              </w:rPr>
              <w:t>10</w:t>
            </w:r>
          </w:p>
        </w:tc>
        <w:tc>
          <w:tcPr>
            <w:tcW w:w="1775"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2.08</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2.48</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1.78</w:t>
            </w:r>
          </w:p>
        </w:tc>
        <w:tc>
          <w:tcPr>
            <w:tcW w:w="1820" w:type="dxa"/>
            <w:tcBorders>
              <w:righ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65" w:type="dxa"/>
            <w:tcBorders>
              <w:lef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snapToGrid w:val="0"/>
              </w:rPr>
              <w:t>11</w:t>
            </w:r>
          </w:p>
        </w:tc>
        <w:tc>
          <w:tcPr>
            <w:tcW w:w="1775"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2.29</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2.70</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1.99</w:t>
            </w:r>
          </w:p>
        </w:tc>
        <w:tc>
          <w:tcPr>
            <w:tcW w:w="1820" w:type="dxa"/>
            <w:tcBorders>
              <w:righ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65" w:type="dxa"/>
            <w:tcBorders>
              <w:lef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snapToGrid w:val="0"/>
              </w:rPr>
              <w:t>12</w:t>
            </w:r>
          </w:p>
        </w:tc>
        <w:tc>
          <w:tcPr>
            <w:tcW w:w="1775"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2.40</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2.67</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2.07</w:t>
            </w:r>
          </w:p>
        </w:tc>
        <w:tc>
          <w:tcPr>
            <w:tcW w:w="1820" w:type="dxa"/>
            <w:tcBorders>
              <w:righ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65" w:type="dxa"/>
            <w:tcBorders>
              <w:lef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snapToGrid w:val="0"/>
              </w:rPr>
              <w:t>13</w:t>
            </w:r>
          </w:p>
        </w:tc>
        <w:tc>
          <w:tcPr>
            <w:tcW w:w="1775"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2.44</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2.64</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2.24</w:t>
            </w:r>
          </w:p>
        </w:tc>
        <w:tc>
          <w:tcPr>
            <w:tcW w:w="1820" w:type="dxa"/>
            <w:tcBorders>
              <w:righ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65" w:type="dxa"/>
            <w:tcBorders>
              <w:lef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snapToGrid w:val="0"/>
              </w:rPr>
              <w:t>14</w:t>
            </w:r>
          </w:p>
        </w:tc>
        <w:tc>
          <w:tcPr>
            <w:tcW w:w="1775"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2.38</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2.71</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2.32</w:t>
            </w:r>
          </w:p>
        </w:tc>
        <w:tc>
          <w:tcPr>
            <w:tcW w:w="1820" w:type="dxa"/>
            <w:tcBorders>
              <w:righ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65" w:type="dxa"/>
            <w:tcBorders>
              <w:lef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snapToGrid w:val="0"/>
              </w:rPr>
              <w:t>15</w:t>
            </w:r>
          </w:p>
        </w:tc>
        <w:tc>
          <w:tcPr>
            <w:tcW w:w="1775"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2.47</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2.70</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2.34</w:t>
            </w:r>
          </w:p>
        </w:tc>
        <w:tc>
          <w:tcPr>
            <w:tcW w:w="1820" w:type="dxa"/>
            <w:tcBorders>
              <w:righ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65" w:type="dxa"/>
            <w:tcBorders>
              <w:lef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snapToGrid w:val="0"/>
              </w:rPr>
              <w:t>16</w:t>
            </w:r>
          </w:p>
        </w:tc>
        <w:tc>
          <w:tcPr>
            <w:tcW w:w="1775"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2.42</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2.54</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2.27</w:t>
            </w:r>
          </w:p>
        </w:tc>
        <w:tc>
          <w:tcPr>
            <w:tcW w:w="1820" w:type="dxa"/>
            <w:tcBorders>
              <w:righ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65" w:type="dxa"/>
            <w:tcBorders>
              <w:lef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snapToGrid w:val="0"/>
              </w:rPr>
              <w:t>17</w:t>
            </w:r>
          </w:p>
        </w:tc>
        <w:tc>
          <w:tcPr>
            <w:tcW w:w="1775"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2.27</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2.44</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1.96</w:t>
            </w:r>
          </w:p>
        </w:tc>
        <w:tc>
          <w:tcPr>
            <w:tcW w:w="1820" w:type="dxa"/>
            <w:tcBorders>
              <w:righ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65" w:type="dxa"/>
            <w:tcBorders>
              <w:lef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snapToGrid w:val="0"/>
              </w:rPr>
              <w:t>18</w:t>
            </w:r>
          </w:p>
        </w:tc>
        <w:tc>
          <w:tcPr>
            <w:tcW w:w="1775"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1.94</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2.14</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1.62</w:t>
            </w:r>
          </w:p>
        </w:tc>
        <w:tc>
          <w:tcPr>
            <w:tcW w:w="1820" w:type="dxa"/>
            <w:tcBorders>
              <w:righ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65" w:type="dxa"/>
            <w:tcBorders>
              <w:lef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snapToGrid w:val="0"/>
              </w:rPr>
              <w:t>19</w:t>
            </w:r>
          </w:p>
        </w:tc>
        <w:tc>
          <w:tcPr>
            <w:tcW w:w="1775"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1.53</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1.76</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1.34</w:t>
            </w:r>
          </w:p>
        </w:tc>
        <w:tc>
          <w:tcPr>
            <w:tcW w:w="1820" w:type="dxa"/>
            <w:tcBorders>
              <w:righ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65" w:type="dxa"/>
            <w:tcBorders>
              <w:lef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snapToGrid w:val="0"/>
              </w:rPr>
              <w:t>20</w:t>
            </w:r>
          </w:p>
        </w:tc>
        <w:tc>
          <w:tcPr>
            <w:tcW w:w="1775"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1.19</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1.46</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1.18</w:t>
            </w:r>
          </w:p>
        </w:tc>
        <w:tc>
          <w:tcPr>
            <w:tcW w:w="1820" w:type="dxa"/>
            <w:tcBorders>
              <w:righ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65" w:type="dxa"/>
            <w:tcBorders>
              <w:lef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snapToGrid w:val="0"/>
              </w:rPr>
              <w:t>21</w:t>
            </w:r>
          </w:p>
        </w:tc>
        <w:tc>
          <w:tcPr>
            <w:tcW w:w="1775"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1.27</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1.43</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1.24</w:t>
            </w:r>
          </w:p>
        </w:tc>
        <w:tc>
          <w:tcPr>
            <w:tcW w:w="1820" w:type="dxa"/>
            <w:tcBorders>
              <w:righ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65" w:type="dxa"/>
            <w:tcBorders>
              <w:lef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snapToGrid w:val="0"/>
              </w:rPr>
              <w:t>22</w:t>
            </w:r>
          </w:p>
        </w:tc>
        <w:tc>
          <w:tcPr>
            <w:tcW w:w="1775"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1.35</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1.35</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1.21</w:t>
            </w:r>
          </w:p>
        </w:tc>
        <w:tc>
          <w:tcPr>
            <w:tcW w:w="1820" w:type="dxa"/>
            <w:tcBorders>
              <w:righ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65" w:type="dxa"/>
            <w:tcBorders>
              <w:lef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snapToGrid w:val="0"/>
              </w:rPr>
              <w:t>23</w:t>
            </w:r>
          </w:p>
        </w:tc>
        <w:tc>
          <w:tcPr>
            <w:tcW w:w="1775"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1.38</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1.49</w:t>
            </w:r>
          </w:p>
        </w:tc>
        <w:tc>
          <w:tcPr>
            <w:tcW w:w="1820" w:type="dxa"/>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1.14</w:t>
            </w:r>
          </w:p>
        </w:tc>
        <w:tc>
          <w:tcPr>
            <w:tcW w:w="1820" w:type="dxa"/>
            <w:tcBorders>
              <w:righ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865" w:type="dxa"/>
            <w:tcBorders>
              <w:left w:val="single" w:color="auto" w:sz="12" w:space="0"/>
              <w:bottom w:val="single" w:color="auto" w:sz="12" w:space="0"/>
            </w:tcBorders>
            <w:shd w:val="clear" w:color="auto" w:fill="auto"/>
            <w:vAlign w:val="center"/>
          </w:tcPr>
          <w:p>
            <w:pPr>
              <w:snapToGrid w:val="0"/>
              <w:jc w:val="center"/>
              <w:rPr>
                <w:rFonts w:ascii="Times New Roman" w:hAnsi="Times New Roman" w:eastAsiaTheme="minorEastAsia"/>
                <w:snapToGrid w:val="0"/>
              </w:rPr>
            </w:pPr>
            <w:r>
              <w:rPr>
                <w:rFonts w:ascii="Times New Roman" w:hAnsi="Times New Roman" w:eastAsiaTheme="minorEastAsia"/>
                <w:snapToGrid w:val="0"/>
              </w:rPr>
              <w:t>24</w:t>
            </w:r>
          </w:p>
        </w:tc>
        <w:tc>
          <w:tcPr>
            <w:tcW w:w="1775" w:type="dxa"/>
            <w:tcBorders>
              <w:bottom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1.33</w:t>
            </w:r>
          </w:p>
        </w:tc>
        <w:tc>
          <w:tcPr>
            <w:tcW w:w="1820" w:type="dxa"/>
            <w:tcBorders>
              <w:bottom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1.45</w:t>
            </w:r>
          </w:p>
        </w:tc>
        <w:tc>
          <w:tcPr>
            <w:tcW w:w="1820" w:type="dxa"/>
            <w:tcBorders>
              <w:bottom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1.17</w:t>
            </w:r>
          </w:p>
        </w:tc>
        <w:tc>
          <w:tcPr>
            <w:tcW w:w="1820" w:type="dxa"/>
            <w:tcBorders>
              <w:bottom w:val="single" w:color="auto" w:sz="12" w:space="0"/>
              <w:right w:val="single" w:color="auto" w:sz="12" w:space="0"/>
            </w:tcBorders>
            <w:shd w:val="clear" w:color="auto" w:fill="auto"/>
            <w:vAlign w:val="center"/>
          </w:tcPr>
          <w:p>
            <w:pPr>
              <w:snapToGrid w:val="0"/>
              <w:jc w:val="center"/>
              <w:rPr>
                <w:rFonts w:ascii="Times New Roman" w:hAnsi="Times New Roman" w:eastAsiaTheme="minorEastAsia"/>
              </w:rPr>
            </w:pPr>
            <w:r>
              <w:rPr>
                <w:rFonts w:ascii="Times New Roman" w:hAnsi="Times New Roman" w:eastAsiaTheme="minorEastAsia"/>
              </w:rPr>
              <w:t>1.06</w:t>
            </w:r>
          </w:p>
        </w:tc>
      </w:tr>
    </w:tbl>
    <w:p>
      <w:pPr>
        <w:spacing w:line="360" w:lineRule="auto"/>
        <w:jc w:val="center"/>
        <w:rPr>
          <w:rFonts w:ascii="Times New Roman" w:hAnsi="Times New Roman" w:eastAsiaTheme="minorEastAsia"/>
        </w:rPr>
      </w:pPr>
    </w:p>
    <w:p>
      <w:pPr>
        <w:spacing w:line="360" w:lineRule="auto"/>
        <w:jc w:val="center"/>
        <w:rPr>
          <w:rFonts w:ascii="Times New Roman" w:hAnsi="Times New Roman" w:eastAsiaTheme="minorEastAsia"/>
          <w:sz w:val="24"/>
          <w:szCs w:val="24"/>
        </w:rPr>
      </w:pPr>
      <w:r>
        <w:rPr>
          <w:rFonts w:ascii="Times New Roman" w:hAnsi="Times New Roman" w:eastAsiaTheme="minorEastAsia"/>
        </w:rPr>
        <w:drawing>
          <wp:inline distT="0" distB="0" distL="0" distR="0">
            <wp:extent cx="5327650" cy="2156460"/>
            <wp:effectExtent l="0" t="0" r="6350" b="0"/>
            <wp:docPr id="65" name="图表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adjustRightInd w:val="0"/>
        <w:snapToGrid w:val="0"/>
        <w:spacing w:line="360" w:lineRule="auto"/>
        <w:ind w:left="240" w:right="240"/>
        <w:jc w:val="center"/>
        <w:rPr>
          <w:rFonts w:ascii="Times New Roman" w:hAnsi="Times New Roman" w:eastAsiaTheme="minorEastAsia"/>
          <w:b/>
          <w:sz w:val="24"/>
          <w:szCs w:val="24"/>
        </w:rPr>
      </w:pPr>
      <w:r>
        <w:rPr>
          <w:rFonts w:ascii="Times New Roman" w:hAnsi="Times New Roman" w:eastAsiaTheme="minorEastAsia"/>
          <w:b/>
          <w:sz w:val="24"/>
          <w:szCs w:val="24"/>
        </w:rPr>
        <w:t>图6.3-3  2017年各季日平均风速变化曲线图</w:t>
      </w:r>
    </w:p>
    <w:p>
      <w:pPr>
        <w:snapToGrid w:val="0"/>
        <w:spacing w:line="360" w:lineRule="auto"/>
        <w:ind w:firstLine="480" w:firstLineChars="200"/>
        <w:jc w:val="left"/>
        <w:rPr>
          <w:rFonts w:ascii="Times New Roman" w:hAnsi="Times New Roman" w:eastAsiaTheme="minorEastAsia"/>
          <w:snapToGrid w:val="0"/>
          <w:kern w:val="0"/>
          <w:sz w:val="24"/>
          <w:szCs w:val="24"/>
        </w:rPr>
      </w:pPr>
      <w:r>
        <w:rPr>
          <w:rFonts w:ascii="Times New Roman" w:hAnsi="Times New Roman" w:eastAsiaTheme="minorEastAsia"/>
          <w:snapToGrid w:val="0"/>
          <w:kern w:val="0"/>
          <w:sz w:val="24"/>
          <w:szCs w:val="24"/>
        </w:rPr>
        <w:t>由表6.3-3和图6.3-3可以看出：全天中9时~19时风速较大，有利于污染物的扩散，19时~8时风速相对较小，不利于污染物扩散。</w:t>
      </w:r>
    </w:p>
    <w:p>
      <w:pPr>
        <w:snapToGrid w:val="0"/>
        <w:spacing w:line="360" w:lineRule="auto"/>
        <w:ind w:left="426"/>
        <w:jc w:val="left"/>
        <w:rPr>
          <w:rFonts w:ascii="Times New Roman" w:hAnsi="Times New Roman" w:eastAsiaTheme="minorEastAsia"/>
          <w:b/>
          <w:snapToGrid w:val="0"/>
          <w:kern w:val="0"/>
          <w:sz w:val="24"/>
          <w:szCs w:val="24"/>
        </w:rPr>
      </w:pPr>
      <w:r>
        <w:rPr>
          <w:rFonts w:ascii="Times New Roman" w:hAnsi="Times New Roman" w:eastAsiaTheme="minorEastAsia"/>
          <w:b/>
          <w:snapToGrid w:val="0"/>
          <w:kern w:val="0"/>
          <w:sz w:val="24"/>
          <w:szCs w:val="24"/>
        </w:rPr>
        <w:t>3、风频</w:t>
      </w:r>
    </w:p>
    <w:p>
      <w:pPr>
        <w:snapToGrid w:val="0"/>
        <w:spacing w:line="360" w:lineRule="auto"/>
        <w:ind w:firstLine="480" w:firstLineChars="200"/>
        <w:jc w:val="left"/>
        <w:rPr>
          <w:rFonts w:ascii="Times New Roman" w:hAnsi="Times New Roman" w:eastAsiaTheme="minorEastAsia"/>
          <w:snapToGrid w:val="0"/>
          <w:kern w:val="0"/>
          <w:sz w:val="24"/>
          <w:szCs w:val="24"/>
        </w:rPr>
      </w:pPr>
      <w:r>
        <w:rPr>
          <w:rFonts w:hint="eastAsia" w:ascii="宋体" w:hAnsi="宋体" w:cs="宋体"/>
          <w:snapToGrid w:val="0"/>
          <w:kern w:val="0"/>
          <w:sz w:val="24"/>
          <w:szCs w:val="24"/>
        </w:rPr>
        <w:t>⑴</w:t>
      </w:r>
      <w:r>
        <w:rPr>
          <w:rFonts w:ascii="Times New Roman" w:hAnsi="Times New Roman" w:eastAsiaTheme="minorEastAsia"/>
          <w:snapToGrid w:val="0"/>
          <w:kern w:val="0"/>
          <w:sz w:val="24"/>
          <w:szCs w:val="24"/>
        </w:rPr>
        <w:t xml:space="preserve"> 年均风向频率月变化</w:t>
      </w:r>
    </w:p>
    <w:p>
      <w:pPr>
        <w:snapToGrid w:val="0"/>
        <w:spacing w:line="360" w:lineRule="auto"/>
        <w:ind w:firstLine="480" w:firstLineChars="200"/>
        <w:jc w:val="left"/>
        <w:rPr>
          <w:rFonts w:ascii="Times New Roman" w:hAnsi="Times New Roman" w:eastAsiaTheme="minorEastAsia"/>
          <w:snapToGrid w:val="0"/>
          <w:kern w:val="0"/>
          <w:sz w:val="24"/>
          <w:szCs w:val="24"/>
        </w:rPr>
      </w:pPr>
      <w:r>
        <w:rPr>
          <w:rFonts w:ascii="Times New Roman" w:hAnsi="Times New Roman" w:eastAsiaTheme="minorEastAsia"/>
          <w:snapToGrid w:val="0"/>
          <w:kern w:val="0"/>
          <w:sz w:val="24"/>
          <w:szCs w:val="24"/>
        </w:rPr>
        <w:t>当地风向频率月变化规律见表6.3-4。</w:t>
      </w:r>
    </w:p>
    <w:p>
      <w:pPr>
        <w:wordWrap w:val="0"/>
        <w:adjustRightInd w:val="0"/>
        <w:snapToGrid w:val="0"/>
        <w:spacing w:line="276" w:lineRule="auto"/>
        <w:jc w:val="right"/>
        <w:rPr>
          <w:rFonts w:ascii="Times New Roman" w:hAnsi="Times New Roman" w:eastAsiaTheme="minorEastAsia"/>
          <w:sz w:val="24"/>
          <w:szCs w:val="24"/>
        </w:rPr>
      </w:pPr>
      <w:r>
        <w:rPr>
          <w:rFonts w:ascii="Times New Roman" w:hAnsi="Times New Roman" w:eastAsiaTheme="minorEastAsia"/>
          <w:b/>
          <w:sz w:val="24"/>
          <w:szCs w:val="24"/>
        </w:rPr>
        <w:t xml:space="preserve">表6.3-4  2017年风频月变化统计结果           </w:t>
      </w:r>
      <w:r>
        <w:rPr>
          <w:rFonts w:ascii="Times New Roman" w:hAnsi="Times New Roman" w:eastAsiaTheme="minorEastAsia"/>
          <w:sz w:val="24"/>
          <w:szCs w:val="24"/>
        </w:rPr>
        <w:t>单位：%</w:t>
      </w:r>
    </w:p>
    <w:tbl>
      <w:tblPr>
        <w:tblStyle w:val="71"/>
        <w:tblW w:w="91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40"/>
        <w:gridCol w:w="683"/>
        <w:gridCol w:w="690"/>
        <w:gridCol w:w="688"/>
        <w:gridCol w:w="688"/>
        <w:gridCol w:w="688"/>
        <w:gridCol w:w="690"/>
        <w:gridCol w:w="690"/>
        <w:gridCol w:w="690"/>
        <w:gridCol w:w="690"/>
        <w:gridCol w:w="690"/>
        <w:gridCol w:w="690"/>
        <w:gridCol w:w="6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blHeader/>
          <w:jc w:val="center"/>
        </w:trPr>
        <w:tc>
          <w:tcPr>
            <w:tcW w:w="840"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风向</w:t>
            </w:r>
          </w:p>
        </w:tc>
        <w:tc>
          <w:tcPr>
            <w:tcW w:w="683"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1月</w:t>
            </w:r>
          </w:p>
        </w:tc>
        <w:tc>
          <w:tcPr>
            <w:tcW w:w="690"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2月</w:t>
            </w:r>
          </w:p>
        </w:tc>
        <w:tc>
          <w:tcPr>
            <w:tcW w:w="688"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3月</w:t>
            </w:r>
          </w:p>
        </w:tc>
        <w:tc>
          <w:tcPr>
            <w:tcW w:w="688"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4月</w:t>
            </w:r>
          </w:p>
        </w:tc>
        <w:tc>
          <w:tcPr>
            <w:tcW w:w="688"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5月</w:t>
            </w:r>
          </w:p>
        </w:tc>
        <w:tc>
          <w:tcPr>
            <w:tcW w:w="690"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6月</w:t>
            </w:r>
          </w:p>
        </w:tc>
        <w:tc>
          <w:tcPr>
            <w:tcW w:w="690"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7月</w:t>
            </w:r>
          </w:p>
        </w:tc>
        <w:tc>
          <w:tcPr>
            <w:tcW w:w="690"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8月</w:t>
            </w:r>
          </w:p>
        </w:tc>
        <w:tc>
          <w:tcPr>
            <w:tcW w:w="690"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9月</w:t>
            </w:r>
          </w:p>
        </w:tc>
        <w:tc>
          <w:tcPr>
            <w:tcW w:w="690"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10月</w:t>
            </w:r>
          </w:p>
        </w:tc>
        <w:tc>
          <w:tcPr>
            <w:tcW w:w="690"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11月</w:t>
            </w:r>
          </w:p>
        </w:tc>
        <w:tc>
          <w:tcPr>
            <w:tcW w:w="683" w:type="dxa"/>
            <w:vAlign w:val="center"/>
          </w:tcPr>
          <w:p>
            <w:pPr>
              <w:overflowPunct w:val="0"/>
              <w:adjustRightInd w:val="0"/>
              <w:snapToGrid w:val="0"/>
              <w:jc w:val="center"/>
              <w:textAlignment w:val="baseline"/>
              <w:rPr>
                <w:rFonts w:ascii="Times New Roman" w:hAnsi="Times New Roman" w:eastAsiaTheme="minorEastAsia"/>
                <w:b/>
                <w:snapToGrid w:val="0"/>
                <w:kern w:val="0"/>
              </w:rPr>
            </w:pPr>
            <w:r>
              <w:rPr>
                <w:rFonts w:ascii="Times New Roman" w:hAnsi="Times New Roman" w:eastAsiaTheme="minorEastAsia"/>
                <w:b/>
                <w:snapToGrid w:val="0"/>
                <w:kern w:val="0"/>
              </w:rPr>
              <w:t>12月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40"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N</w:t>
            </w:r>
          </w:p>
        </w:tc>
        <w:tc>
          <w:tcPr>
            <w:tcW w:w="683"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23.79</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18.15</w:t>
            </w:r>
          </w:p>
        </w:tc>
        <w:tc>
          <w:tcPr>
            <w:tcW w:w="688"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17.07</w:t>
            </w:r>
          </w:p>
        </w:tc>
        <w:tc>
          <w:tcPr>
            <w:tcW w:w="688"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11.94</w:t>
            </w:r>
          </w:p>
        </w:tc>
        <w:tc>
          <w:tcPr>
            <w:tcW w:w="688"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12.37</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11.11</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6.18</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11.42</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23.47</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28.49</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21.81</w:t>
            </w:r>
          </w:p>
        </w:tc>
        <w:tc>
          <w:tcPr>
            <w:tcW w:w="683"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19.35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40"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NNE</w:t>
            </w:r>
          </w:p>
        </w:tc>
        <w:tc>
          <w:tcPr>
            <w:tcW w:w="683"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27.96</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20.68</w:t>
            </w:r>
          </w:p>
        </w:tc>
        <w:tc>
          <w:tcPr>
            <w:tcW w:w="688"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22.45</w:t>
            </w:r>
          </w:p>
        </w:tc>
        <w:tc>
          <w:tcPr>
            <w:tcW w:w="688"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11.53</w:t>
            </w:r>
          </w:p>
        </w:tc>
        <w:tc>
          <w:tcPr>
            <w:tcW w:w="688"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11.96</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11.11</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3.90</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7.93</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17.78</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31.99</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20.83</w:t>
            </w:r>
          </w:p>
        </w:tc>
        <w:tc>
          <w:tcPr>
            <w:tcW w:w="683"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23.12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40"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NE</w:t>
            </w:r>
          </w:p>
        </w:tc>
        <w:tc>
          <w:tcPr>
            <w:tcW w:w="683"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13.71</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9.82</w:t>
            </w:r>
          </w:p>
        </w:tc>
        <w:tc>
          <w:tcPr>
            <w:tcW w:w="688"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13.58</w:t>
            </w:r>
          </w:p>
        </w:tc>
        <w:tc>
          <w:tcPr>
            <w:tcW w:w="688"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7.92</w:t>
            </w:r>
          </w:p>
        </w:tc>
        <w:tc>
          <w:tcPr>
            <w:tcW w:w="688"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7.93</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8.33</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4.30</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8.06</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17.92</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15.32</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12.22</w:t>
            </w:r>
          </w:p>
        </w:tc>
        <w:tc>
          <w:tcPr>
            <w:tcW w:w="683"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14.92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40"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ENE</w:t>
            </w:r>
          </w:p>
        </w:tc>
        <w:tc>
          <w:tcPr>
            <w:tcW w:w="683"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7.93</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4.61</w:t>
            </w:r>
          </w:p>
        </w:tc>
        <w:tc>
          <w:tcPr>
            <w:tcW w:w="688"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6.18</w:t>
            </w:r>
          </w:p>
        </w:tc>
        <w:tc>
          <w:tcPr>
            <w:tcW w:w="688"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4.58</w:t>
            </w:r>
          </w:p>
        </w:tc>
        <w:tc>
          <w:tcPr>
            <w:tcW w:w="688"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6.99</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6.94</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2.55</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6.18</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7.78</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5.91</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7.36</w:t>
            </w:r>
          </w:p>
        </w:tc>
        <w:tc>
          <w:tcPr>
            <w:tcW w:w="683"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8.06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40"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E</w:t>
            </w:r>
          </w:p>
        </w:tc>
        <w:tc>
          <w:tcPr>
            <w:tcW w:w="683"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4.70</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2.83</w:t>
            </w:r>
          </w:p>
        </w:tc>
        <w:tc>
          <w:tcPr>
            <w:tcW w:w="688"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3.76</w:t>
            </w:r>
          </w:p>
        </w:tc>
        <w:tc>
          <w:tcPr>
            <w:tcW w:w="688"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3.06</w:t>
            </w:r>
          </w:p>
        </w:tc>
        <w:tc>
          <w:tcPr>
            <w:tcW w:w="688"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1.48</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2.22</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1.21</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2.15</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3.89</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2.96</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4.03</w:t>
            </w:r>
          </w:p>
        </w:tc>
        <w:tc>
          <w:tcPr>
            <w:tcW w:w="683"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3.36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40"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ESE</w:t>
            </w:r>
          </w:p>
        </w:tc>
        <w:tc>
          <w:tcPr>
            <w:tcW w:w="683"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0.27</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1.64</w:t>
            </w:r>
          </w:p>
        </w:tc>
        <w:tc>
          <w:tcPr>
            <w:tcW w:w="688"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1.08</w:t>
            </w:r>
          </w:p>
        </w:tc>
        <w:tc>
          <w:tcPr>
            <w:tcW w:w="688"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0.69</w:t>
            </w:r>
          </w:p>
        </w:tc>
        <w:tc>
          <w:tcPr>
            <w:tcW w:w="688"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0.54</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1.11</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0.27</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0.54</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0.14</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0.54</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0.69</w:t>
            </w:r>
          </w:p>
        </w:tc>
        <w:tc>
          <w:tcPr>
            <w:tcW w:w="683"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40"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SE</w:t>
            </w:r>
          </w:p>
        </w:tc>
        <w:tc>
          <w:tcPr>
            <w:tcW w:w="683"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0.54</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1.79</w:t>
            </w:r>
          </w:p>
        </w:tc>
        <w:tc>
          <w:tcPr>
            <w:tcW w:w="688"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0.67</w:t>
            </w:r>
          </w:p>
        </w:tc>
        <w:tc>
          <w:tcPr>
            <w:tcW w:w="688"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1.11</w:t>
            </w:r>
          </w:p>
        </w:tc>
        <w:tc>
          <w:tcPr>
            <w:tcW w:w="688"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0.67</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0.69</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0.67</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0.13</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0.28</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0.27</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0.69</w:t>
            </w:r>
          </w:p>
        </w:tc>
        <w:tc>
          <w:tcPr>
            <w:tcW w:w="683"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40"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SSE</w:t>
            </w:r>
          </w:p>
        </w:tc>
        <w:tc>
          <w:tcPr>
            <w:tcW w:w="683"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0.40</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2.08</w:t>
            </w:r>
          </w:p>
        </w:tc>
        <w:tc>
          <w:tcPr>
            <w:tcW w:w="688"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0.67</w:t>
            </w:r>
          </w:p>
        </w:tc>
        <w:tc>
          <w:tcPr>
            <w:tcW w:w="688"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1.67</w:t>
            </w:r>
          </w:p>
        </w:tc>
        <w:tc>
          <w:tcPr>
            <w:tcW w:w="688"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2.02</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1.67</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0.81</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2.55</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0.42</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0.00</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1.11</w:t>
            </w:r>
          </w:p>
        </w:tc>
        <w:tc>
          <w:tcPr>
            <w:tcW w:w="683"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40"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S</w:t>
            </w:r>
          </w:p>
        </w:tc>
        <w:tc>
          <w:tcPr>
            <w:tcW w:w="683"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3.49</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8.63</w:t>
            </w:r>
          </w:p>
        </w:tc>
        <w:tc>
          <w:tcPr>
            <w:tcW w:w="688"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6.72</w:t>
            </w:r>
          </w:p>
        </w:tc>
        <w:tc>
          <w:tcPr>
            <w:tcW w:w="688"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19.17</w:t>
            </w:r>
          </w:p>
        </w:tc>
        <w:tc>
          <w:tcPr>
            <w:tcW w:w="688"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16.26</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15.56</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27.28</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15.73</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2.92</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1.88</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6.39</w:t>
            </w:r>
          </w:p>
        </w:tc>
        <w:tc>
          <w:tcPr>
            <w:tcW w:w="683"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5.78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40"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SSW</w:t>
            </w:r>
          </w:p>
        </w:tc>
        <w:tc>
          <w:tcPr>
            <w:tcW w:w="683"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2.28</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9.67</w:t>
            </w:r>
          </w:p>
        </w:tc>
        <w:tc>
          <w:tcPr>
            <w:tcW w:w="688"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5.91</w:t>
            </w:r>
          </w:p>
        </w:tc>
        <w:tc>
          <w:tcPr>
            <w:tcW w:w="688"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15.14</w:t>
            </w:r>
          </w:p>
        </w:tc>
        <w:tc>
          <w:tcPr>
            <w:tcW w:w="688"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15.73</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15.42</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29.30</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17.74</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5.56</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1.21</w:t>
            </w:r>
          </w:p>
        </w:tc>
        <w:tc>
          <w:tcPr>
            <w:tcW w:w="690"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2.08</w:t>
            </w:r>
          </w:p>
        </w:tc>
        <w:tc>
          <w:tcPr>
            <w:tcW w:w="683" w:type="dxa"/>
            <w:shd w:val="clear" w:color="auto" w:fill="auto"/>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40"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SW</w:t>
            </w:r>
          </w:p>
        </w:tc>
        <w:tc>
          <w:tcPr>
            <w:tcW w:w="683"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1.88</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2.98</w:t>
            </w:r>
          </w:p>
        </w:tc>
        <w:tc>
          <w:tcPr>
            <w:tcW w:w="688"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2.69</w:t>
            </w:r>
          </w:p>
        </w:tc>
        <w:tc>
          <w:tcPr>
            <w:tcW w:w="688"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10.69</w:t>
            </w:r>
          </w:p>
        </w:tc>
        <w:tc>
          <w:tcPr>
            <w:tcW w:w="688"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7.93</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9.44</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14.92</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10.35</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2.08</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1.08</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1.25</w:t>
            </w:r>
          </w:p>
        </w:tc>
        <w:tc>
          <w:tcPr>
            <w:tcW w:w="683"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40"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WSW</w:t>
            </w:r>
          </w:p>
        </w:tc>
        <w:tc>
          <w:tcPr>
            <w:tcW w:w="683"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0.40</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1.49</w:t>
            </w:r>
          </w:p>
        </w:tc>
        <w:tc>
          <w:tcPr>
            <w:tcW w:w="688"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1.61</w:t>
            </w:r>
          </w:p>
        </w:tc>
        <w:tc>
          <w:tcPr>
            <w:tcW w:w="688"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2.36</w:t>
            </w:r>
          </w:p>
        </w:tc>
        <w:tc>
          <w:tcPr>
            <w:tcW w:w="688"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2.28</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2.50</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2.15</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2.55</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0.83</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0.13</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1.25</w:t>
            </w:r>
          </w:p>
        </w:tc>
        <w:tc>
          <w:tcPr>
            <w:tcW w:w="683"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40"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W</w:t>
            </w:r>
          </w:p>
        </w:tc>
        <w:tc>
          <w:tcPr>
            <w:tcW w:w="683"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0.54</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1.64</w:t>
            </w:r>
          </w:p>
        </w:tc>
        <w:tc>
          <w:tcPr>
            <w:tcW w:w="688"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1.75</w:t>
            </w:r>
          </w:p>
        </w:tc>
        <w:tc>
          <w:tcPr>
            <w:tcW w:w="688"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0.69</w:t>
            </w:r>
          </w:p>
        </w:tc>
        <w:tc>
          <w:tcPr>
            <w:tcW w:w="688"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1.08</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0.97</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1.21</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1.75</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0.56</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0.27</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0.83</w:t>
            </w:r>
          </w:p>
        </w:tc>
        <w:tc>
          <w:tcPr>
            <w:tcW w:w="683"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40"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WNW</w:t>
            </w:r>
          </w:p>
        </w:tc>
        <w:tc>
          <w:tcPr>
            <w:tcW w:w="683"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1.21</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1.93</w:t>
            </w:r>
          </w:p>
        </w:tc>
        <w:tc>
          <w:tcPr>
            <w:tcW w:w="688"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1.61</w:t>
            </w:r>
          </w:p>
        </w:tc>
        <w:tc>
          <w:tcPr>
            <w:tcW w:w="688"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1.25</w:t>
            </w:r>
          </w:p>
        </w:tc>
        <w:tc>
          <w:tcPr>
            <w:tcW w:w="688"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1.75</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2.78</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0.27</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2.28</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1.11</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0.54</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1.67</w:t>
            </w:r>
          </w:p>
        </w:tc>
        <w:tc>
          <w:tcPr>
            <w:tcW w:w="683"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40"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NW</w:t>
            </w:r>
          </w:p>
        </w:tc>
        <w:tc>
          <w:tcPr>
            <w:tcW w:w="683"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2.55</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3.87</w:t>
            </w:r>
          </w:p>
        </w:tc>
        <w:tc>
          <w:tcPr>
            <w:tcW w:w="688"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3.36</w:t>
            </w:r>
          </w:p>
        </w:tc>
        <w:tc>
          <w:tcPr>
            <w:tcW w:w="688"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3.19</w:t>
            </w:r>
          </w:p>
        </w:tc>
        <w:tc>
          <w:tcPr>
            <w:tcW w:w="688"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3.49</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4.31</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0.40</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2.55</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1.81</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1.21</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3.19</w:t>
            </w:r>
          </w:p>
        </w:tc>
        <w:tc>
          <w:tcPr>
            <w:tcW w:w="683"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40"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NNW</w:t>
            </w:r>
          </w:p>
        </w:tc>
        <w:tc>
          <w:tcPr>
            <w:tcW w:w="683"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4.84</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4.17</w:t>
            </w:r>
          </w:p>
        </w:tc>
        <w:tc>
          <w:tcPr>
            <w:tcW w:w="688"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5.91</w:t>
            </w:r>
          </w:p>
        </w:tc>
        <w:tc>
          <w:tcPr>
            <w:tcW w:w="688"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2.50</w:t>
            </w:r>
          </w:p>
        </w:tc>
        <w:tc>
          <w:tcPr>
            <w:tcW w:w="688"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3.23</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3.75</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3.63</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4.03</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5.56</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3.76</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5.42</w:t>
            </w:r>
          </w:p>
        </w:tc>
        <w:tc>
          <w:tcPr>
            <w:tcW w:w="683"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40"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C</w:t>
            </w:r>
          </w:p>
        </w:tc>
        <w:tc>
          <w:tcPr>
            <w:tcW w:w="683"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3.49</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4.02</w:t>
            </w:r>
          </w:p>
        </w:tc>
        <w:tc>
          <w:tcPr>
            <w:tcW w:w="688"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4.97</w:t>
            </w:r>
          </w:p>
        </w:tc>
        <w:tc>
          <w:tcPr>
            <w:tcW w:w="688"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2.50</w:t>
            </w:r>
          </w:p>
        </w:tc>
        <w:tc>
          <w:tcPr>
            <w:tcW w:w="688"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4.30</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2.08</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0.94</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4.03</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7.92</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4.44</w:t>
            </w:r>
          </w:p>
        </w:tc>
        <w:tc>
          <w:tcPr>
            <w:tcW w:w="690"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9.17</w:t>
            </w:r>
          </w:p>
        </w:tc>
        <w:tc>
          <w:tcPr>
            <w:tcW w:w="683" w:type="dxa"/>
            <w:vAlign w:val="center"/>
          </w:tcPr>
          <w:p>
            <w:pPr>
              <w:overflowPunct w:val="0"/>
              <w:adjustRightInd w:val="0"/>
              <w:snapToGrid w:val="0"/>
              <w:jc w:val="center"/>
              <w:textAlignment w:val="baseline"/>
              <w:rPr>
                <w:rFonts w:ascii="Times New Roman" w:hAnsi="Times New Roman" w:eastAsiaTheme="minorEastAsia"/>
                <w:snapToGrid w:val="0"/>
                <w:kern w:val="0"/>
              </w:rPr>
            </w:pPr>
            <w:r>
              <w:rPr>
                <w:rFonts w:ascii="Times New Roman" w:hAnsi="Times New Roman" w:eastAsiaTheme="minorEastAsia"/>
              </w:rPr>
              <w:t>8.87</w:t>
            </w:r>
          </w:p>
        </w:tc>
      </w:tr>
    </w:tbl>
    <w:p>
      <w:pPr>
        <w:snapToGrid w:val="0"/>
        <w:rPr>
          <w:rFonts w:ascii="Times New Roman" w:hAnsi="Times New Roman" w:eastAsiaTheme="minorEastAsia"/>
          <w:snapToGrid w:val="0"/>
          <w:sz w:val="24"/>
          <w:szCs w:val="24"/>
        </w:rPr>
      </w:pPr>
    </w:p>
    <w:p>
      <w:pPr>
        <w:adjustRightInd w:val="0"/>
        <w:snapToGrid w:val="0"/>
        <w:spacing w:line="360" w:lineRule="auto"/>
        <w:ind w:firstLine="480" w:firstLineChars="200"/>
        <w:rPr>
          <w:rFonts w:ascii="Times New Roman" w:hAnsi="Times New Roman" w:eastAsiaTheme="minorEastAsia"/>
          <w:snapToGrid w:val="0"/>
          <w:sz w:val="24"/>
          <w:szCs w:val="24"/>
        </w:rPr>
      </w:pPr>
      <w:r>
        <w:rPr>
          <w:rFonts w:hint="eastAsia" w:ascii="宋体" w:hAnsi="宋体" w:cs="宋体"/>
          <w:snapToGrid w:val="0"/>
          <w:sz w:val="24"/>
          <w:szCs w:val="24"/>
        </w:rPr>
        <w:t>①</w:t>
      </w:r>
      <w:r>
        <w:rPr>
          <w:rFonts w:ascii="Times New Roman" w:hAnsi="Times New Roman" w:eastAsiaTheme="minorEastAsia"/>
          <w:snapToGrid w:val="0"/>
          <w:sz w:val="24"/>
          <w:szCs w:val="24"/>
        </w:rPr>
        <w:t xml:space="preserve"> 年均风向频率的季变化及年均风频</w:t>
      </w:r>
    </w:p>
    <w:p>
      <w:pPr>
        <w:adjustRightInd w:val="0"/>
        <w:snapToGrid w:val="0"/>
        <w:spacing w:line="360" w:lineRule="auto"/>
        <w:ind w:firstLine="480" w:firstLineChars="200"/>
        <w:jc w:val="left"/>
        <w:rPr>
          <w:rFonts w:ascii="Times New Roman" w:hAnsi="Times New Roman" w:eastAsiaTheme="minorEastAsia"/>
          <w:snapToGrid w:val="0"/>
          <w:kern w:val="0"/>
          <w:sz w:val="24"/>
          <w:szCs w:val="24"/>
        </w:rPr>
      </w:pPr>
      <w:r>
        <w:rPr>
          <w:rFonts w:ascii="Times New Roman" w:hAnsi="Times New Roman" w:eastAsiaTheme="minorEastAsia"/>
          <w:snapToGrid w:val="0"/>
          <w:kern w:val="0"/>
          <w:sz w:val="24"/>
          <w:szCs w:val="24"/>
        </w:rPr>
        <w:t>当地风向频率季变化规律见表6.3-5。全年及各季风频玫瑰见图6.3-4。</w:t>
      </w:r>
    </w:p>
    <w:p>
      <w:pPr>
        <w:wordWrap w:val="0"/>
        <w:adjustRightInd w:val="0"/>
        <w:snapToGrid w:val="0"/>
        <w:spacing w:line="276" w:lineRule="auto"/>
        <w:jc w:val="right"/>
        <w:rPr>
          <w:rFonts w:ascii="Times New Roman" w:hAnsi="Times New Roman" w:eastAsiaTheme="minorEastAsia"/>
          <w:b/>
          <w:sz w:val="24"/>
          <w:szCs w:val="24"/>
        </w:rPr>
      </w:pPr>
      <w:r>
        <w:rPr>
          <w:rFonts w:ascii="Times New Roman" w:hAnsi="Times New Roman" w:eastAsiaTheme="minorEastAsia"/>
          <w:b/>
          <w:sz w:val="24"/>
          <w:szCs w:val="24"/>
        </w:rPr>
        <w:t>表6.3-5  2017年全年及各季风向频率统计结果       单位：%</w:t>
      </w:r>
    </w:p>
    <w:tbl>
      <w:tblPr>
        <w:tblStyle w:val="71"/>
        <w:tblW w:w="91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498"/>
        <w:gridCol w:w="1518"/>
        <w:gridCol w:w="1516"/>
        <w:gridCol w:w="1516"/>
        <w:gridCol w:w="1516"/>
        <w:gridCol w:w="15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98" w:type="dxa"/>
            <w:vAlign w:val="center"/>
          </w:tcPr>
          <w:p>
            <w:pPr>
              <w:adjustRightInd w:val="0"/>
              <w:snapToGrid w:val="0"/>
              <w:jc w:val="center"/>
              <w:rPr>
                <w:rFonts w:ascii="Times New Roman" w:hAnsi="Times New Roman" w:eastAsiaTheme="minorEastAsia"/>
                <w:b/>
                <w:snapToGrid w:val="0"/>
                <w:kern w:val="0"/>
              </w:rPr>
            </w:pPr>
            <w:r>
              <w:rPr>
                <w:rFonts w:ascii="Times New Roman" w:hAnsi="Times New Roman" w:eastAsiaTheme="minorEastAsia"/>
                <w:b/>
                <w:snapToGrid w:val="0"/>
                <w:kern w:val="0"/>
              </w:rPr>
              <w:t>风向</w:t>
            </w:r>
          </w:p>
        </w:tc>
        <w:tc>
          <w:tcPr>
            <w:tcW w:w="1518" w:type="dxa"/>
            <w:vAlign w:val="center"/>
          </w:tcPr>
          <w:p>
            <w:pPr>
              <w:adjustRightInd w:val="0"/>
              <w:snapToGrid w:val="0"/>
              <w:jc w:val="center"/>
              <w:rPr>
                <w:rFonts w:ascii="Times New Roman" w:hAnsi="Times New Roman" w:eastAsiaTheme="minorEastAsia"/>
                <w:b/>
                <w:snapToGrid w:val="0"/>
                <w:kern w:val="0"/>
              </w:rPr>
            </w:pPr>
            <w:r>
              <w:rPr>
                <w:rFonts w:ascii="Times New Roman" w:hAnsi="Times New Roman" w:eastAsiaTheme="minorEastAsia"/>
                <w:b/>
                <w:snapToGrid w:val="0"/>
                <w:kern w:val="0"/>
              </w:rPr>
              <w:t>春季</w:t>
            </w:r>
          </w:p>
        </w:tc>
        <w:tc>
          <w:tcPr>
            <w:tcW w:w="1516" w:type="dxa"/>
            <w:vAlign w:val="center"/>
          </w:tcPr>
          <w:p>
            <w:pPr>
              <w:adjustRightInd w:val="0"/>
              <w:snapToGrid w:val="0"/>
              <w:jc w:val="center"/>
              <w:rPr>
                <w:rFonts w:ascii="Times New Roman" w:hAnsi="Times New Roman" w:eastAsiaTheme="minorEastAsia"/>
                <w:b/>
                <w:snapToGrid w:val="0"/>
                <w:kern w:val="0"/>
              </w:rPr>
            </w:pPr>
            <w:r>
              <w:rPr>
                <w:rFonts w:ascii="Times New Roman" w:hAnsi="Times New Roman" w:eastAsiaTheme="minorEastAsia"/>
                <w:b/>
                <w:snapToGrid w:val="0"/>
                <w:kern w:val="0"/>
              </w:rPr>
              <w:t>夏季</w:t>
            </w:r>
          </w:p>
        </w:tc>
        <w:tc>
          <w:tcPr>
            <w:tcW w:w="1516" w:type="dxa"/>
            <w:vAlign w:val="center"/>
          </w:tcPr>
          <w:p>
            <w:pPr>
              <w:adjustRightInd w:val="0"/>
              <w:snapToGrid w:val="0"/>
              <w:jc w:val="center"/>
              <w:rPr>
                <w:rFonts w:ascii="Times New Roman" w:hAnsi="Times New Roman" w:eastAsiaTheme="minorEastAsia"/>
                <w:b/>
                <w:snapToGrid w:val="0"/>
                <w:kern w:val="0"/>
              </w:rPr>
            </w:pPr>
            <w:r>
              <w:rPr>
                <w:rFonts w:ascii="Times New Roman" w:hAnsi="Times New Roman" w:eastAsiaTheme="minorEastAsia"/>
                <w:b/>
                <w:snapToGrid w:val="0"/>
                <w:kern w:val="0"/>
              </w:rPr>
              <w:t>秋季</w:t>
            </w:r>
          </w:p>
        </w:tc>
        <w:tc>
          <w:tcPr>
            <w:tcW w:w="1516" w:type="dxa"/>
            <w:vAlign w:val="center"/>
          </w:tcPr>
          <w:p>
            <w:pPr>
              <w:adjustRightInd w:val="0"/>
              <w:snapToGrid w:val="0"/>
              <w:jc w:val="center"/>
              <w:rPr>
                <w:rFonts w:ascii="Times New Roman" w:hAnsi="Times New Roman" w:eastAsiaTheme="minorEastAsia"/>
                <w:b/>
                <w:snapToGrid w:val="0"/>
                <w:kern w:val="0"/>
              </w:rPr>
            </w:pPr>
            <w:r>
              <w:rPr>
                <w:rFonts w:ascii="Times New Roman" w:hAnsi="Times New Roman" w:eastAsiaTheme="minorEastAsia"/>
                <w:b/>
                <w:snapToGrid w:val="0"/>
                <w:kern w:val="0"/>
              </w:rPr>
              <w:t>冬季</w:t>
            </w:r>
          </w:p>
        </w:tc>
        <w:tc>
          <w:tcPr>
            <w:tcW w:w="1536" w:type="dxa"/>
            <w:vAlign w:val="center"/>
          </w:tcPr>
          <w:p>
            <w:pPr>
              <w:adjustRightInd w:val="0"/>
              <w:snapToGrid w:val="0"/>
              <w:jc w:val="center"/>
              <w:rPr>
                <w:rFonts w:ascii="Times New Roman" w:hAnsi="Times New Roman" w:eastAsiaTheme="minorEastAsia"/>
                <w:b/>
                <w:snapToGrid w:val="0"/>
                <w:kern w:val="0"/>
              </w:rPr>
            </w:pPr>
            <w:r>
              <w:rPr>
                <w:rFonts w:ascii="Times New Roman" w:hAnsi="Times New Roman" w:eastAsiaTheme="minorEastAsia"/>
                <w:b/>
                <w:snapToGrid w:val="0"/>
                <w:kern w:val="0"/>
              </w:rPr>
              <w:t>全年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9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N</w:t>
            </w:r>
          </w:p>
        </w:tc>
        <w:tc>
          <w:tcPr>
            <w:tcW w:w="151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13.81</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9.56</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24.63</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20.51</w:t>
            </w:r>
          </w:p>
        </w:tc>
        <w:tc>
          <w:tcPr>
            <w:tcW w:w="153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17.09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9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NNE</w:t>
            </w:r>
          </w:p>
        </w:tc>
        <w:tc>
          <w:tcPr>
            <w:tcW w:w="151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15.35</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7.61</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23.63</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24.03</w:t>
            </w:r>
          </w:p>
        </w:tc>
        <w:tc>
          <w:tcPr>
            <w:tcW w:w="153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17.60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9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NE</w:t>
            </w:r>
          </w:p>
        </w:tc>
        <w:tc>
          <w:tcPr>
            <w:tcW w:w="151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9.83</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6.88</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15.16</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12.92</w:t>
            </w:r>
          </w:p>
        </w:tc>
        <w:tc>
          <w:tcPr>
            <w:tcW w:w="153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11.18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9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ENE</w:t>
            </w:r>
          </w:p>
        </w:tc>
        <w:tc>
          <w:tcPr>
            <w:tcW w:w="151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5.93</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5.21</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7.01</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6.94</w:t>
            </w:r>
          </w:p>
        </w:tc>
        <w:tc>
          <w:tcPr>
            <w:tcW w:w="153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6.27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9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E</w:t>
            </w:r>
          </w:p>
        </w:tc>
        <w:tc>
          <w:tcPr>
            <w:tcW w:w="151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2.76</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1.86</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3.62</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3.66</w:t>
            </w:r>
          </w:p>
        </w:tc>
        <w:tc>
          <w:tcPr>
            <w:tcW w:w="153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2.97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9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ESE</w:t>
            </w:r>
          </w:p>
        </w:tc>
        <w:tc>
          <w:tcPr>
            <w:tcW w:w="151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0.77</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0.63</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0.46</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0.83</w:t>
            </w:r>
          </w:p>
        </w:tc>
        <w:tc>
          <w:tcPr>
            <w:tcW w:w="153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0.67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9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SE</w:t>
            </w:r>
          </w:p>
        </w:tc>
        <w:tc>
          <w:tcPr>
            <w:tcW w:w="151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0.82</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0.50</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0.41</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0.88</w:t>
            </w:r>
          </w:p>
        </w:tc>
        <w:tc>
          <w:tcPr>
            <w:tcW w:w="153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0.65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9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SSE</w:t>
            </w:r>
          </w:p>
        </w:tc>
        <w:tc>
          <w:tcPr>
            <w:tcW w:w="151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1.45</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1.68</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0.50</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1.30</w:t>
            </w:r>
          </w:p>
        </w:tc>
        <w:tc>
          <w:tcPr>
            <w:tcW w:w="153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1.23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9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S</w:t>
            </w:r>
          </w:p>
        </w:tc>
        <w:tc>
          <w:tcPr>
            <w:tcW w:w="151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13.99</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19.57</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3.71</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5.88</w:t>
            </w:r>
          </w:p>
        </w:tc>
        <w:tc>
          <w:tcPr>
            <w:tcW w:w="153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10.83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9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SSW</w:t>
            </w:r>
          </w:p>
        </w:tc>
        <w:tc>
          <w:tcPr>
            <w:tcW w:w="151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12.23</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20.88</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2.93</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4.81</w:t>
            </w:r>
          </w:p>
        </w:tc>
        <w:tc>
          <w:tcPr>
            <w:tcW w:w="153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10.26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9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SW</w:t>
            </w:r>
          </w:p>
        </w:tc>
        <w:tc>
          <w:tcPr>
            <w:tcW w:w="151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7.07</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11.59</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1.47</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2.41</w:t>
            </w:r>
          </w:p>
        </w:tc>
        <w:tc>
          <w:tcPr>
            <w:tcW w:w="153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5.66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9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WSW</w:t>
            </w:r>
          </w:p>
        </w:tc>
        <w:tc>
          <w:tcPr>
            <w:tcW w:w="151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2.08</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2.40</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0.73</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0.88</w:t>
            </w:r>
          </w:p>
        </w:tc>
        <w:tc>
          <w:tcPr>
            <w:tcW w:w="153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1.53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9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W</w:t>
            </w:r>
          </w:p>
        </w:tc>
        <w:tc>
          <w:tcPr>
            <w:tcW w:w="151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1.18</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1.31</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0.55</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1.16</w:t>
            </w:r>
          </w:p>
        </w:tc>
        <w:tc>
          <w:tcPr>
            <w:tcW w:w="153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1.05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9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WNW</w:t>
            </w:r>
          </w:p>
        </w:tc>
        <w:tc>
          <w:tcPr>
            <w:tcW w:w="151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1.54</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1.77</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1.10</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1.53</w:t>
            </w:r>
          </w:p>
        </w:tc>
        <w:tc>
          <w:tcPr>
            <w:tcW w:w="153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1.48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9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NW</w:t>
            </w:r>
          </w:p>
        </w:tc>
        <w:tc>
          <w:tcPr>
            <w:tcW w:w="151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3.35</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2.40</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2.06</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2.87</w:t>
            </w:r>
          </w:p>
        </w:tc>
        <w:tc>
          <w:tcPr>
            <w:tcW w:w="153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2.67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9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NNW</w:t>
            </w:r>
          </w:p>
        </w:tc>
        <w:tc>
          <w:tcPr>
            <w:tcW w:w="151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3.89</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3.80</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4.90</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3.89</w:t>
            </w:r>
          </w:p>
        </w:tc>
        <w:tc>
          <w:tcPr>
            <w:tcW w:w="153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4.12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9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snapToGrid w:val="0"/>
                <w:kern w:val="0"/>
              </w:rPr>
              <w:t>C</w:t>
            </w:r>
          </w:p>
        </w:tc>
        <w:tc>
          <w:tcPr>
            <w:tcW w:w="1518"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3.94</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2.36</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7.14</w:t>
            </w:r>
          </w:p>
        </w:tc>
        <w:tc>
          <w:tcPr>
            <w:tcW w:w="151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5.51</w:t>
            </w:r>
          </w:p>
        </w:tc>
        <w:tc>
          <w:tcPr>
            <w:tcW w:w="1536" w:type="dxa"/>
            <w:vAlign w:val="center"/>
          </w:tcPr>
          <w:p>
            <w:pPr>
              <w:adjustRightInd w:val="0"/>
              <w:snapToGrid w:val="0"/>
              <w:jc w:val="center"/>
              <w:rPr>
                <w:rFonts w:ascii="Times New Roman" w:hAnsi="Times New Roman" w:eastAsiaTheme="minorEastAsia"/>
                <w:snapToGrid w:val="0"/>
                <w:kern w:val="0"/>
              </w:rPr>
            </w:pPr>
            <w:r>
              <w:rPr>
                <w:rFonts w:ascii="Times New Roman" w:hAnsi="Times New Roman" w:eastAsiaTheme="minorEastAsia"/>
              </w:rPr>
              <w:t>4.73</w:t>
            </w:r>
          </w:p>
        </w:tc>
      </w:tr>
    </w:tbl>
    <w:p>
      <w:pPr>
        <w:spacing w:line="360" w:lineRule="auto"/>
        <w:jc w:val="center"/>
        <w:rPr>
          <w:rFonts w:ascii="Times New Roman" w:hAnsi="Times New Roman" w:eastAsiaTheme="minorEastAsia"/>
          <w:snapToGrid w:val="0"/>
          <w:kern w:val="0"/>
          <w:sz w:val="24"/>
          <w:szCs w:val="24"/>
        </w:rPr>
      </w:pPr>
      <w:r>
        <w:rPr>
          <w:rFonts w:ascii="Times New Roman" w:hAnsi="Times New Roman" w:eastAsiaTheme="minorEastAsia"/>
          <w:snapToGrid w:val="0"/>
          <w:kern w:val="0"/>
          <w:sz w:val="24"/>
          <w:szCs w:val="24"/>
        </w:rPr>
        <w:drawing>
          <wp:inline distT="0" distB="0" distL="0" distR="0">
            <wp:extent cx="5327650" cy="7408545"/>
            <wp:effectExtent l="9525" t="9525" r="15875" b="11430"/>
            <wp:docPr id="66" name="图片 66" descr="F:\长岭催化剂重整项目\长炼项目气象数据购买（葛老师）\20年风向玫瑰图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F:\长岭催化剂重整项目\长炼项目气象数据购买（葛老师）\20年风向玫瑰图1.BMP"/>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327650" cy="7408545"/>
                    </a:xfrm>
                    <a:prstGeom prst="rect">
                      <a:avLst/>
                    </a:prstGeom>
                    <a:noFill/>
                    <a:ln>
                      <a:solidFill>
                        <a:schemeClr val="tx1"/>
                      </a:solidFill>
                    </a:ln>
                  </pic:spPr>
                </pic:pic>
              </a:graphicData>
            </a:graphic>
          </wp:inline>
        </w:drawing>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图6.3-4  临湘气象站全年及四季风玫瑰图</w:t>
      </w:r>
    </w:p>
    <w:p>
      <w:pPr>
        <w:pStyle w:val="4"/>
        <w:rPr>
          <w:rFonts w:eastAsiaTheme="minorEastAsia"/>
        </w:rPr>
      </w:pPr>
      <w:r>
        <w:rPr>
          <w:rFonts w:eastAsiaTheme="minorEastAsia"/>
        </w:rPr>
        <w:t>地形数据</w:t>
      </w:r>
    </w:p>
    <w:p>
      <w:pPr>
        <w:pStyle w:val="131"/>
        <w:snapToGrid w:val="0"/>
        <w:spacing w:line="360" w:lineRule="auto"/>
        <w:ind w:firstLine="480"/>
        <w:rPr>
          <w:rFonts w:eastAsiaTheme="minorEastAsia"/>
          <w:szCs w:val="20"/>
        </w:rPr>
      </w:pPr>
      <w:r>
        <w:rPr>
          <w:rFonts w:eastAsiaTheme="minorEastAsia"/>
          <w:kern w:val="2"/>
          <w:sz w:val="24"/>
          <w:szCs w:val="24"/>
        </w:rPr>
        <w:t>地形数据采用csi.cgiar.org提供的免费3秒精度数据，可以方便、快速、无缝生成任何一个评价区域的单一DEM文件，经纬度坐标，WGS坐标系，3秒（约90m）精度。本评价在进行环境空气影响预测时，考虑地形影响</w:t>
      </w:r>
      <w:r>
        <w:rPr>
          <w:rFonts w:eastAsiaTheme="minorEastAsia"/>
          <w:szCs w:val="20"/>
        </w:rPr>
        <w:t>。</w:t>
      </w:r>
    </w:p>
    <w:p>
      <w:pPr>
        <w:pStyle w:val="4"/>
        <w:rPr>
          <w:rFonts w:eastAsiaTheme="minorEastAsia"/>
        </w:rPr>
      </w:pPr>
      <w:r>
        <w:rPr>
          <w:rFonts w:eastAsiaTheme="minorEastAsia"/>
        </w:rPr>
        <w:t>评价等级判定</w:t>
      </w:r>
    </w:p>
    <w:p>
      <w:pPr>
        <w:pStyle w:val="131"/>
        <w:spacing w:line="360" w:lineRule="auto"/>
        <w:ind w:firstLine="480"/>
        <w:rPr>
          <w:rFonts w:eastAsiaTheme="minorEastAsia"/>
          <w:color w:val="FF0000"/>
          <w:kern w:val="2"/>
          <w:sz w:val="24"/>
          <w:szCs w:val="24"/>
          <w:u w:val="single"/>
        </w:rPr>
      </w:pPr>
      <w:r>
        <w:rPr>
          <w:rFonts w:eastAsiaTheme="minorEastAsia"/>
          <w:color w:val="FF0000"/>
          <w:kern w:val="2"/>
          <w:sz w:val="24"/>
          <w:szCs w:val="24"/>
          <w:u w:val="single"/>
        </w:rPr>
        <w:t>本次评价采用《环境影响评价技术导则大气环境》（HJ2.2-2018）推荐的估算模型AERSCREEN模型系统进行评价等级判定。</w:t>
      </w:r>
    </w:p>
    <w:p>
      <w:pPr>
        <w:pStyle w:val="131"/>
        <w:spacing w:line="360" w:lineRule="auto"/>
        <w:ind w:firstLine="482"/>
        <w:rPr>
          <w:rFonts w:eastAsiaTheme="minorEastAsia"/>
          <w:b/>
          <w:color w:val="FF0000"/>
          <w:kern w:val="2"/>
          <w:sz w:val="24"/>
          <w:szCs w:val="24"/>
          <w:u w:val="single"/>
        </w:rPr>
      </w:pPr>
      <w:r>
        <w:rPr>
          <w:rFonts w:eastAsiaTheme="minorEastAsia"/>
          <w:b/>
          <w:color w:val="FF0000"/>
          <w:kern w:val="2"/>
          <w:sz w:val="24"/>
          <w:szCs w:val="24"/>
          <w:u w:val="single"/>
        </w:rPr>
        <w:t>1、预测时段</w:t>
      </w:r>
    </w:p>
    <w:p>
      <w:pPr>
        <w:pStyle w:val="131"/>
        <w:spacing w:line="360" w:lineRule="auto"/>
        <w:ind w:firstLine="480"/>
        <w:rPr>
          <w:rFonts w:eastAsiaTheme="minorEastAsia"/>
          <w:color w:val="FF0000"/>
          <w:kern w:val="2"/>
          <w:sz w:val="24"/>
          <w:szCs w:val="24"/>
          <w:u w:val="single"/>
        </w:rPr>
      </w:pPr>
      <w:r>
        <w:rPr>
          <w:rFonts w:eastAsiaTheme="minorEastAsia"/>
          <w:color w:val="FF0000"/>
          <w:kern w:val="2"/>
          <w:sz w:val="24"/>
          <w:szCs w:val="24"/>
          <w:u w:val="single"/>
        </w:rPr>
        <w:t>营运期。</w:t>
      </w:r>
    </w:p>
    <w:p>
      <w:pPr>
        <w:pStyle w:val="131"/>
        <w:spacing w:line="360" w:lineRule="auto"/>
        <w:ind w:firstLine="482"/>
        <w:rPr>
          <w:rFonts w:eastAsiaTheme="minorEastAsia"/>
          <w:b/>
          <w:color w:val="FF0000"/>
          <w:kern w:val="2"/>
          <w:sz w:val="24"/>
          <w:szCs w:val="24"/>
          <w:u w:val="single"/>
        </w:rPr>
      </w:pPr>
      <w:r>
        <w:rPr>
          <w:rFonts w:eastAsiaTheme="minorEastAsia"/>
          <w:b/>
          <w:color w:val="FF0000"/>
          <w:kern w:val="2"/>
          <w:sz w:val="24"/>
          <w:szCs w:val="24"/>
          <w:u w:val="single"/>
        </w:rPr>
        <w:t>2、评价因子</w:t>
      </w:r>
    </w:p>
    <w:p>
      <w:pPr>
        <w:pStyle w:val="131"/>
        <w:spacing w:line="360" w:lineRule="auto"/>
        <w:ind w:firstLine="480"/>
        <w:rPr>
          <w:rFonts w:eastAsiaTheme="minorEastAsia"/>
          <w:color w:val="FF0000"/>
          <w:sz w:val="24"/>
          <w:szCs w:val="24"/>
          <w:u w:val="single"/>
        </w:rPr>
      </w:pPr>
      <w:r>
        <w:rPr>
          <w:rFonts w:eastAsiaTheme="minorEastAsia"/>
          <w:color w:val="FF0000"/>
          <w:sz w:val="24"/>
          <w:szCs w:val="24"/>
          <w:u w:val="single"/>
        </w:rPr>
        <w:t>根据拟建项目工程特征，选取TSP作为项目预测因子。确定评价因子和评价标准见表6.3-6。</w:t>
      </w:r>
    </w:p>
    <w:p>
      <w:pPr>
        <w:pStyle w:val="691"/>
        <w:spacing w:beforeLines="0" w:afterLines="0"/>
        <w:ind w:firstLine="480"/>
        <w:rPr>
          <w:rFonts w:eastAsiaTheme="minorEastAsia"/>
          <w:color w:val="FF0000"/>
          <w:u w:val="single"/>
        </w:rPr>
      </w:pPr>
      <w:r>
        <w:rPr>
          <w:rFonts w:eastAsiaTheme="minorEastAsia"/>
          <w:color w:val="FF0000"/>
          <w:u w:val="single"/>
        </w:rPr>
        <w:t>表6.3-6  预测因子及评价标准</w:t>
      </w:r>
    </w:p>
    <w:tbl>
      <w:tblPr>
        <w:tblStyle w:val="838"/>
        <w:tblW w:w="910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88"/>
        <w:gridCol w:w="1258"/>
        <w:gridCol w:w="1262"/>
        <w:gridCol w:w="1629"/>
        <w:gridCol w:w="426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Align w:val="center"/>
          </w:tcPr>
          <w:p>
            <w:pPr>
              <w:pStyle w:val="696"/>
              <w:adjustRightInd w:val="0"/>
              <w:snapToGrid w:val="0"/>
              <w:spacing w:beforeLines="0" w:afterLines="0"/>
              <w:rPr>
                <w:rFonts w:eastAsiaTheme="minorEastAsia"/>
                <w:b/>
                <w:color w:val="FF0000"/>
                <w:u w:val="single"/>
                <w:lang w:eastAsia="en-US"/>
              </w:rPr>
            </w:pPr>
            <w:r>
              <w:rPr>
                <w:rFonts w:eastAsiaTheme="minorEastAsia"/>
                <w:b/>
                <w:color w:val="FF0000"/>
                <w:u w:val="single"/>
                <w:lang w:eastAsia="en-US"/>
              </w:rPr>
              <w:t>序号</w:t>
            </w:r>
          </w:p>
        </w:tc>
        <w:tc>
          <w:tcPr>
            <w:tcW w:w="1258" w:type="dxa"/>
            <w:vAlign w:val="center"/>
          </w:tcPr>
          <w:p>
            <w:pPr>
              <w:pStyle w:val="696"/>
              <w:adjustRightInd w:val="0"/>
              <w:snapToGrid w:val="0"/>
              <w:spacing w:beforeLines="0" w:afterLines="0"/>
              <w:rPr>
                <w:rFonts w:eastAsiaTheme="minorEastAsia"/>
                <w:b/>
                <w:color w:val="FF0000"/>
                <w:u w:val="single"/>
                <w:lang w:eastAsia="en-US"/>
              </w:rPr>
            </w:pPr>
            <w:r>
              <w:rPr>
                <w:rFonts w:eastAsiaTheme="minorEastAsia"/>
                <w:b/>
                <w:color w:val="FF0000"/>
                <w:u w:val="single"/>
                <w:lang w:eastAsia="en-US"/>
              </w:rPr>
              <w:t>评价因子</w:t>
            </w:r>
          </w:p>
        </w:tc>
        <w:tc>
          <w:tcPr>
            <w:tcW w:w="1262" w:type="dxa"/>
            <w:vAlign w:val="center"/>
          </w:tcPr>
          <w:p>
            <w:pPr>
              <w:pStyle w:val="696"/>
              <w:adjustRightInd w:val="0"/>
              <w:snapToGrid w:val="0"/>
              <w:spacing w:beforeLines="0" w:afterLines="0"/>
              <w:rPr>
                <w:rFonts w:eastAsiaTheme="minorEastAsia"/>
                <w:b/>
                <w:color w:val="FF0000"/>
                <w:u w:val="single"/>
                <w:lang w:eastAsia="en-US"/>
              </w:rPr>
            </w:pPr>
            <w:r>
              <w:rPr>
                <w:rFonts w:eastAsiaTheme="minorEastAsia"/>
                <w:b/>
                <w:color w:val="FF0000"/>
                <w:u w:val="single"/>
                <w:lang w:eastAsia="en-US"/>
              </w:rPr>
              <w:t>平均时段</w:t>
            </w:r>
          </w:p>
        </w:tc>
        <w:tc>
          <w:tcPr>
            <w:tcW w:w="1629" w:type="dxa"/>
            <w:vAlign w:val="center"/>
          </w:tcPr>
          <w:p>
            <w:pPr>
              <w:pStyle w:val="696"/>
              <w:adjustRightInd w:val="0"/>
              <w:snapToGrid w:val="0"/>
              <w:spacing w:beforeLines="0" w:afterLines="0"/>
              <w:rPr>
                <w:rFonts w:eastAsiaTheme="minorEastAsia"/>
                <w:b/>
                <w:color w:val="FF0000"/>
                <w:u w:val="single"/>
                <w:lang w:eastAsia="en-US"/>
              </w:rPr>
            </w:pPr>
            <w:r>
              <w:rPr>
                <w:rFonts w:eastAsiaTheme="minorEastAsia"/>
                <w:b/>
                <w:color w:val="FF0000"/>
                <w:u w:val="single"/>
                <w:lang w:eastAsia="en-US"/>
              </w:rPr>
              <w:t>标准值（μg/m³）</w:t>
            </w:r>
          </w:p>
        </w:tc>
        <w:tc>
          <w:tcPr>
            <w:tcW w:w="4263" w:type="dxa"/>
            <w:vAlign w:val="center"/>
          </w:tcPr>
          <w:p>
            <w:pPr>
              <w:pStyle w:val="696"/>
              <w:adjustRightInd w:val="0"/>
              <w:snapToGrid w:val="0"/>
              <w:spacing w:beforeLines="0" w:afterLines="0"/>
              <w:rPr>
                <w:rFonts w:eastAsiaTheme="minorEastAsia"/>
                <w:b/>
                <w:color w:val="FF0000"/>
                <w:u w:val="single"/>
                <w:lang w:eastAsia="en-US"/>
              </w:rPr>
            </w:pPr>
            <w:r>
              <w:rPr>
                <w:rFonts w:eastAsiaTheme="minorEastAsia"/>
                <w:b/>
                <w:color w:val="FF0000"/>
                <w:u w:val="single"/>
                <w:lang w:eastAsia="en-US"/>
              </w:rPr>
              <w:t>标准来源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Align w:val="center"/>
          </w:tcPr>
          <w:p>
            <w:pPr>
              <w:pStyle w:val="696"/>
              <w:adjustRightInd w:val="0"/>
              <w:snapToGrid w:val="0"/>
              <w:spacing w:beforeLines="0" w:afterLines="0"/>
              <w:rPr>
                <w:rFonts w:eastAsiaTheme="minorEastAsia"/>
                <w:color w:val="FF0000"/>
                <w:u w:val="single"/>
                <w:lang w:eastAsia="en-US"/>
              </w:rPr>
            </w:pPr>
            <w:r>
              <w:rPr>
                <w:rFonts w:eastAsiaTheme="minorEastAsia"/>
                <w:color w:val="FF0000"/>
                <w:u w:val="single"/>
                <w:lang w:eastAsia="en-US"/>
              </w:rPr>
              <w:t>1</w:t>
            </w:r>
          </w:p>
        </w:tc>
        <w:tc>
          <w:tcPr>
            <w:tcW w:w="1258" w:type="dxa"/>
            <w:vAlign w:val="center"/>
          </w:tcPr>
          <w:p>
            <w:pPr>
              <w:pStyle w:val="696"/>
              <w:adjustRightInd w:val="0"/>
              <w:snapToGrid w:val="0"/>
              <w:spacing w:beforeLines="0" w:afterLines="0"/>
              <w:rPr>
                <w:rFonts w:eastAsiaTheme="minorEastAsia"/>
                <w:color w:val="FF0000"/>
                <w:u w:val="single"/>
                <w:lang w:eastAsia="en-US"/>
              </w:rPr>
            </w:pPr>
            <w:r>
              <w:rPr>
                <w:rFonts w:eastAsiaTheme="minorEastAsia"/>
                <w:color w:val="FF0000"/>
                <w:u w:val="single"/>
                <w:lang w:eastAsia="en-US"/>
              </w:rPr>
              <w:t>TSP</w:t>
            </w:r>
          </w:p>
        </w:tc>
        <w:tc>
          <w:tcPr>
            <w:tcW w:w="1262" w:type="dxa"/>
            <w:vAlign w:val="center"/>
          </w:tcPr>
          <w:p>
            <w:pPr>
              <w:pStyle w:val="696"/>
              <w:adjustRightInd w:val="0"/>
              <w:snapToGrid w:val="0"/>
              <w:spacing w:beforeLines="0" w:afterLines="0"/>
              <w:rPr>
                <w:rFonts w:eastAsiaTheme="minorEastAsia"/>
                <w:color w:val="FF0000"/>
                <w:u w:val="single"/>
                <w:lang w:eastAsia="en-US"/>
              </w:rPr>
            </w:pPr>
            <w:r>
              <w:rPr>
                <w:rFonts w:eastAsiaTheme="minorEastAsia"/>
                <w:color w:val="FF0000"/>
                <w:u w:val="single"/>
                <w:lang w:eastAsia="en-US"/>
              </w:rPr>
              <w:t>1小时平均</w:t>
            </w:r>
          </w:p>
        </w:tc>
        <w:tc>
          <w:tcPr>
            <w:tcW w:w="1629" w:type="dxa"/>
            <w:vAlign w:val="center"/>
          </w:tcPr>
          <w:p>
            <w:pPr>
              <w:pStyle w:val="696"/>
              <w:adjustRightInd w:val="0"/>
              <w:snapToGrid w:val="0"/>
              <w:spacing w:beforeLines="0" w:afterLines="0"/>
              <w:rPr>
                <w:rFonts w:eastAsiaTheme="minorEastAsia"/>
                <w:color w:val="FF0000"/>
                <w:u w:val="single"/>
                <w:lang w:eastAsia="en-US"/>
              </w:rPr>
            </w:pPr>
            <w:r>
              <w:rPr>
                <w:rFonts w:eastAsiaTheme="minorEastAsia"/>
                <w:color w:val="FF0000"/>
                <w:u w:val="single"/>
                <w:lang w:eastAsia="en-US"/>
              </w:rPr>
              <w:t>900</w:t>
            </w:r>
          </w:p>
        </w:tc>
        <w:tc>
          <w:tcPr>
            <w:tcW w:w="4263" w:type="dxa"/>
            <w:vAlign w:val="center"/>
          </w:tcPr>
          <w:p>
            <w:pPr>
              <w:pStyle w:val="696"/>
              <w:adjustRightInd w:val="0"/>
              <w:snapToGrid w:val="0"/>
              <w:spacing w:beforeLines="0" w:afterLines="0"/>
              <w:rPr>
                <w:rFonts w:eastAsiaTheme="minorEastAsia"/>
                <w:color w:val="FF0000"/>
                <w:u w:val="single"/>
                <w:lang w:eastAsia="zh-CN"/>
              </w:rPr>
            </w:pPr>
            <w:r>
              <w:rPr>
                <w:rFonts w:eastAsiaTheme="minorEastAsia"/>
                <w:color w:val="FF0000"/>
                <w:u w:val="single"/>
                <w:lang w:eastAsia="zh-CN"/>
              </w:rPr>
              <w:t>HJ2.2-2018《环境影响评价技术导则大气环境》附录D</w:t>
            </w:r>
          </w:p>
        </w:tc>
      </w:tr>
    </w:tbl>
    <w:p>
      <w:pPr>
        <w:pStyle w:val="131"/>
        <w:ind w:firstLine="0" w:firstLineChars="0"/>
        <w:rPr>
          <w:rFonts w:eastAsiaTheme="minorEastAsia"/>
          <w:color w:val="FF0000"/>
          <w:u w:val="single"/>
        </w:rPr>
      </w:pPr>
      <w:r>
        <w:rPr>
          <w:rFonts w:eastAsiaTheme="minorEastAsia"/>
          <w:color w:val="FF0000"/>
          <w:u w:val="single"/>
        </w:rPr>
        <w:t>注：根据HJ2.2-2018《环境影响评价技术导则大气环境》，“对仅有8h平均质量浓度限值日平均质量浓度限值或年平均质量浓度限值的，可分别按2倍、3倍、6倍折算为1h平均质量浓度限值”。</w:t>
      </w:r>
    </w:p>
    <w:p>
      <w:pPr>
        <w:pStyle w:val="131"/>
        <w:ind w:firstLine="0" w:firstLineChars="0"/>
        <w:rPr>
          <w:rFonts w:eastAsiaTheme="minorEastAsia"/>
          <w:color w:val="FF0000"/>
          <w:sz w:val="18"/>
          <w:szCs w:val="18"/>
          <w:u w:val="single"/>
        </w:rPr>
      </w:pPr>
    </w:p>
    <w:p>
      <w:pPr>
        <w:pStyle w:val="131"/>
        <w:snapToGrid w:val="0"/>
        <w:spacing w:line="360" w:lineRule="auto"/>
        <w:ind w:firstLine="482"/>
        <w:rPr>
          <w:rFonts w:eastAsiaTheme="minorEastAsia"/>
          <w:b/>
          <w:color w:val="FF0000"/>
          <w:sz w:val="24"/>
          <w:szCs w:val="24"/>
          <w:u w:val="single"/>
        </w:rPr>
      </w:pPr>
      <w:r>
        <w:rPr>
          <w:rFonts w:eastAsiaTheme="minorEastAsia"/>
          <w:b/>
          <w:color w:val="FF0000"/>
          <w:sz w:val="24"/>
          <w:szCs w:val="24"/>
          <w:u w:val="single"/>
        </w:rPr>
        <w:t>3、估算模型参数</w:t>
      </w:r>
    </w:p>
    <w:p>
      <w:pPr>
        <w:pStyle w:val="131"/>
        <w:snapToGrid w:val="0"/>
        <w:spacing w:line="360" w:lineRule="auto"/>
        <w:ind w:firstLine="480"/>
        <w:rPr>
          <w:rFonts w:eastAsiaTheme="minorEastAsia"/>
          <w:color w:val="FF0000"/>
          <w:sz w:val="24"/>
          <w:szCs w:val="24"/>
          <w:u w:val="single"/>
        </w:rPr>
      </w:pPr>
      <w:r>
        <w:rPr>
          <w:rFonts w:eastAsiaTheme="minorEastAsia"/>
          <w:color w:val="FF0000"/>
          <w:sz w:val="24"/>
          <w:szCs w:val="24"/>
          <w:u w:val="single"/>
        </w:rPr>
        <w:t>根据拟建项目区域特征，AERSCREEN模型选取的参数见表6.3-7。</w:t>
      </w:r>
    </w:p>
    <w:p>
      <w:pPr>
        <w:pStyle w:val="691"/>
        <w:snapToGrid w:val="0"/>
        <w:spacing w:beforeLines="0" w:afterLines="0" w:line="276" w:lineRule="auto"/>
        <w:ind w:firstLine="482"/>
        <w:rPr>
          <w:rFonts w:eastAsiaTheme="minorEastAsia"/>
          <w:color w:val="FF0000"/>
          <w:u w:val="single"/>
        </w:rPr>
      </w:pPr>
      <w:r>
        <w:rPr>
          <w:rFonts w:eastAsiaTheme="minorEastAsia"/>
          <w:color w:val="FF0000"/>
          <w:u w:val="single"/>
        </w:rPr>
        <w:t>表6.3-7  估算模型参数表</w:t>
      </w:r>
    </w:p>
    <w:tbl>
      <w:tblPr>
        <w:tblStyle w:val="839"/>
        <w:tblW w:w="910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361"/>
        <w:gridCol w:w="3525"/>
        <w:gridCol w:w="32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5886" w:type="dxa"/>
            <w:gridSpan w:val="2"/>
            <w:vAlign w:val="center"/>
          </w:tcPr>
          <w:p>
            <w:pPr>
              <w:pStyle w:val="696"/>
              <w:spacing w:beforeLines="0" w:afterLines="0"/>
              <w:ind w:firstLine="422"/>
              <w:rPr>
                <w:rFonts w:eastAsiaTheme="minorEastAsia"/>
                <w:b/>
                <w:color w:val="FF0000"/>
                <w:u w:val="single"/>
              </w:rPr>
            </w:pPr>
            <w:r>
              <w:rPr>
                <w:rFonts w:eastAsiaTheme="minorEastAsia"/>
                <w:b/>
                <w:color w:val="FF0000"/>
                <w:u w:val="single"/>
              </w:rPr>
              <w:t>参数</w:t>
            </w:r>
          </w:p>
        </w:tc>
        <w:tc>
          <w:tcPr>
            <w:tcW w:w="3214" w:type="dxa"/>
            <w:vAlign w:val="center"/>
          </w:tcPr>
          <w:p>
            <w:pPr>
              <w:pStyle w:val="696"/>
              <w:spacing w:beforeLines="0" w:afterLines="0"/>
              <w:ind w:firstLine="422"/>
              <w:rPr>
                <w:rFonts w:eastAsiaTheme="minorEastAsia"/>
                <w:b/>
                <w:color w:val="FF0000"/>
                <w:u w:val="single"/>
              </w:rPr>
            </w:pPr>
            <w:r>
              <w:rPr>
                <w:rFonts w:eastAsiaTheme="minorEastAsia"/>
                <w:b/>
                <w:color w:val="FF0000"/>
                <w:u w:val="single"/>
              </w:rPr>
              <w:t>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361" w:type="dxa"/>
            <w:vMerge w:val="restart"/>
            <w:vAlign w:val="center"/>
          </w:tcPr>
          <w:p>
            <w:pPr>
              <w:pStyle w:val="696"/>
              <w:spacing w:beforeLines="0" w:afterLines="0"/>
              <w:ind w:firstLine="420"/>
              <w:rPr>
                <w:rFonts w:eastAsiaTheme="minorEastAsia"/>
                <w:color w:val="FF0000"/>
                <w:u w:val="single"/>
              </w:rPr>
            </w:pPr>
            <w:r>
              <w:rPr>
                <w:rFonts w:eastAsiaTheme="minorEastAsia"/>
                <w:color w:val="FF0000"/>
                <w:u w:val="single"/>
              </w:rPr>
              <w:t>城市/农村选项</w:t>
            </w:r>
          </w:p>
        </w:tc>
        <w:tc>
          <w:tcPr>
            <w:tcW w:w="3525" w:type="dxa"/>
            <w:vAlign w:val="center"/>
          </w:tcPr>
          <w:p>
            <w:pPr>
              <w:pStyle w:val="696"/>
              <w:spacing w:beforeLines="0" w:afterLines="0"/>
              <w:ind w:firstLine="420"/>
              <w:rPr>
                <w:rFonts w:eastAsiaTheme="minorEastAsia"/>
                <w:color w:val="FF0000"/>
                <w:u w:val="single"/>
              </w:rPr>
            </w:pPr>
            <w:r>
              <w:rPr>
                <w:rFonts w:eastAsiaTheme="minorEastAsia"/>
                <w:color w:val="FF0000"/>
                <w:u w:val="single"/>
              </w:rPr>
              <w:t>城市/农村</w:t>
            </w:r>
          </w:p>
        </w:tc>
        <w:tc>
          <w:tcPr>
            <w:tcW w:w="3214" w:type="dxa"/>
            <w:vAlign w:val="center"/>
          </w:tcPr>
          <w:p>
            <w:pPr>
              <w:pStyle w:val="696"/>
              <w:spacing w:beforeLines="0" w:afterLines="0"/>
              <w:ind w:firstLine="420"/>
              <w:rPr>
                <w:rFonts w:eastAsiaTheme="minorEastAsia"/>
                <w:color w:val="FF0000"/>
                <w:u w:val="single"/>
              </w:rPr>
            </w:pPr>
            <w:r>
              <w:rPr>
                <w:rFonts w:eastAsiaTheme="minorEastAsia"/>
                <w:color w:val="FF0000"/>
                <w:u w:val="single"/>
              </w:rPr>
              <w:t>农村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361" w:type="dxa"/>
            <w:vMerge w:val="continue"/>
            <w:vAlign w:val="center"/>
          </w:tcPr>
          <w:p>
            <w:pPr>
              <w:pStyle w:val="696"/>
              <w:spacing w:beforeLines="0" w:afterLines="0"/>
              <w:ind w:firstLine="420"/>
              <w:rPr>
                <w:rFonts w:eastAsiaTheme="minorEastAsia"/>
                <w:color w:val="FF0000"/>
                <w:u w:val="single"/>
              </w:rPr>
            </w:pPr>
          </w:p>
        </w:tc>
        <w:tc>
          <w:tcPr>
            <w:tcW w:w="3525" w:type="dxa"/>
            <w:vAlign w:val="center"/>
          </w:tcPr>
          <w:p>
            <w:pPr>
              <w:pStyle w:val="696"/>
              <w:spacing w:beforeLines="0" w:afterLines="0"/>
              <w:ind w:firstLine="420"/>
              <w:rPr>
                <w:rFonts w:eastAsiaTheme="minorEastAsia"/>
                <w:color w:val="FF0000"/>
                <w:u w:val="single"/>
              </w:rPr>
            </w:pPr>
            <w:r>
              <w:rPr>
                <w:rFonts w:eastAsiaTheme="minorEastAsia"/>
                <w:color w:val="FF0000"/>
                <w:u w:val="single"/>
              </w:rPr>
              <w:t>人口数（城市选项时）</w:t>
            </w:r>
          </w:p>
        </w:tc>
        <w:tc>
          <w:tcPr>
            <w:tcW w:w="3214" w:type="dxa"/>
            <w:vAlign w:val="center"/>
          </w:tcPr>
          <w:p>
            <w:pPr>
              <w:pStyle w:val="696"/>
              <w:spacing w:beforeLines="0" w:afterLines="0"/>
              <w:ind w:firstLine="420"/>
              <w:rPr>
                <w:rFonts w:eastAsiaTheme="minorEastAsia"/>
                <w:color w:val="FF0000"/>
                <w:u w:val="single"/>
              </w:rPr>
            </w:pPr>
            <w:r>
              <w:rPr>
                <w:rFonts w:eastAsiaTheme="minorEastAsia"/>
                <w:color w:val="FF0000"/>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5886" w:type="dxa"/>
            <w:gridSpan w:val="2"/>
            <w:vAlign w:val="center"/>
          </w:tcPr>
          <w:p>
            <w:pPr>
              <w:pStyle w:val="696"/>
              <w:spacing w:beforeLines="0" w:afterLines="0"/>
              <w:ind w:firstLine="420"/>
              <w:rPr>
                <w:rFonts w:eastAsiaTheme="minorEastAsia"/>
                <w:color w:val="FF0000"/>
                <w:u w:val="single"/>
              </w:rPr>
            </w:pPr>
            <w:r>
              <w:rPr>
                <w:rFonts w:eastAsiaTheme="minorEastAsia"/>
                <w:color w:val="FF0000"/>
                <w:u w:val="single"/>
              </w:rPr>
              <w:t>最高环境温度/</w:t>
            </w:r>
            <w:r>
              <w:rPr>
                <w:rFonts w:hint="eastAsia" w:ascii="宋体" w:hAnsi="宋体" w:cs="宋体"/>
                <w:color w:val="FF0000"/>
                <w:u w:val="single"/>
              </w:rPr>
              <w:t>℃</w:t>
            </w:r>
          </w:p>
        </w:tc>
        <w:tc>
          <w:tcPr>
            <w:tcW w:w="3214" w:type="dxa"/>
            <w:vAlign w:val="center"/>
          </w:tcPr>
          <w:p>
            <w:pPr>
              <w:pStyle w:val="696"/>
              <w:spacing w:beforeLines="0" w:afterLines="0"/>
              <w:ind w:firstLine="420"/>
              <w:rPr>
                <w:rFonts w:eastAsiaTheme="minorEastAsia"/>
                <w:color w:val="FF0000"/>
                <w:u w:val="single"/>
              </w:rPr>
            </w:pPr>
            <w:r>
              <w:rPr>
                <w:rFonts w:eastAsiaTheme="minorEastAsia"/>
                <w:color w:val="FF0000"/>
                <w:u w:val="single"/>
              </w:rPr>
              <w:t>40.0°C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5886" w:type="dxa"/>
            <w:gridSpan w:val="2"/>
            <w:vAlign w:val="center"/>
          </w:tcPr>
          <w:p>
            <w:pPr>
              <w:pStyle w:val="696"/>
              <w:spacing w:beforeLines="0" w:afterLines="0"/>
              <w:ind w:firstLine="420"/>
              <w:rPr>
                <w:rFonts w:eastAsiaTheme="minorEastAsia"/>
                <w:color w:val="FF0000"/>
                <w:u w:val="single"/>
              </w:rPr>
            </w:pPr>
            <w:r>
              <w:rPr>
                <w:rFonts w:eastAsiaTheme="minorEastAsia"/>
                <w:color w:val="FF0000"/>
                <w:u w:val="single"/>
              </w:rPr>
              <w:t>最低环境温度/</w:t>
            </w:r>
            <w:r>
              <w:rPr>
                <w:rFonts w:hint="eastAsia" w:ascii="宋体" w:hAnsi="宋体" w:cs="宋体"/>
                <w:color w:val="FF0000"/>
                <w:u w:val="single"/>
              </w:rPr>
              <w:t>℃</w:t>
            </w:r>
          </w:p>
        </w:tc>
        <w:tc>
          <w:tcPr>
            <w:tcW w:w="3214" w:type="dxa"/>
            <w:vAlign w:val="center"/>
          </w:tcPr>
          <w:p>
            <w:pPr>
              <w:pStyle w:val="696"/>
              <w:spacing w:beforeLines="0" w:afterLines="0"/>
              <w:ind w:firstLine="420"/>
              <w:rPr>
                <w:rFonts w:eastAsiaTheme="minorEastAsia"/>
                <w:color w:val="FF0000"/>
                <w:u w:val="single"/>
              </w:rPr>
            </w:pPr>
            <w:r>
              <w:rPr>
                <w:rFonts w:eastAsiaTheme="minorEastAsia"/>
                <w:color w:val="FF0000"/>
                <w:u w:val="single"/>
              </w:rPr>
              <w:t>-10.0°C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5886" w:type="dxa"/>
            <w:gridSpan w:val="2"/>
            <w:vAlign w:val="center"/>
          </w:tcPr>
          <w:p>
            <w:pPr>
              <w:pStyle w:val="696"/>
              <w:spacing w:beforeLines="0" w:afterLines="0"/>
              <w:ind w:firstLine="420"/>
              <w:rPr>
                <w:rFonts w:eastAsiaTheme="minorEastAsia"/>
                <w:color w:val="FF0000"/>
                <w:u w:val="single"/>
              </w:rPr>
            </w:pPr>
            <w:r>
              <w:rPr>
                <w:rFonts w:eastAsiaTheme="minorEastAsia"/>
                <w:color w:val="FF0000"/>
                <w:u w:val="single"/>
              </w:rPr>
              <w:t>土地利用类型</w:t>
            </w:r>
          </w:p>
        </w:tc>
        <w:tc>
          <w:tcPr>
            <w:tcW w:w="3214" w:type="dxa"/>
            <w:vAlign w:val="center"/>
          </w:tcPr>
          <w:p>
            <w:pPr>
              <w:pStyle w:val="696"/>
              <w:spacing w:beforeLines="0" w:afterLines="0"/>
              <w:ind w:firstLine="420"/>
              <w:rPr>
                <w:rFonts w:eastAsiaTheme="minorEastAsia"/>
                <w:color w:val="FF0000"/>
                <w:u w:val="single"/>
              </w:rPr>
            </w:pPr>
            <w:r>
              <w:rPr>
                <w:rFonts w:eastAsiaTheme="minorEastAsia"/>
                <w:color w:val="FF0000"/>
                <w:u w:val="single"/>
              </w:rPr>
              <w:t>农村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5886" w:type="dxa"/>
            <w:gridSpan w:val="2"/>
            <w:vAlign w:val="center"/>
          </w:tcPr>
          <w:p>
            <w:pPr>
              <w:pStyle w:val="696"/>
              <w:spacing w:beforeLines="0" w:afterLines="0"/>
              <w:ind w:firstLine="420"/>
              <w:rPr>
                <w:rFonts w:eastAsiaTheme="minorEastAsia"/>
                <w:color w:val="FF0000"/>
                <w:u w:val="single"/>
              </w:rPr>
            </w:pPr>
            <w:r>
              <w:rPr>
                <w:rFonts w:eastAsiaTheme="minorEastAsia"/>
                <w:color w:val="FF0000"/>
                <w:u w:val="single"/>
              </w:rPr>
              <w:t>区域湿度条件</w:t>
            </w:r>
          </w:p>
        </w:tc>
        <w:tc>
          <w:tcPr>
            <w:tcW w:w="3214" w:type="dxa"/>
            <w:vAlign w:val="center"/>
          </w:tcPr>
          <w:p>
            <w:pPr>
              <w:pStyle w:val="696"/>
              <w:spacing w:beforeLines="0" w:afterLines="0"/>
              <w:ind w:firstLine="420"/>
              <w:rPr>
                <w:rFonts w:eastAsiaTheme="minorEastAsia"/>
                <w:color w:val="FF0000"/>
                <w:u w:val="single"/>
              </w:rPr>
            </w:pPr>
            <w:r>
              <w:rPr>
                <w:rFonts w:eastAsiaTheme="minorEastAsia"/>
                <w:color w:val="FF0000"/>
                <w:u w:val="single"/>
              </w:rPr>
              <w:t>中等湿度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5886" w:type="dxa"/>
            <w:gridSpan w:val="2"/>
            <w:vAlign w:val="center"/>
          </w:tcPr>
          <w:p>
            <w:pPr>
              <w:pStyle w:val="696"/>
              <w:spacing w:beforeLines="0" w:afterLines="0"/>
              <w:ind w:firstLine="420"/>
              <w:rPr>
                <w:rFonts w:eastAsiaTheme="minorEastAsia"/>
                <w:color w:val="FF0000"/>
                <w:u w:val="single"/>
              </w:rPr>
            </w:pPr>
            <w:r>
              <w:rPr>
                <w:rFonts w:eastAsiaTheme="minorEastAsia"/>
                <w:color w:val="FF0000"/>
                <w:u w:val="single"/>
              </w:rPr>
              <w:t>地形数据分辨率</w:t>
            </w:r>
          </w:p>
        </w:tc>
        <w:tc>
          <w:tcPr>
            <w:tcW w:w="3214" w:type="dxa"/>
            <w:vAlign w:val="center"/>
          </w:tcPr>
          <w:p>
            <w:pPr>
              <w:pStyle w:val="696"/>
              <w:spacing w:beforeLines="0" w:afterLines="0"/>
              <w:ind w:firstLine="420"/>
              <w:rPr>
                <w:rFonts w:eastAsiaTheme="minorEastAsia"/>
                <w:color w:val="FF0000"/>
                <w:u w:val="single"/>
              </w:rPr>
            </w:pPr>
            <w:r>
              <w:rPr>
                <w:rFonts w:eastAsiaTheme="minorEastAsia"/>
                <w:color w:val="FF0000"/>
                <w:u w:val="single"/>
              </w:rPr>
              <w:t>90m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361" w:type="dxa"/>
            <w:vMerge w:val="restart"/>
            <w:vAlign w:val="center"/>
          </w:tcPr>
          <w:p>
            <w:pPr>
              <w:pStyle w:val="696"/>
              <w:spacing w:beforeLines="0" w:afterLines="0"/>
              <w:ind w:firstLine="420"/>
              <w:rPr>
                <w:rFonts w:eastAsiaTheme="minorEastAsia"/>
                <w:color w:val="FF0000"/>
                <w:u w:val="single"/>
              </w:rPr>
            </w:pPr>
            <w:r>
              <w:rPr>
                <w:rFonts w:eastAsiaTheme="minorEastAsia"/>
                <w:color w:val="FF0000"/>
                <w:u w:val="single"/>
              </w:rPr>
              <w:t>是否考虑海岸线熏烟</w:t>
            </w:r>
          </w:p>
        </w:tc>
        <w:tc>
          <w:tcPr>
            <w:tcW w:w="3525" w:type="dxa"/>
            <w:vAlign w:val="center"/>
          </w:tcPr>
          <w:p>
            <w:pPr>
              <w:pStyle w:val="696"/>
              <w:spacing w:beforeLines="0" w:afterLines="0"/>
              <w:ind w:firstLine="420"/>
              <w:rPr>
                <w:rFonts w:eastAsiaTheme="minorEastAsia"/>
                <w:color w:val="FF0000"/>
                <w:u w:val="single"/>
              </w:rPr>
            </w:pPr>
            <w:r>
              <w:rPr>
                <w:rFonts w:eastAsiaTheme="minorEastAsia"/>
                <w:color w:val="FF0000"/>
                <w:u w:val="single"/>
              </w:rPr>
              <w:t>是/否</w:t>
            </w:r>
          </w:p>
        </w:tc>
        <w:tc>
          <w:tcPr>
            <w:tcW w:w="3214" w:type="dxa"/>
            <w:vAlign w:val="center"/>
          </w:tcPr>
          <w:p>
            <w:pPr>
              <w:pStyle w:val="696"/>
              <w:spacing w:beforeLines="0" w:afterLines="0"/>
              <w:ind w:firstLine="420"/>
              <w:rPr>
                <w:rFonts w:eastAsiaTheme="minorEastAsia"/>
                <w:color w:val="FF0000"/>
                <w:u w:val="single"/>
              </w:rPr>
            </w:pPr>
            <w:r>
              <w:rPr>
                <w:rFonts w:eastAsiaTheme="minorEastAsia"/>
                <w:color w:val="FF0000"/>
                <w:u w:val="singl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361" w:type="dxa"/>
            <w:vMerge w:val="continue"/>
            <w:vAlign w:val="center"/>
          </w:tcPr>
          <w:p>
            <w:pPr>
              <w:pStyle w:val="696"/>
              <w:spacing w:beforeLines="0" w:afterLines="0"/>
              <w:ind w:firstLine="420"/>
              <w:rPr>
                <w:rFonts w:eastAsiaTheme="minorEastAsia"/>
                <w:color w:val="FF0000"/>
                <w:u w:val="single"/>
              </w:rPr>
            </w:pPr>
          </w:p>
        </w:tc>
        <w:tc>
          <w:tcPr>
            <w:tcW w:w="3525" w:type="dxa"/>
            <w:vAlign w:val="center"/>
          </w:tcPr>
          <w:p>
            <w:pPr>
              <w:pStyle w:val="696"/>
              <w:spacing w:beforeLines="0" w:afterLines="0"/>
              <w:ind w:firstLine="420"/>
              <w:rPr>
                <w:rFonts w:eastAsiaTheme="minorEastAsia"/>
                <w:color w:val="FF0000"/>
                <w:u w:val="single"/>
              </w:rPr>
            </w:pPr>
            <w:r>
              <w:rPr>
                <w:rFonts w:eastAsiaTheme="minorEastAsia"/>
                <w:color w:val="FF0000"/>
                <w:u w:val="single"/>
              </w:rPr>
              <w:t>海岸线距离/m</w:t>
            </w:r>
          </w:p>
        </w:tc>
        <w:tc>
          <w:tcPr>
            <w:tcW w:w="3214" w:type="dxa"/>
            <w:vAlign w:val="center"/>
          </w:tcPr>
          <w:p>
            <w:pPr>
              <w:pStyle w:val="696"/>
              <w:spacing w:beforeLines="0" w:afterLines="0"/>
              <w:ind w:firstLine="420"/>
              <w:rPr>
                <w:rFonts w:eastAsiaTheme="minorEastAsia"/>
                <w:color w:val="FF0000"/>
                <w:u w:val="single"/>
              </w:rPr>
            </w:pPr>
            <w:r>
              <w:rPr>
                <w:rFonts w:eastAsiaTheme="minorEastAsia"/>
                <w:color w:val="FF0000"/>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361" w:type="dxa"/>
            <w:vMerge w:val="continue"/>
            <w:vAlign w:val="center"/>
          </w:tcPr>
          <w:p>
            <w:pPr>
              <w:pStyle w:val="696"/>
              <w:spacing w:beforeLines="0" w:afterLines="0"/>
              <w:ind w:firstLine="420"/>
              <w:rPr>
                <w:rFonts w:eastAsiaTheme="minorEastAsia"/>
                <w:color w:val="FF0000"/>
                <w:u w:val="single"/>
              </w:rPr>
            </w:pPr>
          </w:p>
        </w:tc>
        <w:tc>
          <w:tcPr>
            <w:tcW w:w="3525" w:type="dxa"/>
            <w:vAlign w:val="center"/>
          </w:tcPr>
          <w:p>
            <w:pPr>
              <w:pStyle w:val="696"/>
              <w:spacing w:beforeLines="0" w:afterLines="0"/>
              <w:ind w:firstLine="420"/>
              <w:rPr>
                <w:rFonts w:eastAsiaTheme="minorEastAsia"/>
                <w:color w:val="FF0000"/>
                <w:u w:val="single"/>
              </w:rPr>
            </w:pPr>
            <w:r>
              <w:rPr>
                <w:rFonts w:eastAsiaTheme="minorEastAsia"/>
                <w:color w:val="FF0000"/>
                <w:u w:val="single"/>
              </w:rPr>
              <w:t>海岸线方向/°</w:t>
            </w:r>
          </w:p>
        </w:tc>
        <w:tc>
          <w:tcPr>
            <w:tcW w:w="3214" w:type="dxa"/>
            <w:vAlign w:val="center"/>
          </w:tcPr>
          <w:p>
            <w:pPr>
              <w:pStyle w:val="696"/>
              <w:spacing w:beforeLines="0" w:afterLines="0"/>
              <w:ind w:firstLine="420"/>
              <w:rPr>
                <w:rFonts w:eastAsiaTheme="minorEastAsia"/>
                <w:color w:val="FF0000"/>
                <w:u w:val="single"/>
              </w:rPr>
            </w:pPr>
            <w:r>
              <w:rPr>
                <w:rFonts w:eastAsiaTheme="minorEastAsia"/>
                <w:color w:val="FF0000"/>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361" w:type="dxa"/>
            <w:vMerge w:val="restart"/>
            <w:vAlign w:val="center"/>
          </w:tcPr>
          <w:p>
            <w:pPr>
              <w:pStyle w:val="696"/>
              <w:spacing w:beforeLines="0" w:afterLines="0"/>
              <w:ind w:firstLine="420"/>
              <w:rPr>
                <w:rFonts w:eastAsiaTheme="minorEastAsia"/>
                <w:color w:val="FF0000"/>
                <w:u w:val="single"/>
              </w:rPr>
            </w:pPr>
            <w:r>
              <w:rPr>
                <w:rFonts w:eastAsiaTheme="minorEastAsia"/>
                <w:color w:val="FF0000"/>
                <w:u w:val="single"/>
              </w:rPr>
              <w:t>是否考虑地形</w:t>
            </w:r>
          </w:p>
        </w:tc>
        <w:tc>
          <w:tcPr>
            <w:tcW w:w="3525" w:type="dxa"/>
            <w:vAlign w:val="center"/>
          </w:tcPr>
          <w:p>
            <w:pPr>
              <w:pStyle w:val="696"/>
              <w:spacing w:beforeLines="0" w:afterLines="0"/>
              <w:ind w:firstLine="420"/>
              <w:rPr>
                <w:rFonts w:eastAsiaTheme="minorEastAsia"/>
                <w:color w:val="FF0000"/>
                <w:u w:val="single"/>
              </w:rPr>
            </w:pPr>
            <w:r>
              <w:rPr>
                <w:rFonts w:eastAsiaTheme="minorEastAsia"/>
                <w:color w:val="FF0000"/>
                <w:u w:val="single"/>
              </w:rPr>
              <w:t>考虑地形</w:t>
            </w:r>
          </w:p>
        </w:tc>
        <w:tc>
          <w:tcPr>
            <w:tcW w:w="3214" w:type="dxa"/>
            <w:vAlign w:val="center"/>
          </w:tcPr>
          <w:p>
            <w:pPr>
              <w:pStyle w:val="696"/>
              <w:spacing w:beforeLines="0" w:afterLines="0"/>
              <w:ind w:firstLine="420"/>
              <w:rPr>
                <w:rFonts w:eastAsiaTheme="minorEastAsia"/>
                <w:color w:val="FF0000"/>
                <w:u w:val="single"/>
              </w:rPr>
            </w:pPr>
            <w:r>
              <w:rPr>
                <w:rFonts w:eastAsiaTheme="minorEastAsia"/>
                <w:color w:val="FF0000"/>
                <w:u w:val="single"/>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2361" w:type="dxa"/>
            <w:vMerge w:val="continue"/>
            <w:vAlign w:val="center"/>
          </w:tcPr>
          <w:p>
            <w:pPr>
              <w:pStyle w:val="7"/>
              <w:spacing w:beforeLines="0" w:after="0" w:afterLines="0"/>
              <w:ind w:firstLine="420"/>
              <w:jc w:val="center"/>
              <w:rPr>
                <w:rFonts w:ascii="Times New Roman" w:hAnsi="Times New Roman" w:eastAsiaTheme="minorEastAsia"/>
                <w:color w:val="FF0000"/>
                <w:u w:val="single"/>
              </w:rPr>
            </w:pPr>
          </w:p>
        </w:tc>
        <w:tc>
          <w:tcPr>
            <w:tcW w:w="3525" w:type="dxa"/>
            <w:vAlign w:val="center"/>
          </w:tcPr>
          <w:p>
            <w:pPr>
              <w:pStyle w:val="696"/>
              <w:spacing w:beforeLines="0" w:afterLines="0"/>
              <w:ind w:firstLine="420"/>
              <w:rPr>
                <w:rFonts w:eastAsiaTheme="minorEastAsia"/>
                <w:color w:val="FF0000"/>
                <w:u w:val="single"/>
              </w:rPr>
            </w:pPr>
            <w:r>
              <w:rPr>
                <w:rFonts w:eastAsiaTheme="minorEastAsia"/>
                <w:color w:val="FF0000"/>
                <w:u w:val="single"/>
              </w:rPr>
              <w:t>地形数据分辨率</w:t>
            </w:r>
          </w:p>
        </w:tc>
        <w:tc>
          <w:tcPr>
            <w:tcW w:w="3214" w:type="dxa"/>
            <w:vAlign w:val="center"/>
          </w:tcPr>
          <w:p>
            <w:pPr>
              <w:pStyle w:val="696"/>
              <w:spacing w:beforeLines="0" w:afterLines="0"/>
              <w:ind w:firstLine="420"/>
              <w:rPr>
                <w:rFonts w:eastAsiaTheme="minorEastAsia"/>
                <w:color w:val="FF0000"/>
                <w:u w:val="single"/>
              </w:rPr>
            </w:pPr>
            <w:r>
              <w:rPr>
                <w:rFonts w:eastAsiaTheme="minorEastAsia"/>
                <w:color w:val="FF0000"/>
                <w:u w:val="single"/>
              </w:rPr>
              <w:t>90</w:t>
            </w:r>
          </w:p>
        </w:tc>
      </w:tr>
    </w:tbl>
    <w:p>
      <w:pPr>
        <w:pStyle w:val="7"/>
        <w:adjustRightInd w:val="0"/>
        <w:snapToGrid w:val="0"/>
        <w:spacing w:after="0" w:line="360" w:lineRule="auto"/>
        <w:rPr>
          <w:rFonts w:ascii="Times New Roman" w:hAnsi="Times New Roman" w:eastAsiaTheme="minorEastAsia"/>
          <w:color w:val="FF0000"/>
          <w:sz w:val="24"/>
          <w:szCs w:val="24"/>
          <w:u w:val="single"/>
        </w:rPr>
      </w:pPr>
    </w:p>
    <w:p>
      <w:pPr>
        <w:pStyle w:val="7"/>
        <w:adjustRightInd w:val="0"/>
        <w:snapToGrid w:val="0"/>
        <w:spacing w:after="0" w:line="360" w:lineRule="auto"/>
        <w:ind w:firstLine="482" w:firstLineChars="200"/>
        <w:rPr>
          <w:rFonts w:ascii="Times New Roman" w:hAnsi="Times New Roman" w:eastAsiaTheme="minorEastAsia"/>
          <w:b/>
          <w:color w:val="FF0000"/>
          <w:sz w:val="24"/>
          <w:szCs w:val="24"/>
          <w:u w:val="single"/>
        </w:rPr>
      </w:pPr>
      <w:r>
        <w:rPr>
          <w:rFonts w:ascii="Times New Roman" w:hAnsi="Times New Roman" w:eastAsiaTheme="minorEastAsia"/>
          <w:b/>
          <w:color w:val="FF0000"/>
          <w:sz w:val="24"/>
          <w:szCs w:val="24"/>
          <w:u w:val="single"/>
        </w:rPr>
        <w:t>4、污染源参数</w:t>
      </w:r>
    </w:p>
    <w:p>
      <w:pPr>
        <w:adjustRightInd w:val="0"/>
        <w:snapToGrid w:val="0"/>
        <w:spacing w:line="360" w:lineRule="auto"/>
        <w:ind w:firstLine="482"/>
        <w:rPr>
          <w:rFonts w:ascii="Times New Roman" w:hAnsi="Times New Roman" w:eastAsiaTheme="minorEastAsia"/>
          <w:color w:val="FF0000"/>
          <w:sz w:val="24"/>
          <w:szCs w:val="24"/>
          <w:u w:val="single"/>
        </w:rPr>
        <w:sectPr>
          <w:headerReference r:id="rId15" w:type="default"/>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r>
        <w:rPr>
          <w:rFonts w:ascii="Times New Roman" w:hAnsi="Times New Roman" w:eastAsiaTheme="minorEastAsia"/>
          <w:color w:val="FF0000"/>
          <w:sz w:val="24"/>
          <w:szCs w:val="24"/>
          <w:u w:val="single"/>
        </w:rPr>
        <w:t>根据污染物排放情况，项目实施后，无组织排放情况大气环境影响预测参数见表6.3-8。本次评价拟选取无组织排放废气计算大气评价等级。</w:t>
      </w:r>
    </w:p>
    <w:p>
      <w:pPr>
        <w:pStyle w:val="691"/>
        <w:spacing w:beforeLines="0" w:afterLines="0" w:line="276" w:lineRule="auto"/>
        <w:ind w:firstLine="480"/>
        <w:rPr>
          <w:rFonts w:eastAsiaTheme="minorEastAsia"/>
          <w:color w:val="FF0000"/>
          <w:u w:val="single"/>
        </w:rPr>
      </w:pPr>
      <w:r>
        <w:rPr>
          <w:rFonts w:eastAsiaTheme="minorEastAsia"/>
          <w:color w:val="FF0000"/>
          <w:u w:val="single"/>
        </w:rPr>
        <w:t>表6.3-8  面源参数表</w:t>
      </w:r>
    </w:p>
    <w:tbl>
      <w:tblPr>
        <w:tblStyle w:val="839"/>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65"/>
        <w:gridCol w:w="1879"/>
        <w:gridCol w:w="1514"/>
        <w:gridCol w:w="1415"/>
        <w:gridCol w:w="1123"/>
        <w:gridCol w:w="663"/>
        <w:gridCol w:w="663"/>
        <w:gridCol w:w="736"/>
        <w:gridCol w:w="1415"/>
        <w:gridCol w:w="1205"/>
        <w:gridCol w:w="997"/>
        <w:gridCol w:w="14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44" w:type="pct"/>
            <w:vMerge w:val="restart"/>
            <w:vAlign w:val="center"/>
          </w:tcPr>
          <w:p>
            <w:pPr>
              <w:pStyle w:val="696"/>
              <w:adjustRightInd w:val="0"/>
              <w:snapToGrid w:val="0"/>
              <w:spacing w:beforeLines="0" w:afterLines="0"/>
              <w:rPr>
                <w:rFonts w:eastAsiaTheme="minorEastAsia"/>
                <w:b/>
                <w:color w:val="FF0000"/>
                <w:u w:val="single"/>
              </w:rPr>
            </w:pPr>
            <w:r>
              <w:rPr>
                <w:rFonts w:eastAsiaTheme="minorEastAsia"/>
                <w:b/>
                <w:color w:val="FF0000"/>
                <w:u w:val="single"/>
              </w:rPr>
              <w:t>编号</w:t>
            </w:r>
          </w:p>
        </w:tc>
        <w:tc>
          <w:tcPr>
            <w:tcW w:w="669" w:type="pct"/>
            <w:vMerge w:val="restart"/>
            <w:vAlign w:val="center"/>
          </w:tcPr>
          <w:p>
            <w:pPr>
              <w:pStyle w:val="696"/>
              <w:adjustRightInd w:val="0"/>
              <w:snapToGrid w:val="0"/>
              <w:spacing w:beforeLines="0" w:afterLines="0"/>
              <w:rPr>
                <w:rFonts w:eastAsiaTheme="minorEastAsia"/>
                <w:b/>
                <w:color w:val="FF0000"/>
                <w:u w:val="single"/>
              </w:rPr>
            </w:pPr>
            <w:r>
              <w:rPr>
                <w:rFonts w:eastAsiaTheme="minorEastAsia"/>
                <w:b/>
                <w:color w:val="FF0000"/>
                <w:u w:val="single"/>
              </w:rPr>
              <w:t>名称</w:t>
            </w:r>
          </w:p>
        </w:tc>
        <w:tc>
          <w:tcPr>
            <w:tcW w:w="1043" w:type="pct"/>
            <w:gridSpan w:val="2"/>
            <w:vAlign w:val="center"/>
          </w:tcPr>
          <w:p>
            <w:pPr>
              <w:pStyle w:val="696"/>
              <w:adjustRightInd w:val="0"/>
              <w:snapToGrid w:val="0"/>
              <w:spacing w:beforeLines="0" w:afterLines="0"/>
              <w:rPr>
                <w:rFonts w:eastAsiaTheme="minorEastAsia"/>
                <w:b/>
                <w:color w:val="FF0000"/>
                <w:u w:val="single"/>
              </w:rPr>
            </w:pPr>
            <w:r>
              <w:rPr>
                <w:rFonts w:eastAsiaTheme="minorEastAsia"/>
                <w:b/>
                <w:color w:val="FF0000"/>
                <w:u w:val="single"/>
              </w:rPr>
              <w:t>面源起点坐标/m</w:t>
            </w:r>
          </w:p>
        </w:tc>
        <w:tc>
          <w:tcPr>
            <w:tcW w:w="400" w:type="pct"/>
            <w:vMerge w:val="restart"/>
            <w:vAlign w:val="center"/>
          </w:tcPr>
          <w:p>
            <w:pPr>
              <w:pStyle w:val="696"/>
              <w:adjustRightInd w:val="0"/>
              <w:snapToGrid w:val="0"/>
              <w:spacing w:beforeLines="0" w:afterLines="0"/>
              <w:rPr>
                <w:rFonts w:eastAsiaTheme="minorEastAsia"/>
                <w:b/>
                <w:color w:val="FF0000"/>
                <w:u w:val="single"/>
              </w:rPr>
            </w:pPr>
            <w:r>
              <w:rPr>
                <w:rFonts w:eastAsiaTheme="minorEastAsia"/>
                <w:b/>
                <w:color w:val="FF0000"/>
                <w:u w:val="single"/>
              </w:rPr>
              <w:t>面源海拔高度/m</w:t>
            </w:r>
          </w:p>
        </w:tc>
        <w:tc>
          <w:tcPr>
            <w:tcW w:w="236" w:type="pct"/>
            <w:vMerge w:val="restart"/>
            <w:vAlign w:val="center"/>
          </w:tcPr>
          <w:p>
            <w:pPr>
              <w:pStyle w:val="696"/>
              <w:adjustRightInd w:val="0"/>
              <w:snapToGrid w:val="0"/>
              <w:spacing w:beforeLines="0" w:afterLines="0"/>
              <w:rPr>
                <w:rFonts w:eastAsiaTheme="minorEastAsia"/>
                <w:b/>
                <w:color w:val="FF0000"/>
                <w:u w:val="single"/>
              </w:rPr>
            </w:pPr>
            <w:r>
              <w:rPr>
                <w:rFonts w:eastAsiaTheme="minorEastAsia"/>
                <w:b/>
                <w:color w:val="FF0000"/>
                <w:u w:val="single"/>
              </w:rPr>
              <w:t>面源长度/m</w:t>
            </w:r>
          </w:p>
        </w:tc>
        <w:tc>
          <w:tcPr>
            <w:tcW w:w="236" w:type="pct"/>
            <w:vMerge w:val="restart"/>
            <w:vAlign w:val="center"/>
          </w:tcPr>
          <w:p>
            <w:pPr>
              <w:pStyle w:val="696"/>
              <w:adjustRightInd w:val="0"/>
              <w:snapToGrid w:val="0"/>
              <w:spacing w:beforeLines="0" w:afterLines="0"/>
              <w:rPr>
                <w:rFonts w:eastAsiaTheme="minorEastAsia"/>
                <w:b/>
                <w:color w:val="FF0000"/>
                <w:u w:val="single"/>
              </w:rPr>
            </w:pPr>
            <w:r>
              <w:rPr>
                <w:rFonts w:eastAsiaTheme="minorEastAsia"/>
                <w:b/>
                <w:color w:val="FF0000"/>
                <w:u w:val="single"/>
              </w:rPr>
              <w:t>面源宽度/m</w:t>
            </w:r>
          </w:p>
        </w:tc>
        <w:tc>
          <w:tcPr>
            <w:tcW w:w="262" w:type="pct"/>
            <w:vMerge w:val="restart"/>
            <w:vAlign w:val="center"/>
          </w:tcPr>
          <w:p>
            <w:pPr>
              <w:pStyle w:val="696"/>
              <w:adjustRightInd w:val="0"/>
              <w:snapToGrid w:val="0"/>
              <w:spacing w:beforeLines="0" w:afterLines="0"/>
              <w:rPr>
                <w:rFonts w:eastAsiaTheme="minorEastAsia"/>
                <w:b/>
                <w:color w:val="FF0000"/>
                <w:u w:val="single"/>
              </w:rPr>
            </w:pPr>
            <w:r>
              <w:rPr>
                <w:rFonts w:eastAsiaTheme="minorEastAsia"/>
                <w:b/>
                <w:color w:val="FF0000"/>
                <w:u w:val="single"/>
              </w:rPr>
              <w:t>与正北向夹角/°</w:t>
            </w:r>
          </w:p>
        </w:tc>
        <w:tc>
          <w:tcPr>
            <w:tcW w:w="504" w:type="pct"/>
            <w:vMerge w:val="restart"/>
            <w:vAlign w:val="center"/>
          </w:tcPr>
          <w:p>
            <w:pPr>
              <w:pStyle w:val="696"/>
              <w:adjustRightInd w:val="0"/>
              <w:snapToGrid w:val="0"/>
              <w:spacing w:beforeLines="0" w:afterLines="0"/>
              <w:rPr>
                <w:rFonts w:eastAsiaTheme="minorEastAsia"/>
                <w:b/>
                <w:color w:val="FF0000"/>
                <w:u w:val="single"/>
              </w:rPr>
            </w:pPr>
            <w:r>
              <w:rPr>
                <w:rFonts w:eastAsiaTheme="minorEastAsia"/>
                <w:b/>
                <w:color w:val="FF0000"/>
                <w:u w:val="single"/>
              </w:rPr>
              <w:t>面源有效排放高度/m</w:t>
            </w:r>
          </w:p>
        </w:tc>
        <w:tc>
          <w:tcPr>
            <w:tcW w:w="429" w:type="pct"/>
            <w:vMerge w:val="restart"/>
            <w:vAlign w:val="center"/>
          </w:tcPr>
          <w:p>
            <w:pPr>
              <w:pStyle w:val="696"/>
              <w:adjustRightInd w:val="0"/>
              <w:snapToGrid w:val="0"/>
              <w:spacing w:beforeLines="0" w:afterLines="0"/>
              <w:rPr>
                <w:rFonts w:eastAsiaTheme="minorEastAsia"/>
                <w:b/>
                <w:color w:val="FF0000"/>
                <w:u w:val="single"/>
              </w:rPr>
            </w:pPr>
            <w:r>
              <w:rPr>
                <w:rFonts w:eastAsiaTheme="minorEastAsia"/>
                <w:b/>
                <w:color w:val="FF0000"/>
                <w:u w:val="single"/>
              </w:rPr>
              <w:t>年排放小时数/h</w:t>
            </w:r>
          </w:p>
        </w:tc>
        <w:tc>
          <w:tcPr>
            <w:tcW w:w="355" w:type="pct"/>
            <w:vMerge w:val="restart"/>
            <w:vAlign w:val="center"/>
          </w:tcPr>
          <w:p>
            <w:pPr>
              <w:pStyle w:val="696"/>
              <w:adjustRightInd w:val="0"/>
              <w:snapToGrid w:val="0"/>
              <w:spacing w:beforeLines="0" w:afterLines="0"/>
              <w:rPr>
                <w:rFonts w:eastAsiaTheme="minorEastAsia"/>
                <w:b/>
                <w:color w:val="FF0000"/>
                <w:u w:val="single"/>
              </w:rPr>
            </w:pPr>
            <w:r>
              <w:rPr>
                <w:rFonts w:eastAsiaTheme="minorEastAsia"/>
                <w:b/>
                <w:color w:val="FF0000"/>
                <w:u w:val="single"/>
              </w:rPr>
              <w:t>排放</w:t>
            </w:r>
          </w:p>
          <w:p>
            <w:pPr>
              <w:pStyle w:val="696"/>
              <w:adjustRightInd w:val="0"/>
              <w:snapToGrid w:val="0"/>
              <w:spacing w:beforeLines="0" w:afterLines="0"/>
              <w:rPr>
                <w:rFonts w:eastAsiaTheme="minorEastAsia"/>
                <w:b/>
                <w:color w:val="FF0000"/>
                <w:u w:val="single"/>
              </w:rPr>
            </w:pPr>
            <w:r>
              <w:rPr>
                <w:rFonts w:eastAsiaTheme="minorEastAsia"/>
                <w:b/>
                <w:color w:val="FF0000"/>
                <w:u w:val="single"/>
              </w:rPr>
              <w:t>工况</w:t>
            </w:r>
          </w:p>
        </w:tc>
        <w:tc>
          <w:tcPr>
            <w:tcW w:w="516" w:type="pct"/>
            <w:vAlign w:val="center"/>
          </w:tcPr>
          <w:p>
            <w:pPr>
              <w:pStyle w:val="696"/>
              <w:adjustRightInd w:val="0"/>
              <w:snapToGrid w:val="0"/>
              <w:spacing w:beforeLines="0" w:afterLines="0"/>
              <w:rPr>
                <w:rFonts w:eastAsiaTheme="minorEastAsia"/>
                <w:b/>
                <w:color w:val="FF0000"/>
                <w:sz w:val="20"/>
                <w:szCs w:val="20"/>
                <w:u w:val="single"/>
              </w:rPr>
            </w:pPr>
            <w:r>
              <w:rPr>
                <w:rFonts w:eastAsiaTheme="minorEastAsia"/>
                <w:b/>
                <w:color w:val="FF0000"/>
                <w:u w:val="single"/>
              </w:rPr>
              <w:t>污染物排放速率/（kg/h）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44" w:type="pct"/>
            <w:vMerge w:val="continue"/>
            <w:vAlign w:val="center"/>
          </w:tcPr>
          <w:p>
            <w:pPr>
              <w:pStyle w:val="696"/>
              <w:adjustRightInd w:val="0"/>
              <w:snapToGrid w:val="0"/>
              <w:spacing w:beforeLines="0" w:afterLines="0"/>
              <w:rPr>
                <w:rFonts w:eastAsiaTheme="minorEastAsia"/>
                <w:b/>
                <w:color w:val="FF0000"/>
                <w:u w:val="single"/>
              </w:rPr>
            </w:pPr>
          </w:p>
        </w:tc>
        <w:tc>
          <w:tcPr>
            <w:tcW w:w="669" w:type="pct"/>
            <w:vMerge w:val="continue"/>
            <w:vAlign w:val="center"/>
          </w:tcPr>
          <w:p>
            <w:pPr>
              <w:pStyle w:val="696"/>
              <w:adjustRightInd w:val="0"/>
              <w:snapToGrid w:val="0"/>
              <w:spacing w:beforeLines="0" w:afterLines="0"/>
              <w:rPr>
                <w:rFonts w:eastAsiaTheme="minorEastAsia"/>
                <w:b/>
                <w:color w:val="FF0000"/>
                <w:u w:val="single"/>
              </w:rPr>
            </w:pPr>
          </w:p>
        </w:tc>
        <w:tc>
          <w:tcPr>
            <w:tcW w:w="539" w:type="pct"/>
            <w:vAlign w:val="center"/>
          </w:tcPr>
          <w:p>
            <w:pPr>
              <w:pStyle w:val="696"/>
              <w:adjustRightInd w:val="0"/>
              <w:snapToGrid w:val="0"/>
              <w:spacing w:beforeLines="0" w:afterLines="0"/>
              <w:rPr>
                <w:rFonts w:eastAsiaTheme="minorEastAsia"/>
                <w:b/>
                <w:i/>
                <w:iCs/>
                <w:color w:val="FF0000"/>
                <w:u w:val="single"/>
              </w:rPr>
            </w:pPr>
            <w:r>
              <w:rPr>
                <w:rFonts w:eastAsiaTheme="minorEastAsia"/>
                <w:b/>
                <w:i/>
                <w:iCs/>
                <w:color w:val="FF0000"/>
                <w:u w:val="single"/>
              </w:rPr>
              <w:t>X</w:t>
            </w:r>
          </w:p>
        </w:tc>
        <w:tc>
          <w:tcPr>
            <w:tcW w:w="504" w:type="pct"/>
            <w:vAlign w:val="center"/>
          </w:tcPr>
          <w:p>
            <w:pPr>
              <w:pStyle w:val="696"/>
              <w:adjustRightInd w:val="0"/>
              <w:snapToGrid w:val="0"/>
              <w:spacing w:beforeLines="0" w:afterLines="0"/>
              <w:rPr>
                <w:rFonts w:eastAsiaTheme="minorEastAsia"/>
                <w:b/>
                <w:i/>
                <w:iCs/>
                <w:color w:val="FF0000"/>
                <w:u w:val="single"/>
              </w:rPr>
            </w:pPr>
            <w:r>
              <w:rPr>
                <w:rFonts w:eastAsiaTheme="minorEastAsia"/>
                <w:b/>
                <w:i/>
                <w:iCs/>
                <w:color w:val="FF0000"/>
                <w:u w:val="single"/>
              </w:rPr>
              <w:t>Y</w:t>
            </w:r>
          </w:p>
        </w:tc>
        <w:tc>
          <w:tcPr>
            <w:tcW w:w="400" w:type="pct"/>
            <w:vMerge w:val="continue"/>
            <w:vAlign w:val="center"/>
          </w:tcPr>
          <w:p>
            <w:pPr>
              <w:pStyle w:val="696"/>
              <w:adjustRightInd w:val="0"/>
              <w:snapToGrid w:val="0"/>
              <w:spacing w:beforeLines="0" w:afterLines="0"/>
              <w:rPr>
                <w:rFonts w:eastAsiaTheme="minorEastAsia"/>
                <w:b/>
                <w:color w:val="FF0000"/>
                <w:u w:val="single"/>
              </w:rPr>
            </w:pPr>
          </w:p>
        </w:tc>
        <w:tc>
          <w:tcPr>
            <w:tcW w:w="236" w:type="pct"/>
            <w:vMerge w:val="continue"/>
            <w:vAlign w:val="center"/>
          </w:tcPr>
          <w:p>
            <w:pPr>
              <w:pStyle w:val="696"/>
              <w:adjustRightInd w:val="0"/>
              <w:snapToGrid w:val="0"/>
              <w:spacing w:beforeLines="0" w:afterLines="0"/>
              <w:rPr>
                <w:rFonts w:eastAsiaTheme="minorEastAsia"/>
                <w:b/>
                <w:color w:val="FF0000"/>
                <w:u w:val="single"/>
              </w:rPr>
            </w:pPr>
          </w:p>
        </w:tc>
        <w:tc>
          <w:tcPr>
            <w:tcW w:w="236" w:type="pct"/>
            <w:vMerge w:val="continue"/>
            <w:vAlign w:val="center"/>
          </w:tcPr>
          <w:p>
            <w:pPr>
              <w:pStyle w:val="696"/>
              <w:adjustRightInd w:val="0"/>
              <w:snapToGrid w:val="0"/>
              <w:spacing w:beforeLines="0" w:afterLines="0"/>
              <w:rPr>
                <w:rFonts w:eastAsiaTheme="minorEastAsia"/>
                <w:b/>
                <w:color w:val="FF0000"/>
                <w:u w:val="single"/>
              </w:rPr>
            </w:pPr>
          </w:p>
        </w:tc>
        <w:tc>
          <w:tcPr>
            <w:tcW w:w="262" w:type="pct"/>
            <w:vMerge w:val="continue"/>
            <w:vAlign w:val="center"/>
          </w:tcPr>
          <w:p>
            <w:pPr>
              <w:pStyle w:val="696"/>
              <w:adjustRightInd w:val="0"/>
              <w:snapToGrid w:val="0"/>
              <w:spacing w:beforeLines="0" w:afterLines="0"/>
              <w:rPr>
                <w:rFonts w:eastAsiaTheme="minorEastAsia"/>
                <w:b/>
                <w:color w:val="FF0000"/>
                <w:u w:val="single"/>
              </w:rPr>
            </w:pPr>
          </w:p>
        </w:tc>
        <w:tc>
          <w:tcPr>
            <w:tcW w:w="504" w:type="pct"/>
            <w:vMerge w:val="continue"/>
            <w:vAlign w:val="center"/>
          </w:tcPr>
          <w:p>
            <w:pPr>
              <w:pStyle w:val="696"/>
              <w:adjustRightInd w:val="0"/>
              <w:snapToGrid w:val="0"/>
              <w:spacing w:beforeLines="0" w:afterLines="0"/>
              <w:rPr>
                <w:rFonts w:eastAsiaTheme="minorEastAsia"/>
                <w:b/>
                <w:color w:val="FF0000"/>
                <w:u w:val="single"/>
              </w:rPr>
            </w:pPr>
          </w:p>
        </w:tc>
        <w:tc>
          <w:tcPr>
            <w:tcW w:w="429" w:type="pct"/>
            <w:vMerge w:val="continue"/>
            <w:vAlign w:val="center"/>
          </w:tcPr>
          <w:p>
            <w:pPr>
              <w:pStyle w:val="696"/>
              <w:adjustRightInd w:val="0"/>
              <w:snapToGrid w:val="0"/>
              <w:spacing w:beforeLines="0" w:afterLines="0"/>
              <w:rPr>
                <w:rFonts w:eastAsiaTheme="minorEastAsia"/>
                <w:b/>
                <w:color w:val="FF0000"/>
                <w:u w:val="single"/>
              </w:rPr>
            </w:pPr>
          </w:p>
        </w:tc>
        <w:tc>
          <w:tcPr>
            <w:tcW w:w="355" w:type="pct"/>
            <w:vMerge w:val="continue"/>
            <w:vAlign w:val="center"/>
          </w:tcPr>
          <w:p>
            <w:pPr>
              <w:pStyle w:val="696"/>
              <w:adjustRightInd w:val="0"/>
              <w:snapToGrid w:val="0"/>
              <w:spacing w:beforeLines="0" w:afterLines="0"/>
              <w:rPr>
                <w:rFonts w:eastAsiaTheme="minorEastAsia"/>
                <w:b/>
                <w:color w:val="FF0000"/>
                <w:u w:val="single"/>
              </w:rPr>
            </w:pPr>
          </w:p>
        </w:tc>
        <w:tc>
          <w:tcPr>
            <w:tcW w:w="516" w:type="pct"/>
            <w:vAlign w:val="center"/>
          </w:tcPr>
          <w:p>
            <w:pPr>
              <w:pStyle w:val="696"/>
              <w:adjustRightInd w:val="0"/>
              <w:snapToGrid w:val="0"/>
              <w:spacing w:beforeLines="0" w:afterLines="0"/>
              <w:rPr>
                <w:rFonts w:eastAsiaTheme="minorEastAsia"/>
                <w:b/>
                <w:color w:val="FF0000"/>
                <w:u w:val="single"/>
              </w:rPr>
            </w:pPr>
            <w:r>
              <w:rPr>
                <w:rFonts w:eastAsiaTheme="minorEastAsia"/>
                <w:b/>
                <w:color w:val="FF0000"/>
                <w:u w:val="single"/>
              </w:rPr>
              <w:t>TSP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44" w:type="pct"/>
            <w:noWrap/>
            <w:vAlign w:val="center"/>
          </w:tcPr>
          <w:p>
            <w:pPr>
              <w:pStyle w:val="696"/>
              <w:adjustRightInd w:val="0"/>
              <w:snapToGrid w:val="0"/>
              <w:spacing w:beforeLines="0" w:afterLines="0"/>
              <w:rPr>
                <w:rFonts w:eastAsiaTheme="minorEastAsia"/>
                <w:color w:val="FF0000"/>
                <w:u w:val="single"/>
              </w:rPr>
            </w:pPr>
            <w:r>
              <w:rPr>
                <w:rFonts w:eastAsiaTheme="minorEastAsia"/>
                <w:color w:val="FF0000"/>
                <w:u w:val="single"/>
              </w:rPr>
              <w:t>1#</w:t>
            </w:r>
          </w:p>
        </w:tc>
        <w:tc>
          <w:tcPr>
            <w:tcW w:w="669" w:type="pct"/>
            <w:noWrap/>
            <w:vAlign w:val="center"/>
          </w:tcPr>
          <w:p>
            <w:pPr>
              <w:pStyle w:val="696"/>
              <w:adjustRightInd w:val="0"/>
              <w:snapToGrid w:val="0"/>
              <w:spacing w:beforeLines="0" w:afterLines="0"/>
              <w:rPr>
                <w:rFonts w:eastAsiaTheme="minorEastAsia"/>
                <w:color w:val="FF0000"/>
                <w:u w:val="single"/>
              </w:rPr>
            </w:pPr>
            <w:r>
              <w:rPr>
                <w:rFonts w:eastAsiaTheme="minorEastAsia"/>
                <w:color w:val="FF0000"/>
                <w:u w:val="single"/>
              </w:rPr>
              <w:t>码头装卸区</w:t>
            </w:r>
          </w:p>
        </w:tc>
        <w:tc>
          <w:tcPr>
            <w:tcW w:w="539" w:type="pct"/>
            <w:noWrap/>
            <w:vAlign w:val="center"/>
          </w:tcPr>
          <w:p>
            <w:pPr>
              <w:spacing w:before="156" w:beforeLines="50" w:after="156" w:afterLines="50"/>
              <w:jc w:val="center"/>
              <w:rPr>
                <w:rFonts w:ascii="Times New Roman" w:hAnsi="Times New Roman" w:eastAsiaTheme="minorEastAsia"/>
                <w:color w:val="FF0000"/>
                <w:u w:val="single"/>
              </w:rPr>
            </w:pPr>
            <w:r>
              <w:rPr>
                <w:rFonts w:ascii="Times New Roman" w:hAnsi="Times New Roman" w:eastAsiaTheme="minorEastAsia"/>
                <w:color w:val="FF0000"/>
                <w:u w:val="single"/>
              </w:rPr>
              <w:t>113.164998</w:t>
            </w:r>
          </w:p>
        </w:tc>
        <w:tc>
          <w:tcPr>
            <w:tcW w:w="504" w:type="pct"/>
            <w:noWrap/>
            <w:vAlign w:val="center"/>
          </w:tcPr>
          <w:p>
            <w:pPr>
              <w:spacing w:before="156" w:beforeLines="50" w:after="156" w:afterLines="50"/>
              <w:jc w:val="center"/>
              <w:rPr>
                <w:rFonts w:ascii="Times New Roman" w:hAnsi="Times New Roman" w:eastAsiaTheme="minorEastAsia"/>
                <w:color w:val="FF0000"/>
                <w:u w:val="single"/>
              </w:rPr>
            </w:pPr>
            <w:r>
              <w:rPr>
                <w:rFonts w:ascii="Times New Roman" w:hAnsi="Times New Roman" w:eastAsiaTheme="minorEastAsia"/>
                <w:color w:val="FF0000"/>
                <w:u w:val="single"/>
              </w:rPr>
              <w:t>29.467246</w:t>
            </w:r>
          </w:p>
        </w:tc>
        <w:tc>
          <w:tcPr>
            <w:tcW w:w="400" w:type="pct"/>
            <w:noWrap/>
            <w:vAlign w:val="center"/>
          </w:tcPr>
          <w:p>
            <w:pPr>
              <w:pStyle w:val="696"/>
              <w:adjustRightInd w:val="0"/>
              <w:snapToGrid w:val="0"/>
              <w:spacing w:beforeLines="0" w:afterLines="0"/>
              <w:rPr>
                <w:rFonts w:eastAsiaTheme="minorEastAsia"/>
                <w:color w:val="FF0000"/>
                <w:u w:val="single"/>
              </w:rPr>
            </w:pPr>
            <w:r>
              <w:rPr>
                <w:rFonts w:eastAsiaTheme="minorEastAsia"/>
                <w:color w:val="FF0000"/>
                <w:u w:val="single"/>
              </w:rPr>
              <w:t>29.00</w:t>
            </w:r>
          </w:p>
        </w:tc>
        <w:tc>
          <w:tcPr>
            <w:tcW w:w="236" w:type="pct"/>
            <w:vAlign w:val="center"/>
          </w:tcPr>
          <w:p>
            <w:pPr>
              <w:spacing w:before="156" w:beforeLines="50" w:after="156" w:afterLines="50"/>
              <w:jc w:val="center"/>
              <w:rPr>
                <w:rFonts w:ascii="Times New Roman" w:hAnsi="Times New Roman" w:eastAsiaTheme="minorEastAsia"/>
                <w:color w:val="FF0000"/>
                <w:u w:val="single"/>
              </w:rPr>
            </w:pPr>
            <w:r>
              <w:rPr>
                <w:rFonts w:ascii="Times New Roman" w:hAnsi="Times New Roman" w:eastAsiaTheme="minorEastAsia"/>
                <w:color w:val="FF0000"/>
                <w:u w:val="single"/>
              </w:rPr>
              <w:t>446.97</w:t>
            </w:r>
          </w:p>
        </w:tc>
        <w:tc>
          <w:tcPr>
            <w:tcW w:w="236" w:type="pct"/>
            <w:vAlign w:val="center"/>
          </w:tcPr>
          <w:p>
            <w:pPr>
              <w:spacing w:before="156" w:beforeLines="50" w:after="156" w:afterLines="50"/>
              <w:jc w:val="center"/>
              <w:rPr>
                <w:rFonts w:ascii="Times New Roman" w:hAnsi="Times New Roman" w:eastAsiaTheme="minorEastAsia"/>
                <w:color w:val="FF0000"/>
                <w:u w:val="single"/>
              </w:rPr>
            </w:pPr>
            <w:r>
              <w:rPr>
                <w:rFonts w:ascii="Times New Roman" w:hAnsi="Times New Roman" w:eastAsiaTheme="minorEastAsia"/>
                <w:color w:val="FF0000"/>
                <w:u w:val="single"/>
              </w:rPr>
              <w:t>751.36</w:t>
            </w:r>
          </w:p>
        </w:tc>
        <w:tc>
          <w:tcPr>
            <w:tcW w:w="262" w:type="pct"/>
            <w:vAlign w:val="center"/>
          </w:tcPr>
          <w:p>
            <w:pPr>
              <w:spacing w:before="156" w:beforeLines="50" w:after="156" w:afterLines="50"/>
              <w:jc w:val="center"/>
              <w:rPr>
                <w:rFonts w:ascii="Times New Roman" w:hAnsi="Times New Roman" w:eastAsiaTheme="minorEastAsia"/>
                <w:color w:val="FF0000"/>
                <w:u w:val="single"/>
              </w:rPr>
            </w:pPr>
            <w:r>
              <w:rPr>
                <w:rFonts w:ascii="Times New Roman" w:hAnsi="Times New Roman" w:eastAsiaTheme="minorEastAsia"/>
                <w:color w:val="FF0000"/>
                <w:u w:val="single"/>
              </w:rPr>
              <w:t>0</w:t>
            </w:r>
          </w:p>
        </w:tc>
        <w:tc>
          <w:tcPr>
            <w:tcW w:w="504" w:type="pct"/>
            <w:noWrap/>
            <w:vAlign w:val="center"/>
          </w:tcPr>
          <w:p>
            <w:pPr>
              <w:pStyle w:val="696"/>
              <w:adjustRightInd w:val="0"/>
              <w:snapToGrid w:val="0"/>
              <w:spacing w:beforeLines="0" w:afterLines="0"/>
              <w:rPr>
                <w:rFonts w:eastAsiaTheme="minorEastAsia"/>
                <w:color w:val="FF0000"/>
                <w:u w:val="single"/>
              </w:rPr>
            </w:pPr>
            <w:r>
              <w:rPr>
                <w:rFonts w:eastAsiaTheme="minorEastAsia"/>
                <w:color w:val="FF0000"/>
                <w:u w:val="single"/>
              </w:rPr>
              <w:t>10</w:t>
            </w:r>
          </w:p>
        </w:tc>
        <w:tc>
          <w:tcPr>
            <w:tcW w:w="429" w:type="pct"/>
            <w:noWrap/>
            <w:vAlign w:val="center"/>
          </w:tcPr>
          <w:p>
            <w:pPr>
              <w:pStyle w:val="696"/>
              <w:adjustRightInd w:val="0"/>
              <w:snapToGrid w:val="0"/>
              <w:spacing w:beforeLines="0" w:afterLines="0"/>
              <w:rPr>
                <w:rFonts w:eastAsiaTheme="minorEastAsia"/>
                <w:color w:val="FF0000"/>
                <w:u w:val="single"/>
              </w:rPr>
            </w:pPr>
            <w:r>
              <w:rPr>
                <w:rFonts w:eastAsiaTheme="minorEastAsia"/>
                <w:color w:val="FF0000"/>
                <w:u w:val="single"/>
              </w:rPr>
              <w:t>6435</w:t>
            </w:r>
          </w:p>
        </w:tc>
        <w:tc>
          <w:tcPr>
            <w:tcW w:w="355" w:type="pct"/>
            <w:noWrap/>
            <w:vAlign w:val="center"/>
          </w:tcPr>
          <w:p>
            <w:pPr>
              <w:pStyle w:val="696"/>
              <w:adjustRightInd w:val="0"/>
              <w:snapToGrid w:val="0"/>
              <w:spacing w:beforeLines="0" w:afterLines="0"/>
              <w:rPr>
                <w:rFonts w:eastAsiaTheme="minorEastAsia"/>
                <w:color w:val="FF0000"/>
                <w:u w:val="single"/>
              </w:rPr>
            </w:pPr>
            <w:r>
              <w:rPr>
                <w:rFonts w:eastAsiaTheme="minorEastAsia"/>
                <w:color w:val="FF0000"/>
                <w:u w:val="single"/>
              </w:rPr>
              <w:t>正常</w:t>
            </w:r>
          </w:p>
        </w:tc>
        <w:tc>
          <w:tcPr>
            <w:tcW w:w="516" w:type="pct"/>
            <w:noWrap/>
            <w:vAlign w:val="center"/>
          </w:tcPr>
          <w:p>
            <w:pPr>
              <w:pStyle w:val="696"/>
              <w:adjustRightInd w:val="0"/>
              <w:snapToGrid w:val="0"/>
              <w:spacing w:beforeLines="0" w:afterLines="0"/>
              <w:rPr>
                <w:rFonts w:eastAsiaTheme="minorEastAsia"/>
                <w:color w:val="FF0000"/>
                <w:u w:val="single"/>
              </w:rPr>
            </w:pPr>
            <w:r>
              <w:rPr>
                <w:rFonts w:eastAsiaTheme="minorEastAsia"/>
                <w:color w:val="FF0000"/>
                <w:u w:val="single"/>
              </w:rPr>
              <w:t>0.1</w:t>
            </w:r>
          </w:p>
        </w:tc>
      </w:tr>
    </w:tbl>
    <w:p>
      <w:pPr>
        <w:adjustRightInd w:val="0"/>
        <w:snapToGrid w:val="0"/>
        <w:spacing w:line="360" w:lineRule="auto"/>
        <w:rPr>
          <w:rFonts w:ascii="Times New Roman" w:hAnsi="Times New Roman" w:eastAsiaTheme="minorEastAsia"/>
          <w:sz w:val="24"/>
          <w:szCs w:val="24"/>
        </w:rPr>
      </w:pPr>
    </w:p>
    <w:p>
      <w:pPr>
        <w:pStyle w:val="7"/>
        <w:adjustRightInd w:val="0"/>
        <w:snapToGrid w:val="0"/>
        <w:spacing w:after="0"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7"/>
        <w:adjustRightInd w:val="0"/>
        <w:snapToGrid w:val="0"/>
        <w:spacing w:after="0" w:line="360" w:lineRule="auto"/>
        <w:ind w:firstLine="482"/>
        <w:rPr>
          <w:rFonts w:ascii="Times New Roman" w:hAnsi="Times New Roman" w:eastAsiaTheme="minorEastAsia"/>
          <w:b/>
          <w:color w:val="FF0000"/>
          <w:sz w:val="24"/>
          <w:szCs w:val="24"/>
          <w:u w:val="single"/>
        </w:rPr>
      </w:pPr>
      <w:r>
        <w:rPr>
          <w:rFonts w:ascii="Times New Roman" w:hAnsi="Times New Roman" w:eastAsiaTheme="minorEastAsia"/>
          <w:b/>
          <w:color w:val="FF0000"/>
          <w:sz w:val="24"/>
          <w:szCs w:val="24"/>
          <w:u w:val="single"/>
        </w:rPr>
        <w:t>5、估算结果</w:t>
      </w:r>
    </w:p>
    <w:p>
      <w:pPr>
        <w:pStyle w:val="7"/>
        <w:adjustRightInd w:val="0"/>
        <w:snapToGrid w:val="0"/>
        <w:spacing w:after="0" w:line="360" w:lineRule="auto"/>
        <w:ind w:firstLine="482"/>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本项目废气正常排放下污染物的P</w:t>
      </w:r>
      <w:r>
        <w:rPr>
          <w:rFonts w:ascii="Times New Roman" w:hAnsi="Times New Roman" w:eastAsiaTheme="minorEastAsia"/>
          <w:color w:val="FF0000"/>
          <w:sz w:val="24"/>
          <w:szCs w:val="24"/>
          <w:u w:val="single"/>
          <w:vertAlign w:val="subscript"/>
        </w:rPr>
        <w:t>max</w:t>
      </w:r>
      <w:r>
        <w:rPr>
          <w:rFonts w:ascii="Times New Roman" w:hAnsi="Times New Roman" w:eastAsiaTheme="minorEastAsia"/>
          <w:color w:val="FF0000"/>
          <w:sz w:val="24"/>
          <w:szCs w:val="24"/>
          <w:u w:val="single"/>
        </w:rPr>
        <w:t>和D</w:t>
      </w:r>
      <w:r>
        <w:rPr>
          <w:rFonts w:ascii="Times New Roman" w:hAnsi="Times New Roman" w:eastAsiaTheme="minorEastAsia"/>
          <w:color w:val="FF0000"/>
          <w:sz w:val="24"/>
          <w:szCs w:val="24"/>
          <w:u w:val="single"/>
          <w:vertAlign w:val="subscript"/>
        </w:rPr>
        <w:t>10%</w:t>
      </w:r>
      <w:r>
        <w:rPr>
          <w:rFonts w:ascii="Times New Roman" w:hAnsi="Times New Roman" w:eastAsiaTheme="minorEastAsia"/>
          <w:color w:val="FF0000"/>
          <w:sz w:val="24"/>
          <w:szCs w:val="24"/>
          <w:u w:val="single"/>
        </w:rPr>
        <w:t>预测结果如下。</w:t>
      </w:r>
    </w:p>
    <w:p>
      <w:pPr>
        <w:pStyle w:val="691"/>
        <w:snapToGrid w:val="0"/>
        <w:spacing w:beforeLines="0" w:afterLines="0" w:line="276" w:lineRule="auto"/>
        <w:ind w:firstLine="482"/>
        <w:rPr>
          <w:rFonts w:eastAsiaTheme="minorEastAsia"/>
          <w:color w:val="FF0000"/>
          <w:sz w:val="2"/>
          <w:szCs w:val="2"/>
          <w:u w:val="single"/>
        </w:rPr>
      </w:pPr>
      <w:r>
        <w:rPr>
          <w:rFonts w:eastAsiaTheme="minorEastAsia"/>
          <w:color w:val="FF0000"/>
          <w:u w:val="single"/>
        </w:rPr>
        <w:t>表6.3-9  本项目无组织废气最大落地浓度占标率</w:t>
      </w:r>
    </w:p>
    <w:tbl>
      <w:tblPr>
        <w:tblStyle w:val="7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475"/>
        <w:gridCol w:w="1362"/>
        <w:gridCol w:w="2090"/>
        <w:gridCol w:w="1713"/>
        <w:gridCol w:w="1242"/>
        <w:gridCol w:w="12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7" w:hRule="atLeast"/>
        </w:trPr>
        <w:tc>
          <w:tcPr>
            <w:tcW w:w="811" w:type="pct"/>
            <w:tcBorders>
              <w:tl2br w:val="nil"/>
              <w:tr2bl w:val="nil"/>
            </w:tcBorders>
            <w:vAlign w:val="center"/>
          </w:tcPr>
          <w:p>
            <w:pPr>
              <w:jc w:val="center"/>
              <w:rPr>
                <w:rFonts w:ascii="Times New Roman" w:hAnsi="Times New Roman" w:eastAsiaTheme="minorEastAsia"/>
                <w:b/>
                <w:color w:val="FF0000"/>
                <w:u w:val="single"/>
              </w:rPr>
            </w:pPr>
            <w:r>
              <w:rPr>
                <w:rFonts w:ascii="Times New Roman" w:hAnsi="Times New Roman" w:eastAsiaTheme="minorEastAsia"/>
                <w:b/>
                <w:color w:val="FF0000"/>
                <w:u w:val="single"/>
              </w:rPr>
              <w:t>污染源名称</w:t>
            </w:r>
          </w:p>
        </w:tc>
        <w:tc>
          <w:tcPr>
            <w:tcW w:w="748" w:type="pct"/>
            <w:tcBorders>
              <w:tl2br w:val="nil"/>
              <w:tr2bl w:val="nil"/>
            </w:tcBorders>
            <w:vAlign w:val="center"/>
          </w:tcPr>
          <w:p>
            <w:pPr>
              <w:jc w:val="center"/>
              <w:rPr>
                <w:rFonts w:ascii="Times New Roman" w:hAnsi="Times New Roman" w:eastAsiaTheme="minorEastAsia"/>
                <w:b/>
                <w:color w:val="FF0000"/>
                <w:u w:val="single"/>
              </w:rPr>
            </w:pPr>
            <w:r>
              <w:rPr>
                <w:rFonts w:ascii="Times New Roman" w:hAnsi="Times New Roman" w:eastAsiaTheme="minorEastAsia"/>
                <w:b/>
                <w:color w:val="FF0000"/>
                <w:u w:val="single"/>
              </w:rPr>
              <w:t>评价因子</w:t>
            </w:r>
          </w:p>
        </w:tc>
        <w:tc>
          <w:tcPr>
            <w:tcW w:w="1148" w:type="pct"/>
            <w:tcBorders>
              <w:tl2br w:val="nil"/>
              <w:tr2bl w:val="nil"/>
            </w:tcBorders>
            <w:vAlign w:val="center"/>
          </w:tcPr>
          <w:p>
            <w:pPr>
              <w:jc w:val="center"/>
              <w:rPr>
                <w:rFonts w:ascii="Times New Roman" w:hAnsi="Times New Roman" w:eastAsiaTheme="minorEastAsia"/>
                <w:b/>
                <w:color w:val="FF0000"/>
                <w:u w:val="single"/>
              </w:rPr>
            </w:pPr>
            <w:r>
              <w:rPr>
                <w:rFonts w:ascii="Times New Roman" w:hAnsi="Times New Roman" w:eastAsiaTheme="minorEastAsia"/>
                <w:b/>
                <w:color w:val="FF0000"/>
                <w:u w:val="single"/>
              </w:rPr>
              <w:t>评价标准（μg/m</w:t>
            </w:r>
            <w:r>
              <w:rPr>
                <w:rFonts w:ascii="Times New Roman" w:hAnsi="Times New Roman" w:eastAsiaTheme="minorEastAsia"/>
                <w:b/>
                <w:color w:val="FF0000"/>
                <w:u w:val="single"/>
                <w:vertAlign w:val="superscript"/>
              </w:rPr>
              <w:t>3</w:t>
            </w:r>
            <w:r>
              <w:rPr>
                <w:rFonts w:ascii="Times New Roman" w:hAnsi="Times New Roman" w:eastAsiaTheme="minorEastAsia"/>
                <w:b/>
                <w:color w:val="FF0000"/>
                <w:u w:val="single"/>
              </w:rPr>
              <w:t>）</w:t>
            </w:r>
          </w:p>
        </w:tc>
        <w:tc>
          <w:tcPr>
            <w:tcW w:w="941" w:type="pct"/>
            <w:tcBorders>
              <w:tl2br w:val="nil"/>
              <w:tr2bl w:val="nil"/>
            </w:tcBorders>
            <w:vAlign w:val="center"/>
          </w:tcPr>
          <w:p>
            <w:pPr>
              <w:jc w:val="center"/>
              <w:rPr>
                <w:rFonts w:ascii="Times New Roman" w:hAnsi="Times New Roman" w:eastAsiaTheme="minorEastAsia"/>
                <w:b/>
                <w:color w:val="FF0000"/>
                <w:u w:val="single"/>
              </w:rPr>
            </w:pPr>
            <w:r>
              <w:rPr>
                <w:rFonts w:ascii="Times New Roman" w:hAnsi="Times New Roman" w:eastAsiaTheme="minorEastAsia"/>
                <w:b/>
                <w:color w:val="FF0000"/>
                <w:u w:val="single"/>
              </w:rPr>
              <w:t>C</w:t>
            </w:r>
            <w:r>
              <w:rPr>
                <w:rFonts w:ascii="Times New Roman" w:hAnsi="Times New Roman" w:eastAsiaTheme="minorEastAsia"/>
                <w:b/>
                <w:color w:val="FF0000"/>
                <w:u w:val="single"/>
                <w:vertAlign w:val="subscript"/>
              </w:rPr>
              <w:t>max</w:t>
            </w:r>
            <w:r>
              <w:rPr>
                <w:rFonts w:ascii="Times New Roman" w:hAnsi="Times New Roman" w:eastAsiaTheme="minorEastAsia"/>
                <w:b/>
                <w:color w:val="FF0000"/>
                <w:u w:val="single"/>
              </w:rPr>
              <w:t>（μg/m</w:t>
            </w:r>
            <w:r>
              <w:rPr>
                <w:rFonts w:ascii="Times New Roman" w:hAnsi="Times New Roman" w:eastAsiaTheme="minorEastAsia"/>
                <w:b/>
                <w:color w:val="FF0000"/>
                <w:u w:val="single"/>
                <w:vertAlign w:val="superscript"/>
              </w:rPr>
              <w:t>3</w:t>
            </w:r>
            <w:r>
              <w:rPr>
                <w:rFonts w:ascii="Times New Roman" w:hAnsi="Times New Roman" w:eastAsiaTheme="minorEastAsia"/>
                <w:b/>
                <w:color w:val="FF0000"/>
                <w:u w:val="single"/>
              </w:rPr>
              <w:t>）</w:t>
            </w:r>
          </w:p>
        </w:tc>
        <w:tc>
          <w:tcPr>
            <w:tcW w:w="682" w:type="pct"/>
            <w:tcBorders>
              <w:tl2br w:val="nil"/>
              <w:tr2bl w:val="nil"/>
            </w:tcBorders>
            <w:vAlign w:val="center"/>
          </w:tcPr>
          <w:p>
            <w:pPr>
              <w:jc w:val="center"/>
              <w:rPr>
                <w:rFonts w:ascii="Times New Roman" w:hAnsi="Times New Roman" w:eastAsiaTheme="minorEastAsia"/>
                <w:b/>
                <w:color w:val="FF0000"/>
                <w:u w:val="single"/>
              </w:rPr>
            </w:pPr>
            <w:r>
              <w:rPr>
                <w:rFonts w:ascii="Times New Roman" w:hAnsi="Times New Roman" w:eastAsiaTheme="minorEastAsia"/>
                <w:b/>
                <w:color w:val="FF0000"/>
                <w:u w:val="single"/>
              </w:rPr>
              <w:t>P</w:t>
            </w:r>
            <w:r>
              <w:rPr>
                <w:rFonts w:ascii="Times New Roman" w:hAnsi="Times New Roman" w:eastAsiaTheme="minorEastAsia"/>
                <w:b/>
                <w:color w:val="FF0000"/>
                <w:u w:val="single"/>
                <w:vertAlign w:val="subscript"/>
              </w:rPr>
              <w:t>max</w:t>
            </w:r>
            <w:r>
              <w:rPr>
                <w:rFonts w:ascii="Times New Roman" w:hAnsi="Times New Roman" w:eastAsiaTheme="minorEastAsia"/>
                <w:b/>
                <w:color w:val="FF0000"/>
                <w:u w:val="single"/>
              </w:rPr>
              <w:t>（%）</w:t>
            </w:r>
          </w:p>
        </w:tc>
        <w:tc>
          <w:tcPr>
            <w:tcW w:w="669" w:type="pct"/>
            <w:tcBorders>
              <w:tl2br w:val="nil"/>
              <w:tr2bl w:val="nil"/>
            </w:tcBorders>
            <w:vAlign w:val="center"/>
          </w:tcPr>
          <w:p>
            <w:pPr>
              <w:jc w:val="center"/>
              <w:rPr>
                <w:rFonts w:ascii="Times New Roman" w:hAnsi="Times New Roman" w:eastAsiaTheme="minorEastAsia"/>
                <w:b/>
                <w:color w:val="FF0000"/>
                <w:u w:val="single"/>
              </w:rPr>
            </w:pPr>
            <w:r>
              <w:rPr>
                <w:rFonts w:ascii="Times New Roman" w:hAnsi="Times New Roman" w:eastAsiaTheme="minorEastAsia"/>
                <w:b/>
                <w:color w:val="FF0000"/>
                <w:u w:val="single"/>
              </w:rPr>
              <w:t>D</w:t>
            </w:r>
            <w:r>
              <w:rPr>
                <w:rFonts w:ascii="Times New Roman" w:hAnsi="Times New Roman" w:eastAsiaTheme="minorEastAsia"/>
                <w:b/>
                <w:color w:val="FF0000"/>
                <w:u w:val="single"/>
                <w:vertAlign w:val="subscript"/>
              </w:rPr>
              <w:t>10%</w:t>
            </w:r>
            <w:r>
              <w:rPr>
                <w:rFonts w:ascii="Times New Roman" w:hAnsi="Times New Roman" w:eastAsiaTheme="minorEastAsia"/>
                <w:b/>
                <w:color w:val="FF0000"/>
                <w:u w:val="singl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6" w:hRule="atLeast"/>
        </w:trPr>
        <w:tc>
          <w:tcPr>
            <w:tcW w:w="811" w:type="pct"/>
            <w:tcBorders>
              <w:tl2br w:val="nil"/>
              <w:tr2bl w:val="nil"/>
            </w:tcBorders>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矩形面源</w:t>
            </w:r>
          </w:p>
        </w:tc>
        <w:tc>
          <w:tcPr>
            <w:tcW w:w="748" w:type="pct"/>
            <w:tcBorders>
              <w:tl2br w:val="nil"/>
              <w:tr2bl w:val="nil"/>
            </w:tcBorders>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TSP</w:t>
            </w:r>
          </w:p>
        </w:tc>
        <w:tc>
          <w:tcPr>
            <w:tcW w:w="1148" w:type="pct"/>
            <w:tcBorders>
              <w:tl2br w:val="nil"/>
              <w:tr2bl w:val="nil"/>
            </w:tcBorders>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900.0</w:t>
            </w:r>
          </w:p>
        </w:tc>
        <w:tc>
          <w:tcPr>
            <w:tcW w:w="941" w:type="pct"/>
            <w:tcBorders>
              <w:tl2br w:val="nil"/>
              <w:tr2bl w:val="nil"/>
            </w:tcBorders>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18.6620</w:t>
            </w:r>
          </w:p>
        </w:tc>
        <w:tc>
          <w:tcPr>
            <w:tcW w:w="682" w:type="pct"/>
            <w:tcBorders>
              <w:tl2br w:val="nil"/>
              <w:tr2bl w:val="nil"/>
            </w:tcBorders>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2.0700</w:t>
            </w:r>
          </w:p>
        </w:tc>
        <w:tc>
          <w:tcPr>
            <w:tcW w:w="669" w:type="pct"/>
            <w:tcBorders>
              <w:tl2br w:val="nil"/>
              <w:tr2bl w:val="nil"/>
            </w:tcBorders>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w:t>
            </w:r>
          </w:p>
        </w:tc>
      </w:tr>
    </w:tbl>
    <w:p>
      <w:pPr>
        <w:pStyle w:val="7"/>
        <w:adjustRightInd w:val="0"/>
        <w:snapToGrid w:val="0"/>
        <w:spacing w:after="0" w:line="360" w:lineRule="auto"/>
        <w:rPr>
          <w:rFonts w:ascii="Times New Roman" w:hAnsi="Times New Roman" w:eastAsiaTheme="minorEastAsia"/>
          <w:color w:val="FF0000"/>
          <w:sz w:val="24"/>
          <w:szCs w:val="24"/>
          <w:u w:val="single"/>
        </w:rPr>
      </w:pPr>
    </w:p>
    <w:p>
      <w:pPr>
        <w:pStyle w:val="7"/>
        <w:adjustRightInd w:val="0"/>
        <w:snapToGrid w:val="0"/>
        <w:spacing w:after="0"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本项目P</w:t>
      </w:r>
      <w:r>
        <w:rPr>
          <w:rFonts w:ascii="Times New Roman" w:hAnsi="Times New Roman" w:eastAsiaTheme="minorEastAsia"/>
          <w:color w:val="FF0000"/>
          <w:sz w:val="24"/>
          <w:szCs w:val="24"/>
          <w:u w:val="single"/>
          <w:vertAlign w:val="subscript"/>
        </w:rPr>
        <w:t>max</w:t>
      </w:r>
      <w:r>
        <w:rPr>
          <w:rFonts w:ascii="Times New Roman" w:hAnsi="Times New Roman" w:eastAsiaTheme="minorEastAsia"/>
          <w:color w:val="FF0000"/>
          <w:sz w:val="24"/>
          <w:szCs w:val="24"/>
          <w:u w:val="single"/>
        </w:rPr>
        <w:t>最大值出现为矩形面源排放的TSP</w:t>
      </w:r>
      <w:r>
        <w:rPr>
          <w:rFonts w:hint="eastAsia" w:ascii="Times New Roman" w:hAnsi="Times New Roman" w:eastAsiaTheme="minorEastAsia"/>
          <w:color w:val="FF0000"/>
          <w:sz w:val="24"/>
          <w:szCs w:val="24"/>
          <w:u w:val="single"/>
          <w:lang w:val="en-US" w:eastAsia="zh-CN"/>
        </w:rPr>
        <w:t xml:space="preserve"> </w:t>
      </w:r>
      <w:r>
        <w:rPr>
          <w:rFonts w:ascii="Times New Roman" w:hAnsi="Times New Roman" w:eastAsiaTheme="minorEastAsia"/>
          <w:color w:val="FF0000"/>
          <w:sz w:val="24"/>
          <w:szCs w:val="24"/>
          <w:u w:val="single"/>
        </w:rPr>
        <w:t>P</w:t>
      </w:r>
      <w:r>
        <w:rPr>
          <w:rFonts w:ascii="Times New Roman" w:hAnsi="Times New Roman" w:eastAsiaTheme="minorEastAsia"/>
          <w:color w:val="FF0000"/>
          <w:sz w:val="24"/>
          <w:szCs w:val="24"/>
          <w:u w:val="single"/>
          <w:vertAlign w:val="subscript"/>
        </w:rPr>
        <w:t>max</w:t>
      </w:r>
      <w:r>
        <w:rPr>
          <w:rFonts w:ascii="Times New Roman" w:hAnsi="Times New Roman" w:eastAsiaTheme="minorEastAsia"/>
          <w:color w:val="FF0000"/>
          <w:sz w:val="24"/>
          <w:szCs w:val="24"/>
          <w:u w:val="single"/>
        </w:rPr>
        <w:t>值为2.07%，C</w:t>
      </w:r>
      <w:r>
        <w:rPr>
          <w:rFonts w:ascii="Times New Roman" w:hAnsi="Times New Roman" w:eastAsiaTheme="minorEastAsia"/>
          <w:color w:val="FF0000"/>
          <w:sz w:val="24"/>
          <w:szCs w:val="24"/>
          <w:u w:val="single"/>
          <w:vertAlign w:val="subscript"/>
        </w:rPr>
        <w:t>max</w:t>
      </w:r>
      <w:r>
        <w:rPr>
          <w:rFonts w:ascii="Times New Roman" w:hAnsi="Times New Roman" w:eastAsiaTheme="minorEastAsia"/>
          <w:color w:val="FF0000"/>
          <w:sz w:val="24"/>
          <w:szCs w:val="24"/>
          <w:u w:val="single"/>
        </w:rPr>
        <w:t>为18.662μg/m³，根据《环境影响评价技术导则 大气环境》（HJ2.2-2018）分级判据，确定本项目大气环境影响评价工作等级为二级。</w:t>
      </w:r>
    </w:p>
    <w:p>
      <w:pPr>
        <w:pStyle w:val="7"/>
        <w:adjustRightInd w:val="0"/>
        <w:snapToGrid w:val="0"/>
        <w:spacing w:after="0" w:line="360" w:lineRule="auto"/>
        <w:ind w:firstLine="482" w:firstLineChars="200"/>
        <w:rPr>
          <w:rFonts w:ascii="Times New Roman" w:hAnsi="Times New Roman" w:eastAsiaTheme="minorEastAsia"/>
          <w:b/>
          <w:color w:val="FF0000"/>
          <w:sz w:val="24"/>
          <w:szCs w:val="24"/>
          <w:u w:val="single"/>
        </w:rPr>
      </w:pPr>
      <w:r>
        <w:rPr>
          <w:rFonts w:ascii="Times New Roman" w:hAnsi="Times New Roman" w:eastAsiaTheme="minorEastAsia"/>
          <w:b/>
          <w:color w:val="FF0000"/>
          <w:sz w:val="24"/>
          <w:szCs w:val="24"/>
          <w:u w:val="single"/>
        </w:rPr>
        <w:t>6、范围</w:t>
      </w:r>
    </w:p>
    <w:p>
      <w:pPr>
        <w:pStyle w:val="7"/>
        <w:adjustRightInd w:val="0"/>
        <w:snapToGrid w:val="0"/>
        <w:spacing w:after="0"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根据《环境影响评价技术导则大气环境》（HJ2.2-2018），本项目的大气评价等级为二级，大气环境影响评价范围边长取5km。</w:t>
      </w:r>
    </w:p>
    <w:p>
      <w:pPr>
        <w:pStyle w:val="7"/>
        <w:adjustRightInd w:val="0"/>
        <w:snapToGrid w:val="0"/>
        <w:spacing w:after="0" w:line="360" w:lineRule="auto"/>
        <w:ind w:firstLine="482" w:firstLineChars="200"/>
        <w:rPr>
          <w:rFonts w:ascii="Times New Roman" w:hAnsi="Times New Roman" w:eastAsiaTheme="minorEastAsia"/>
          <w:b/>
          <w:color w:val="FF0000"/>
          <w:sz w:val="24"/>
          <w:szCs w:val="24"/>
          <w:u w:val="single"/>
        </w:rPr>
      </w:pPr>
      <w:r>
        <w:rPr>
          <w:rFonts w:ascii="Times New Roman" w:hAnsi="Times New Roman" w:eastAsiaTheme="minorEastAsia"/>
          <w:b/>
          <w:color w:val="FF0000"/>
          <w:sz w:val="24"/>
          <w:szCs w:val="24"/>
          <w:u w:val="single"/>
        </w:rPr>
        <w:t>7、源调查</w:t>
      </w:r>
    </w:p>
    <w:p>
      <w:pPr>
        <w:pStyle w:val="7"/>
        <w:adjustRightInd w:val="0"/>
        <w:snapToGrid w:val="0"/>
        <w:spacing w:after="0"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根据《环境影响评价技术导则-大气环境》（HJ2.2-2018）中5.3节工作等级的确定方法，采用附录A推荐模型中的AERSCREEN模式计算项目污染源的最大环境影响，根据AERSCREEN模式计算结果，本评价选取码头装卸区域无组织排放源强作为预测对象。</w:t>
      </w:r>
    </w:p>
    <w:p>
      <w:pPr>
        <w:pStyle w:val="7"/>
        <w:adjustRightInd w:val="0"/>
        <w:snapToGrid w:val="0"/>
        <w:spacing w:after="0" w:line="360" w:lineRule="auto"/>
        <w:ind w:firstLine="480" w:firstLineChars="200"/>
        <w:rPr>
          <w:rFonts w:ascii="Times New Roman" w:hAnsi="Times New Roman" w:eastAsiaTheme="minorEastAsia"/>
          <w:color w:val="FF0000"/>
          <w:sz w:val="24"/>
          <w:szCs w:val="24"/>
          <w:u w:val="single"/>
        </w:rPr>
      </w:pPr>
      <w:r>
        <w:rPr>
          <w:rFonts w:hint="eastAsia" w:ascii="宋体" w:hAnsi="宋体" w:cs="宋体"/>
          <w:color w:val="FF0000"/>
          <w:sz w:val="24"/>
          <w:szCs w:val="24"/>
          <w:u w:val="single"/>
        </w:rPr>
        <w:t>⑴</w:t>
      </w:r>
      <w:r>
        <w:rPr>
          <w:rFonts w:ascii="Times New Roman" w:hAnsi="Times New Roman" w:eastAsiaTheme="minorEastAsia"/>
          <w:color w:val="FF0000"/>
          <w:sz w:val="24"/>
          <w:szCs w:val="24"/>
          <w:u w:val="single"/>
        </w:rPr>
        <w:t xml:space="preserve"> 无组织排放估算结果见下表</w:t>
      </w:r>
    </w:p>
    <w:p>
      <w:pPr>
        <w:pStyle w:val="691"/>
        <w:snapToGrid w:val="0"/>
        <w:spacing w:beforeLines="0" w:afterLines="0" w:line="276" w:lineRule="auto"/>
        <w:ind w:firstLine="482"/>
        <w:rPr>
          <w:rFonts w:eastAsiaTheme="minorEastAsia"/>
          <w:color w:val="FF0000"/>
          <w:u w:val="single"/>
        </w:rPr>
      </w:pPr>
      <w:r>
        <w:rPr>
          <w:rFonts w:eastAsiaTheme="minorEastAsia"/>
          <w:color w:val="FF0000"/>
          <w:u w:val="single"/>
        </w:rPr>
        <w:t>表6.3-10  码头装卸区域无组织排放估算结果一览表</w:t>
      </w:r>
    </w:p>
    <w:tbl>
      <w:tblPr>
        <w:tblStyle w:val="71"/>
        <w:tblW w:w="501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982"/>
        <w:gridCol w:w="3139"/>
        <w:gridCol w:w="30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4" w:hRule="atLeast"/>
          <w:tblHeader/>
        </w:trPr>
        <w:tc>
          <w:tcPr>
            <w:tcW w:w="1634" w:type="pct"/>
            <w:vMerge w:val="restart"/>
            <w:shd w:val="clear" w:color="auto" w:fill="auto"/>
            <w:vAlign w:val="center"/>
          </w:tcPr>
          <w:p>
            <w:pPr>
              <w:widowControl/>
              <w:adjustRightInd w:val="0"/>
              <w:snapToGrid w:val="0"/>
              <w:jc w:val="center"/>
              <w:rPr>
                <w:rFonts w:ascii="Times New Roman" w:hAnsi="Times New Roman" w:eastAsiaTheme="minorEastAsia"/>
                <w:b/>
                <w:color w:val="FF0000"/>
                <w:kern w:val="0"/>
                <w:u w:val="single"/>
              </w:rPr>
            </w:pPr>
            <w:r>
              <w:rPr>
                <w:rFonts w:ascii="Times New Roman" w:hAnsi="Times New Roman" w:eastAsiaTheme="minorEastAsia"/>
                <w:b/>
                <w:color w:val="FF0000"/>
                <w:kern w:val="0"/>
                <w:u w:val="single"/>
              </w:rPr>
              <w:t>下风向距离</w:t>
            </w:r>
            <w:r>
              <w:rPr>
                <w:rFonts w:ascii="Times New Roman" w:hAnsi="Times New Roman" w:eastAsiaTheme="minorEastAsia"/>
                <w:b/>
                <w:color w:val="FF0000"/>
                <w:kern w:val="0"/>
                <w:u w:val="single"/>
                <w:lang w:eastAsia="en-US"/>
              </w:rPr>
              <w:t>（m）</w:t>
            </w:r>
          </w:p>
        </w:tc>
        <w:tc>
          <w:tcPr>
            <w:tcW w:w="3366" w:type="pct"/>
            <w:gridSpan w:val="2"/>
            <w:shd w:val="clear" w:color="auto" w:fill="auto"/>
            <w:vAlign w:val="center"/>
          </w:tcPr>
          <w:p>
            <w:pPr>
              <w:widowControl/>
              <w:adjustRightInd w:val="0"/>
              <w:snapToGrid w:val="0"/>
              <w:jc w:val="center"/>
              <w:rPr>
                <w:rFonts w:ascii="Times New Roman" w:hAnsi="Times New Roman" w:eastAsiaTheme="minorEastAsia"/>
                <w:b/>
                <w:color w:val="FF0000"/>
                <w:kern w:val="0"/>
                <w:u w:val="single"/>
              </w:rPr>
            </w:pPr>
            <w:r>
              <w:rPr>
                <w:rFonts w:ascii="Times New Roman" w:hAnsi="Times New Roman" w:eastAsiaTheme="minorEastAsia"/>
                <w:b/>
                <w:color w:val="FF0000"/>
                <w:kern w:val="0"/>
                <w:u w:val="single"/>
              </w:rPr>
              <w:t>矩形面源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blHeader/>
        </w:trPr>
        <w:tc>
          <w:tcPr>
            <w:tcW w:w="1634" w:type="pct"/>
            <w:vMerge w:val="continue"/>
            <w:vAlign w:val="center"/>
          </w:tcPr>
          <w:p>
            <w:pPr>
              <w:widowControl/>
              <w:adjustRightInd w:val="0"/>
              <w:snapToGrid w:val="0"/>
              <w:jc w:val="center"/>
              <w:rPr>
                <w:rFonts w:ascii="Times New Roman" w:hAnsi="Times New Roman" w:eastAsiaTheme="minorEastAsia"/>
                <w:b/>
                <w:color w:val="FF0000"/>
                <w:kern w:val="0"/>
                <w:u w:val="single"/>
              </w:rPr>
            </w:pPr>
          </w:p>
        </w:tc>
        <w:tc>
          <w:tcPr>
            <w:tcW w:w="1720" w:type="pct"/>
            <w:shd w:val="clear" w:color="auto" w:fill="auto"/>
            <w:vAlign w:val="center"/>
          </w:tcPr>
          <w:p>
            <w:pPr>
              <w:widowControl/>
              <w:adjustRightInd w:val="0"/>
              <w:snapToGrid w:val="0"/>
              <w:jc w:val="center"/>
              <w:rPr>
                <w:rFonts w:ascii="Times New Roman" w:hAnsi="Times New Roman" w:eastAsiaTheme="minorEastAsia"/>
                <w:b/>
                <w:color w:val="FF0000"/>
                <w:kern w:val="0"/>
                <w:u w:val="single"/>
              </w:rPr>
            </w:pPr>
            <w:r>
              <w:rPr>
                <w:rFonts w:ascii="Times New Roman" w:hAnsi="Times New Roman" w:eastAsiaTheme="minorEastAsia"/>
                <w:b/>
                <w:color w:val="FF0000"/>
                <w:kern w:val="0"/>
                <w:u w:val="single"/>
              </w:rPr>
              <w:t>TSP浓度（μg/m³）</w:t>
            </w:r>
          </w:p>
        </w:tc>
        <w:tc>
          <w:tcPr>
            <w:tcW w:w="1646" w:type="pct"/>
            <w:shd w:val="clear" w:color="auto" w:fill="auto"/>
            <w:vAlign w:val="center"/>
          </w:tcPr>
          <w:p>
            <w:pPr>
              <w:widowControl/>
              <w:adjustRightInd w:val="0"/>
              <w:snapToGrid w:val="0"/>
              <w:jc w:val="center"/>
              <w:rPr>
                <w:rFonts w:ascii="Times New Roman" w:hAnsi="Times New Roman" w:eastAsiaTheme="minorEastAsia"/>
                <w:b/>
                <w:color w:val="FF0000"/>
                <w:kern w:val="0"/>
                <w:u w:val="single"/>
              </w:rPr>
            </w:pPr>
            <w:r>
              <w:rPr>
                <w:rFonts w:ascii="Times New Roman" w:hAnsi="Times New Roman" w:eastAsiaTheme="minorEastAsia"/>
                <w:b/>
                <w:color w:val="FF0000"/>
                <w:kern w:val="0"/>
                <w:u w:val="single"/>
              </w:rPr>
              <w:t>TSP占标率（%）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0.99</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8.3027</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0.92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25</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8.9444</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0.99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50</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9.6185</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75</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10.289</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100</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10.953</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150</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12.262</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200</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13.539</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250</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14.779</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300</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16.01</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400</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18.06</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2.01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500</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18.63</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2.07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600</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18.478</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2.05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700</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18.031</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800</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18.283</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2.03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900</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18.497</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2.06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1000</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18.563</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2.06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1100</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18.512</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2.06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1200</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18.368</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2.04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1300</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18.147</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2.02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1400</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17.873</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1500</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17.566</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1600</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17.222</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1700</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16.868</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1800</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16.503</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1900</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16.308</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2000</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16.172</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2100</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16.017</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2200</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15.843</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2300</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15.668</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2400</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15.469</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2500</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15.274</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3000</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14.225</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3500</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13.177</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4000</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12.243</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4500</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11.456</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5000</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10.755</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下风向最大浓度（mg/m</w:t>
            </w:r>
            <w:r>
              <w:rPr>
                <w:rFonts w:ascii="Times New Roman" w:hAnsi="Times New Roman" w:eastAsiaTheme="minorEastAsia"/>
                <w:color w:val="FF0000"/>
                <w:kern w:val="0"/>
                <w:u w:val="single"/>
                <w:vertAlign w:val="superscript"/>
              </w:rPr>
              <w:t>3</w:t>
            </w:r>
            <w:r>
              <w:rPr>
                <w:rFonts w:ascii="Times New Roman" w:hAnsi="Times New Roman" w:eastAsiaTheme="minorEastAsia"/>
                <w:color w:val="FF0000"/>
                <w:kern w:val="0"/>
                <w:u w:val="single"/>
              </w:rPr>
              <w:t>）及占标率（%）</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18.6620</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2.07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下风向最大浓度出现距离（m）</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533.0</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533.0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634"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D</w:t>
            </w:r>
            <w:r>
              <w:rPr>
                <w:rFonts w:ascii="Times New Roman" w:hAnsi="Times New Roman" w:eastAsiaTheme="minorEastAsia"/>
                <w:color w:val="FF0000"/>
                <w:kern w:val="0"/>
                <w:u w:val="single"/>
                <w:vertAlign w:val="subscript"/>
              </w:rPr>
              <w:t>10%</w:t>
            </w:r>
            <w:r>
              <w:rPr>
                <w:rFonts w:ascii="Times New Roman" w:hAnsi="Times New Roman" w:eastAsiaTheme="minorEastAsia"/>
                <w:color w:val="FF0000"/>
                <w:kern w:val="0"/>
                <w:u w:val="single"/>
              </w:rPr>
              <w:t>最远距离</w:t>
            </w:r>
            <w:r>
              <w:rPr>
                <w:rFonts w:ascii="Times New Roman" w:hAnsi="Times New Roman" w:eastAsiaTheme="minorEastAsia"/>
                <w:color w:val="FF0000"/>
                <w:kern w:val="0"/>
                <w:u w:val="single"/>
                <w:lang w:eastAsia="en-US"/>
              </w:rPr>
              <w:t>（m）</w:t>
            </w:r>
          </w:p>
        </w:tc>
        <w:tc>
          <w:tcPr>
            <w:tcW w:w="1720"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w:t>
            </w:r>
          </w:p>
        </w:tc>
        <w:tc>
          <w:tcPr>
            <w:tcW w:w="1646" w:type="pct"/>
            <w:shd w:val="clear" w:color="auto" w:fill="auto"/>
            <w:vAlign w:val="center"/>
          </w:tcPr>
          <w:p>
            <w:pPr>
              <w:widowControl/>
              <w:adjustRightInd w:val="0"/>
              <w:snapToGrid w:val="0"/>
              <w:jc w:val="center"/>
              <w:rPr>
                <w:rFonts w:ascii="Times New Roman" w:hAnsi="Times New Roman" w:eastAsiaTheme="minorEastAsia"/>
                <w:color w:val="FF0000"/>
                <w:kern w:val="0"/>
                <w:u w:val="single"/>
              </w:rPr>
            </w:pPr>
            <w:r>
              <w:rPr>
                <w:rFonts w:ascii="Times New Roman" w:hAnsi="Times New Roman" w:eastAsiaTheme="minorEastAsia"/>
                <w:color w:val="FF0000"/>
                <w:kern w:val="0"/>
                <w:u w:val="single"/>
              </w:rPr>
              <w:t>/</w:t>
            </w:r>
          </w:p>
        </w:tc>
      </w:tr>
    </w:tbl>
    <w:p>
      <w:pPr>
        <w:pStyle w:val="7"/>
        <w:adjustRightInd w:val="0"/>
        <w:snapToGrid w:val="0"/>
        <w:spacing w:after="0" w:line="360" w:lineRule="auto"/>
        <w:ind w:firstLine="480" w:firstLineChars="200"/>
        <w:rPr>
          <w:rFonts w:ascii="Times New Roman" w:hAnsi="Times New Roman" w:eastAsiaTheme="minorEastAsia"/>
          <w:color w:val="FF0000"/>
          <w:sz w:val="24"/>
          <w:szCs w:val="24"/>
          <w:u w:val="single"/>
        </w:rPr>
      </w:pPr>
    </w:p>
    <w:p>
      <w:pPr>
        <w:pStyle w:val="7"/>
        <w:adjustRightInd w:val="0"/>
        <w:snapToGrid w:val="0"/>
        <w:spacing w:after="0"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由上表可知，无组织排放的TSP最大落地浓度为18.6620μg/m</w:t>
      </w:r>
      <w:r>
        <w:rPr>
          <w:rFonts w:ascii="Times New Roman" w:hAnsi="Times New Roman" w:eastAsiaTheme="minorEastAsia"/>
          <w:color w:val="FF0000"/>
          <w:sz w:val="24"/>
          <w:szCs w:val="24"/>
          <w:u w:val="single"/>
          <w:vertAlign w:val="superscript"/>
        </w:rPr>
        <w:t>3</w:t>
      </w:r>
      <w:r>
        <w:rPr>
          <w:rFonts w:ascii="Times New Roman" w:hAnsi="Times New Roman" w:eastAsiaTheme="minorEastAsia"/>
          <w:color w:val="FF0000"/>
          <w:sz w:val="24"/>
          <w:szCs w:val="24"/>
          <w:u w:val="single"/>
        </w:rPr>
        <w:t>，对应的最大占标率为2.07%，超过1%不超过10%，满足《环境影响评价技术导则大气环境》（HJ2.2-2018）附录D中相应限值要求。</w:t>
      </w:r>
    </w:p>
    <w:p>
      <w:pPr>
        <w:pStyle w:val="4"/>
        <w:rPr>
          <w:rFonts w:eastAsiaTheme="minorEastAsia"/>
        </w:rPr>
      </w:pPr>
      <w:r>
        <w:rPr>
          <w:rFonts w:eastAsiaTheme="minorEastAsia"/>
        </w:rPr>
        <w:t>污染物排放量核算</w:t>
      </w:r>
    </w:p>
    <w:p>
      <w:pPr>
        <w:pStyle w:val="7"/>
        <w:adjustRightInd w:val="0"/>
        <w:snapToGrid w:val="0"/>
        <w:spacing w:after="0"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本项目大气环境影响评价工作等级为二级，根据《环境影响评价技术导则 大气环境》（HJ2.2-2018）中8.1.2内容：二级评价项目不进行进一步预测与评价，只对污染物排放量进行核算。</w:t>
      </w:r>
    </w:p>
    <w:p>
      <w:pPr>
        <w:pStyle w:val="691"/>
        <w:snapToGrid w:val="0"/>
        <w:spacing w:beforeLines="0" w:afterLines="0" w:line="276" w:lineRule="auto"/>
        <w:ind w:firstLine="482"/>
        <w:rPr>
          <w:rFonts w:eastAsiaTheme="minorEastAsia"/>
          <w:color w:val="FF0000"/>
          <w:u w:val="single"/>
        </w:rPr>
      </w:pPr>
      <w:r>
        <w:rPr>
          <w:rFonts w:eastAsiaTheme="minorEastAsia"/>
          <w:color w:val="FF0000"/>
          <w:u w:val="single"/>
        </w:rPr>
        <w:t>表6.3-11 大气污染物无组织排放量核算表</w:t>
      </w:r>
    </w:p>
    <w:tbl>
      <w:tblPr>
        <w:tblStyle w:val="7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654"/>
        <w:gridCol w:w="938"/>
        <w:gridCol w:w="654"/>
        <w:gridCol w:w="3183"/>
        <w:gridCol w:w="1737"/>
        <w:gridCol w:w="1019"/>
        <w:gridCol w:w="9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360" w:type="pct"/>
            <w:vMerge w:val="restart"/>
            <w:vAlign w:val="center"/>
          </w:tcPr>
          <w:p>
            <w:pPr>
              <w:pStyle w:val="7"/>
              <w:adjustRightInd w:val="0"/>
              <w:snapToGrid w:val="0"/>
              <w:spacing w:after="0"/>
              <w:jc w:val="center"/>
              <w:rPr>
                <w:rFonts w:ascii="Times New Roman" w:hAnsi="Times New Roman" w:eastAsiaTheme="minorEastAsia"/>
                <w:b/>
                <w:color w:val="FF0000"/>
                <w:u w:val="single"/>
              </w:rPr>
            </w:pPr>
            <w:r>
              <w:rPr>
                <w:rFonts w:ascii="Times New Roman" w:hAnsi="Times New Roman" w:eastAsiaTheme="minorEastAsia"/>
                <w:b/>
                <w:color w:val="FF0000"/>
                <w:u w:val="single"/>
              </w:rPr>
              <w:t>排放口编号</w:t>
            </w:r>
          </w:p>
        </w:tc>
        <w:tc>
          <w:tcPr>
            <w:tcW w:w="516" w:type="pct"/>
            <w:vMerge w:val="restart"/>
            <w:vAlign w:val="center"/>
          </w:tcPr>
          <w:p>
            <w:pPr>
              <w:pStyle w:val="7"/>
              <w:adjustRightInd w:val="0"/>
              <w:snapToGrid w:val="0"/>
              <w:spacing w:after="0"/>
              <w:jc w:val="center"/>
              <w:rPr>
                <w:rFonts w:ascii="Times New Roman" w:hAnsi="Times New Roman" w:eastAsiaTheme="minorEastAsia"/>
                <w:b/>
                <w:color w:val="FF0000"/>
                <w:u w:val="single"/>
              </w:rPr>
            </w:pPr>
            <w:r>
              <w:rPr>
                <w:rFonts w:ascii="Times New Roman" w:hAnsi="Times New Roman" w:eastAsiaTheme="minorEastAsia"/>
                <w:b/>
                <w:color w:val="FF0000"/>
                <w:u w:val="single"/>
              </w:rPr>
              <w:t>产污</w:t>
            </w:r>
          </w:p>
          <w:p>
            <w:pPr>
              <w:pStyle w:val="7"/>
              <w:adjustRightInd w:val="0"/>
              <w:snapToGrid w:val="0"/>
              <w:spacing w:after="0"/>
              <w:jc w:val="center"/>
              <w:rPr>
                <w:rFonts w:ascii="Times New Roman" w:hAnsi="Times New Roman" w:eastAsiaTheme="minorEastAsia"/>
                <w:b/>
                <w:color w:val="FF0000"/>
                <w:u w:val="single"/>
              </w:rPr>
            </w:pPr>
            <w:r>
              <w:rPr>
                <w:rFonts w:ascii="Times New Roman" w:hAnsi="Times New Roman" w:eastAsiaTheme="minorEastAsia"/>
                <w:b/>
                <w:color w:val="FF0000"/>
                <w:u w:val="single"/>
              </w:rPr>
              <w:t>环节</w:t>
            </w:r>
          </w:p>
        </w:tc>
        <w:tc>
          <w:tcPr>
            <w:tcW w:w="360" w:type="pct"/>
            <w:vMerge w:val="restart"/>
            <w:vAlign w:val="center"/>
          </w:tcPr>
          <w:p>
            <w:pPr>
              <w:pStyle w:val="7"/>
              <w:adjustRightInd w:val="0"/>
              <w:snapToGrid w:val="0"/>
              <w:spacing w:after="0"/>
              <w:jc w:val="center"/>
              <w:rPr>
                <w:rFonts w:ascii="Times New Roman" w:hAnsi="Times New Roman" w:eastAsiaTheme="minorEastAsia"/>
                <w:b/>
                <w:color w:val="FF0000"/>
                <w:u w:val="single"/>
              </w:rPr>
            </w:pPr>
            <w:r>
              <w:rPr>
                <w:rFonts w:ascii="Times New Roman" w:hAnsi="Times New Roman" w:eastAsiaTheme="minorEastAsia"/>
                <w:b/>
                <w:color w:val="FF0000"/>
                <w:u w:val="single"/>
              </w:rPr>
              <w:t>污染物</w:t>
            </w:r>
          </w:p>
        </w:tc>
        <w:tc>
          <w:tcPr>
            <w:tcW w:w="1750" w:type="pct"/>
            <w:vMerge w:val="restart"/>
            <w:vAlign w:val="center"/>
          </w:tcPr>
          <w:p>
            <w:pPr>
              <w:pStyle w:val="7"/>
              <w:adjustRightInd w:val="0"/>
              <w:snapToGrid w:val="0"/>
              <w:spacing w:after="0"/>
              <w:jc w:val="center"/>
              <w:rPr>
                <w:rFonts w:ascii="Times New Roman" w:hAnsi="Times New Roman" w:eastAsiaTheme="minorEastAsia"/>
                <w:b/>
                <w:color w:val="FF0000"/>
                <w:u w:val="single"/>
              </w:rPr>
            </w:pPr>
            <w:r>
              <w:rPr>
                <w:rFonts w:ascii="Times New Roman" w:hAnsi="Times New Roman" w:eastAsiaTheme="minorEastAsia"/>
                <w:b/>
                <w:color w:val="FF0000"/>
                <w:u w:val="single"/>
              </w:rPr>
              <w:t>主要污染防治措施</w:t>
            </w:r>
          </w:p>
        </w:tc>
        <w:tc>
          <w:tcPr>
            <w:tcW w:w="1513" w:type="pct"/>
            <w:gridSpan w:val="2"/>
            <w:vAlign w:val="center"/>
          </w:tcPr>
          <w:p>
            <w:pPr>
              <w:pStyle w:val="7"/>
              <w:adjustRightInd w:val="0"/>
              <w:snapToGrid w:val="0"/>
              <w:spacing w:after="0"/>
              <w:jc w:val="center"/>
              <w:rPr>
                <w:rFonts w:ascii="Times New Roman" w:hAnsi="Times New Roman" w:eastAsiaTheme="minorEastAsia"/>
                <w:b/>
                <w:color w:val="FF0000"/>
                <w:u w:val="single"/>
              </w:rPr>
            </w:pPr>
            <w:r>
              <w:rPr>
                <w:rFonts w:ascii="Times New Roman" w:hAnsi="Times New Roman" w:eastAsiaTheme="minorEastAsia"/>
                <w:b/>
                <w:color w:val="FF0000"/>
                <w:u w:val="single"/>
              </w:rPr>
              <w:t>国家或地方污染物排放标准</w:t>
            </w:r>
          </w:p>
        </w:tc>
        <w:tc>
          <w:tcPr>
            <w:tcW w:w="500" w:type="pct"/>
            <w:vMerge w:val="restart"/>
            <w:vAlign w:val="center"/>
          </w:tcPr>
          <w:p>
            <w:pPr>
              <w:pStyle w:val="7"/>
              <w:adjustRightInd w:val="0"/>
              <w:snapToGrid w:val="0"/>
              <w:spacing w:after="0"/>
              <w:jc w:val="center"/>
              <w:rPr>
                <w:rFonts w:ascii="Times New Roman" w:hAnsi="Times New Roman" w:eastAsiaTheme="minorEastAsia"/>
                <w:b/>
                <w:color w:val="FF0000"/>
                <w:u w:val="single"/>
              </w:rPr>
            </w:pPr>
            <w:r>
              <w:rPr>
                <w:rFonts w:ascii="Times New Roman" w:hAnsi="Times New Roman" w:eastAsiaTheme="minorEastAsia"/>
                <w:b/>
                <w:color w:val="FF0000"/>
                <w:u w:val="single"/>
              </w:rPr>
              <w:t>核算年排放量（t/a）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360" w:type="pct"/>
            <w:vMerge w:val="continue"/>
            <w:vAlign w:val="center"/>
          </w:tcPr>
          <w:p>
            <w:pPr>
              <w:pStyle w:val="7"/>
              <w:adjustRightInd w:val="0"/>
              <w:snapToGrid w:val="0"/>
              <w:spacing w:after="0"/>
              <w:jc w:val="center"/>
              <w:rPr>
                <w:rFonts w:ascii="Times New Roman" w:hAnsi="Times New Roman" w:eastAsiaTheme="minorEastAsia"/>
                <w:b/>
                <w:color w:val="FF0000"/>
                <w:u w:val="single"/>
              </w:rPr>
            </w:pPr>
          </w:p>
        </w:tc>
        <w:tc>
          <w:tcPr>
            <w:tcW w:w="516" w:type="pct"/>
            <w:vMerge w:val="continue"/>
            <w:vAlign w:val="center"/>
          </w:tcPr>
          <w:p>
            <w:pPr>
              <w:pStyle w:val="7"/>
              <w:adjustRightInd w:val="0"/>
              <w:snapToGrid w:val="0"/>
              <w:spacing w:after="0"/>
              <w:jc w:val="center"/>
              <w:rPr>
                <w:rFonts w:ascii="Times New Roman" w:hAnsi="Times New Roman" w:eastAsiaTheme="minorEastAsia"/>
                <w:b/>
                <w:color w:val="FF0000"/>
                <w:u w:val="single"/>
              </w:rPr>
            </w:pPr>
          </w:p>
        </w:tc>
        <w:tc>
          <w:tcPr>
            <w:tcW w:w="360" w:type="pct"/>
            <w:vMerge w:val="continue"/>
            <w:vAlign w:val="center"/>
          </w:tcPr>
          <w:p>
            <w:pPr>
              <w:pStyle w:val="7"/>
              <w:adjustRightInd w:val="0"/>
              <w:snapToGrid w:val="0"/>
              <w:spacing w:after="0"/>
              <w:jc w:val="center"/>
              <w:rPr>
                <w:rFonts w:ascii="Times New Roman" w:hAnsi="Times New Roman" w:eastAsiaTheme="minorEastAsia"/>
                <w:b/>
                <w:color w:val="FF0000"/>
                <w:u w:val="single"/>
              </w:rPr>
            </w:pPr>
          </w:p>
        </w:tc>
        <w:tc>
          <w:tcPr>
            <w:tcW w:w="1750" w:type="pct"/>
            <w:vMerge w:val="continue"/>
            <w:vAlign w:val="center"/>
          </w:tcPr>
          <w:p>
            <w:pPr>
              <w:pStyle w:val="7"/>
              <w:adjustRightInd w:val="0"/>
              <w:snapToGrid w:val="0"/>
              <w:spacing w:after="0"/>
              <w:jc w:val="center"/>
              <w:rPr>
                <w:rFonts w:ascii="Times New Roman" w:hAnsi="Times New Roman" w:eastAsiaTheme="minorEastAsia"/>
                <w:b/>
                <w:color w:val="FF0000"/>
                <w:u w:val="single"/>
              </w:rPr>
            </w:pPr>
          </w:p>
        </w:tc>
        <w:tc>
          <w:tcPr>
            <w:tcW w:w="953" w:type="pct"/>
            <w:vAlign w:val="center"/>
          </w:tcPr>
          <w:p>
            <w:pPr>
              <w:pStyle w:val="7"/>
              <w:adjustRightInd w:val="0"/>
              <w:snapToGrid w:val="0"/>
              <w:spacing w:after="0"/>
              <w:jc w:val="center"/>
              <w:rPr>
                <w:rFonts w:ascii="Times New Roman" w:hAnsi="Times New Roman" w:eastAsiaTheme="minorEastAsia"/>
                <w:b/>
                <w:color w:val="FF0000"/>
                <w:u w:val="single"/>
              </w:rPr>
            </w:pPr>
            <w:r>
              <w:rPr>
                <w:rFonts w:ascii="Times New Roman" w:hAnsi="Times New Roman" w:eastAsiaTheme="minorEastAsia"/>
                <w:b/>
                <w:color w:val="FF0000"/>
                <w:u w:val="single"/>
              </w:rPr>
              <w:t>标准名称</w:t>
            </w:r>
          </w:p>
        </w:tc>
        <w:tc>
          <w:tcPr>
            <w:tcW w:w="559" w:type="pct"/>
            <w:vAlign w:val="center"/>
          </w:tcPr>
          <w:p>
            <w:pPr>
              <w:pStyle w:val="7"/>
              <w:adjustRightInd w:val="0"/>
              <w:snapToGrid w:val="0"/>
              <w:spacing w:after="0"/>
              <w:jc w:val="center"/>
              <w:rPr>
                <w:rFonts w:ascii="Times New Roman" w:hAnsi="Times New Roman" w:eastAsiaTheme="minorEastAsia"/>
                <w:b/>
                <w:color w:val="FF0000"/>
                <w:u w:val="single"/>
              </w:rPr>
            </w:pPr>
            <w:r>
              <w:rPr>
                <w:rFonts w:ascii="Times New Roman" w:hAnsi="Times New Roman" w:eastAsiaTheme="minorEastAsia"/>
                <w:b/>
                <w:color w:val="FF0000"/>
                <w:u w:val="single"/>
              </w:rPr>
              <w:t>浓度限值（mg/m</w:t>
            </w:r>
            <w:r>
              <w:rPr>
                <w:rFonts w:ascii="Times New Roman" w:hAnsi="Times New Roman" w:eastAsiaTheme="minorEastAsia"/>
                <w:b/>
                <w:color w:val="FF0000"/>
                <w:u w:val="single"/>
                <w:vertAlign w:val="superscript"/>
              </w:rPr>
              <w:t>3</w:t>
            </w:r>
            <w:r>
              <w:rPr>
                <w:rFonts w:ascii="Times New Roman" w:hAnsi="Times New Roman" w:eastAsiaTheme="minorEastAsia"/>
                <w:b/>
                <w:color w:val="FF0000"/>
                <w:u w:val="single"/>
              </w:rPr>
              <w:t>）</w:t>
            </w:r>
          </w:p>
        </w:tc>
        <w:tc>
          <w:tcPr>
            <w:tcW w:w="500" w:type="pct"/>
            <w:vMerge w:val="continue"/>
            <w:vAlign w:val="center"/>
          </w:tcPr>
          <w:p>
            <w:pPr>
              <w:pStyle w:val="7"/>
              <w:adjustRightInd w:val="0"/>
              <w:snapToGrid w:val="0"/>
              <w:spacing w:after="0"/>
              <w:jc w:val="center"/>
              <w:rPr>
                <w:rFonts w:ascii="Times New Roman" w:hAnsi="Times New Roman" w:eastAsiaTheme="minorEastAsia"/>
                <w:b/>
                <w:color w:val="FF0000"/>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0" w:type="pct"/>
            <w:vAlign w:val="center"/>
          </w:tcPr>
          <w:p>
            <w:pPr>
              <w:pStyle w:val="7"/>
              <w:adjustRightInd w:val="0"/>
              <w:snapToGrid w:val="0"/>
              <w:spacing w:after="0"/>
              <w:jc w:val="center"/>
              <w:rPr>
                <w:rFonts w:ascii="Times New Roman" w:hAnsi="Times New Roman" w:eastAsiaTheme="minorEastAsia"/>
                <w:color w:val="FF0000"/>
                <w:u w:val="single"/>
              </w:rPr>
            </w:pPr>
            <w:r>
              <w:rPr>
                <w:rFonts w:ascii="Times New Roman" w:hAnsi="Times New Roman" w:eastAsiaTheme="minorEastAsia"/>
                <w:color w:val="FF0000"/>
                <w:u w:val="single"/>
              </w:rPr>
              <w:t>/</w:t>
            </w:r>
          </w:p>
        </w:tc>
        <w:tc>
          <w:tcPr>
            <w:tcW w:w="516" w:type="pct"/>
            <w:vAlign w:val="center"/>
          </w:tcPr>
          <w:p>
            <w:pPr>
              <w:pStyle w:val="7"/>
              <w:adjustRightInd w:val="0"/>
              <w:snapToGrid w:val="0"/>
              <w:spacing w:after="0"/>
              <w:jc w:val="center"/>
              <w:rPr>
                <w:rFonts w:ascii="Times New Roman" w:hAnsi="Times New Roman" w:eastAsiaTheme="minorEastAsia"/>
                <w:color w:val="FF0000"/>
                <w:u w:val="single"/>
              </w:rPr>
            </w:pPr>
            <w:r>
              <w:rPr>
                <w:rFonts w:ascii="Times New Roman" w:hAnsi="Times New Roman" w:eastAsiaTheme="minorEastAsia"/>
                <w:color w:val="FF0000"/>
                <w:u w:val="single"/>
              </w:rPr>
              <w:t>码头</w:t>
            </w:r>
          </w:p>
        </w:tc>
        <w:tc>
          <w:tcPr>
            <w:tcW w:w="360" w:type="pct"/>
            <w:vAlign w:val="center"/>
          </w:tcPr>
          <w:p>
            <w:pPr>
              <w:pStyle w:val="7"/>
              <w:adjustRightInd w:val="0"/>
              <w:snapToGrid w:val="0"/>
              <w:spacing w:after="0"/>
              <w:jc w:val="center"/>
              <w:rPr>
                <w:rFonts w:ascii="Times New Roman" w:hAnsi="Times New Roman" w:eastAsiaTheme="minorEastAsia"/>
                <w:color w:val="FF0000"/>
                <w:u w:val="single"/>
              </w:rPr>
            </w:pPr>
            <w:r>
              <w:rPr>
                <w:rFonts w:ascii="Times New Roman" w:hAnsi="Times New Roman" w:eastAsiaTheme="minorEastAsia"/>
                <w:color w:val="FF0000"/>
                <w:u w:val="single"/>
              </w:rPr>
              <w:t>TSP</w:t>
            </w:r>
          </w:p>
        </w:tc>
        <w:tc>
          <w:tcPr>
            <w:tcW w:w="1750" w:type="pct"/>
            <w:vAlign w:val="center"/>
          </w:tcPr>
          <w:p>
            <w:pPr>
              <w:pStyle w:val="7"/>
              <w:adjustRightInd w:val="0"/>
              <w:snapToGrid w:val="0"/>
              <w:spacing w:after="0"/>
              <w:jc w:val="center"/>
              <w:rPr>
                <w:rFonts w:ascii="Times New Roman" w:hAnsi="Times New Roman" w:eastAsiaTheme="minorEastAsia"/>
                <w:color w:val="FF0000"/>
                <w:u w:val="single"/>
              </w:rPr>
            </w:pPr>
            <w:r>
              <w:rPr>
                <w:rFonts w:ascii="Times New Roman" w:hAnsi="Times New Roman" w:eastAsiaTheme="minorEastAsia"/>
                <w:color w:val="FF0000"/>
                <w:u w:val="single"/>
              </w:rPr>
              <w:t>在趸船上设置2台雾炮机，在码头装卸平台及输煤皮带廊内设置一套微雾抑尘系统，要求在每个转运节点设置多个喷头，并设有返尘板，降低装卸中煤炭跌落高度等措施</w:t>
            </w:r>
          </w:p>
        </w:tc>
        <w:tc>
          <w:tcPr>
            <w:tcW w:w="953" w:type="pct"/>
            <w:vAlign w:val="center"/>
          </w:tcPr>
          <w:p>
            <w:pPr>
              <w:pStyle w:val="7"/>
              <w:adjustRightInd w:val="0"/>
              <w:snapToGrid w:val="0"/>
              <w:spacing w:after="0"/>
              <w:jc w:val="center"/>
              <w:rPr>
                <w:rFonts w:ascii="Times New Roman" w:hAnsi="Times New Roman" w:eastAsiaTheme="minorEastAsia"/>
                <w:color w:val="FF0000"/>
                <w:u w:val="single"/>
              </w:rPr>
            </w:pPr>
            <w:r>
              <w:rPr>
                <w:rFonts w:ascii="Times New Roman" w:hAnsi="Times New Roman" w:eastAsiaTheme="minorEastAsia"/>
                <w:color w:val="FF0000"/>
                <w:u w:val="single"/>
              </w:rPr>
              <w:t>《大气污染物综合排放标准》（GB16297-1996）</w:t>
            </w:r>
          </w:p>
        </w:tc>
        <w:tc>
          <w:tcPr>
            <w:tcW w:w="559" w:type="pct"/>
            <w:vAlign w:val="center"/>
          </w:tcPr>
          <w:p>
            <w:pPr>
              <w:pStyle w:val="7"/>
              <w:adjustRightInd w:val="0"/>
              <w:snapToGrid w:val="0"/>
              <w:spacing w:after="0"/>
              <w:jc w:val="center"/>
              <w:rPr>
                <w:rFonts w:ascii="Times New Roman" w:hAnsi="Times New Roman" w:eastAsiaTheme="minorEastAsia"/>
                <w:color w:val="FF0000"/>
                <w:u w:val="single"/>
              </w:rPr>
            </w:pPr>
            <w:r>
              <w:rPr>
                <w:rFonts w:ascii="Times New Roman" w:hAnsi="Times New Roman" w:eastAsiaTheme="minorEastAsia"/>
                <w:color w:val="FF0000"/>
                <w:u w:val="single"/>
              </w:rPr>
              <w:t>1.0</w:t>
            </w:r>
          </w:p>
        </w:tc>
        <w:tc>
          <w:tcPr>
            <w:tcW w:w="500" w:type="pct"/>
            <w:vAlign w:val="center"/>
          </w:tcPr>
          <w:p>
            <w:pPr>
              <w:pStyle w:val="7"/>
              <w:adjustRightInd w:val="0"/>
              <w:snapToGrid w:val="0"/>
              <w:spacing w:after="0"/>
              <w:jc w:val="center"/>
              <w:rPr>
                <w:rFonts w:ascii="Times New Roman" w:hAnsi="Times New Roman" w:eastAsiaTheme="minorEastAsia"/>
                <w:color w:val="FF0000"/>
                <w:u w:val="single"/>
              </w:rPr>
            </w:pPr>
            <w:r>
              <w:rPr>
                <w:rFonts w:ascii="Times New Roman" w:hAnsi="Times New Roman" w:eastAsiaTheme="minorEastAsia"/>
                <w:color w:val="FF0000"/>
                <w:u w:val="single"/>
              </w:rPr>
              <w:t>0.644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7"/>
            <w:vAlign w:val="center"/>
          </w:tcPr>
          <w:p>
            <w:pPr>
              <w:pStyle w:val="7"/>
              <w:adjustRightInd w:val="0"/>
              <w:snapToGrid w:val="0"/>
              <w:spacing w:after="0"/>
              <w:jc w:val="center"/>
              <w:rPr>
                <w:rFonts w:ascii="Times New Roman" w:hAnsi="Times New Roman" w:eastAsiaTheme="minorEastAsia"/>
                <w:color w:val="FF0000"/>
                <w:u w:val="single"/>
              </w:rPr>
            </w:pPr>
            <w:r>
              <w:rPr>
                <w:rFonts w:ascii="Times New Roman" w:hAnsi="Times New Roman" w:eastAsiaTheme="minorEastAsia"/>
                <w:color w:val="FF0000"/>
                <w:u w:val="single"/>
              </w:rPr>
              <w:t>无组织排放总计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6" w:type="pct"/>
            <w:gridSpan w:val="2"/>
            <w:vAlign w:val="center"/>
          </w:tcPr>
          <w:p>
            <w:pPr>
              <w:pStyle w:val="7"/>
              <w:adjustRightInd w:val="0"/>
              <w:snapToGrid w:val="0"/>
              <w:spacing w:after="0"/>
              <w:jc w:val="center"/>
              <w:rPr>
                <w:rFonts w:ascii="Times New Roman" w:hAnsi="Times New Roman" w:eastAsiaTheme="minorEastAsia"/>
                <w:color w:val="FF0000"/>
                <w:u w:val="single"/>
              </w:rPr>
            </w:pPr>
            <w:r>
              <w:rPr>
                <w:rFonts w:ascii="Times New Roman" w:hAnsi="Times New Roman" w:eastAsiaTheme="minorEastAsia"/>
                <w:color w:val="FF0000"/>
                <w:u w:val="single"/>
              </w:rPr>
              <w:t>无组织排放总计</w:t>
            </w:r>
          </w:p>
        </w:tc>
        <w:tc>
          <w:tcPr>
            <w:tcW w:w="3623" w:type="pct"/>
            <w:gridSpan w:val="4"/>
            <w:vAlign w:val="center"/>
          </w:tcPr>
          <w:p>
            <w:pPr>
              <w:pStyle w:val="7"/>
              <w:adjustRightInd w:val="0"/>
              <w:snapToGrid w:val="0"/>
              <w:spacing w:after="0"/>
              <w:jc w:val="center"/>
              <w:rPr>
                <w:rFonts w:ascii="Times New Roman" w:hAnsi="Times New Roman" w:eastAsiaTheme="minorEastAsia"/>
                <w:color w:val="FF0000"/>
                <w:u w:val="single"/>
              </w:rPr>
            </w:pPr>
            <w:r>
              <w:rPr>
                <w:rFonts w:ascii="Times New Roman" w:hAnsi="Times New Roman" w:eastAsiaTheme="minorEastAsia"/>
                <w:color w:val="FF0000"/>
                <w:u w:val="single"/>
              </w:rPr>
              <w:t>TSP</w:t>
            </w:r>
          </w:p>
        </w:tc>
        <w:tc>
          <w:tcPr>
            <w:tcW w:w="500" w:type="pct"/>
            <w:vAlign w:val="center"/>
          </w:tcPr>
          <w:p>
            <w:pPr>
              <w:pStyle w:val="7"/>
              <w:adjustRightInd w:val="0"/>
              <w:snapToGrid w:val="0"/>
              <w:spacing w:after="0"/>
              <w:jc w:val="center"/>
              <w:rPr>
                <w:rFonts w:ascii="Times New Roman" w:hAnsi="Times New Roman" w:eastAsiaTheme="minorEastAsia"/>
                <w:color w:val="FF0000"/>
                <w:u w:val="single"/>
              </w:rPr>
            </w:pPr>
            <w:r>
              <w:rPr>
                <w:rFonts w:ascii="Times New Roman" w:hAnsi="Times New Roman" w:eastAsiaTheme="minorEastAsia"/>
                <w:color w:val="FF0000"/>
                <w:u w:val="single"/>
              </w:rPr>
              <w:t>0.644</w:t>
            </w:r>
          </w:p>
        </w:tc>
      </w:tr>
    </w:tbl>
    <w:p>
      <w:pPr>
        <w:pStyle w:val="691"/>
        <w:snapToGrid w:val="0"/>
        <w:spacing w:beforeLines="0" w:afterLines="0"/>
        <w:jc w:val="both"/>
        <w:rPr>
          <w:rFonts w:eastAsiaTheme="minorEastAsia"/>
          <w:color w:val="FF0000"/>
          <w:u w:val="single"/>
        </w:rPr>
      </w:pPr>
    </w:p>
    <w:p>
      <w:pPr>
        <w:pStyle w:val="691"/>
        <w:snapToGrid w:val="0"/>
        <w:spacing w:beforeLines="0" w:afterLines="0" w:line="276" w:lineRule="auto"/>
        <w:ind w:firstLine="482"/>
        <w:rPr>
          <w:rFonts w:eastAsiaTheme="minorEastAsia"/>
          <w:color w:val="FF0000"/>
          <w:u w:val="single"/>
        </w:rPr>
      </w:pPr>
      <w:r>
        <w:rPr>
          <w:rFonts w:eastAsiaTheme="minorEastAsia"/>
          <w:color w:val="FF0000"/>
          <w:u w:val="single"/>
        </w:rPr>
        <w:t>表6.3-12  大气污染物年排放量核算表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39"/>
        <w:gridCol w:w="3585"/>
        <w:gridCol w:w="45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6" w:type="pct"/>
            <w:vAlign w:val="center"/>
          </w:tcPr>
          <w:p>
            <w:pPr>
              <w:pStyle w:val="7"/>
              <w:adjustRightInd w:val="0"/>
              <w:snapToGrid w:val="0"/>
              <w:spacing w:after="0"/>
              <w:jc w:val="center"/>
              <w:rPr>
                <w:rFonts w:ascii="Times New Roman" w:hAnsi="Times New Roman" w:eastAsiaTheme="minorEastAsia"/>
                <w:b/>
                <w:color w:val="FF0000"/>
                <w:u w:val="single"/>
              </w:rPr>
            </w:pPr>
            <w:r>
              <w:rPr>
                <w:rFonts w:ascii="Times New Roman" w:hAnsi="Times New Roman" w:eastAsiaTheme="minorEastAsia"/>
                <w:b/>
                <w:color w:val="FF0000"/>
                <w:u w:val="single"/>
              </w:rPr>
              <w:t>序号</w:t>
            </w:r>
          </w:p>
        </w:tc>
        <w:tc>
          <w:tcPr>
            <w:tcW w:w="1970" w:type="pct"/>
            <w:vAlign w:val="center"/>
          </w:tcPr>
          <w:p>
            <w:pPr>
              <w:pStyle w:val="7"/>
              <w:adjustRightInd w:val="0"/>
              <w:snapToGrid w:val="0"/>
              <w:spacing w:after="0"/>
              <w:jc w:val="center"/>
              <w:rPr>
                <w:rFonts w:ascii="Times New Roman" w:hAnsi="Times New Roman" w:eastAsiaTheme="minorEastAsia"/>
                <w:b/>
                <w:color w:val="FF0000"/>
                <w:u w:val="single"/>
              </w:rPr>
            </w:pPr>
            <w:r>
              <w:rPr>
                <w:rFonts w:ascii="Times New Roman" w:hAnsi="Times New Roman" w:eastAsiaTheme="minorEastAsia"/>
                <w:b/>
                <w:color w:val="FF0000"/>
                <w:u w:val="single"/>
              </w:rPr>
              <w:t>污染物</w:t>
            </w:r>
          </w:p>
        </w:tc>
        <w:tc>
          <w:tcPr>
            <w:tcW w:w="2514" w:type="pct"/>
            <w:vAlign w:val="center"/>
          </w:tcPr>
          <w:p>
            <w:pPr>
              <w:pStyle w:val="7"/>
              <w:adjustRightInd w:val="0"/>
              <w:snapToGrid w:val="0"/>
              <w:spacing w:after="0"/>
              <w:jc w:val="center"/>
              <w:rPr>
                <w:rFonts w:ascii="Times New Roman" w:hAnsi="Times New Roman" w:eastAsiaTheme="minorEastAsia"/>
                <w:b/>
                <w:color w:val="FF0000"/>
                <w:u w:val="single"/>
              </w:rPr>
            </w:pPr>
            <w:r>
              <w:rPr>
                <w:rFonts w:ascii="Times New Roman" w:hAnsi="Times New Roman" w:eastAsiaTheme="minorEastAsia"/>
                <w:b/>
                <w:color w:val="FF0000"/>
                <w:u w:val="single"/>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6" w:type="pct"/>
            <w:vAlign w:val="center"/>
          </w:tcPr>
          <w:p>
            <w:pPr>
              <w:pStyle w:val="7"/>
              <w:adjustRightInd w:val="0"/>
              <w:snapToGrid w:val="0"/>
              <w:spacing w:after="0"/>
              <w:jc w:val="center"/>
              <w:rPr>
                <w:rFonts w:ascii="Times New Roman" w:hAnsi="Times New Roman" w:eastAsiaTheme="minorEastAsia"/>
                <w:color w:val="FF0000"/>
                <w:u w:val="single"/>
              </w:rPr>
            </w:pPr>
            <w:r>
              <w:rPr>
                <w:rFonts w:ascii="Times New Roman" w:hAnsi="Times New Roman" w:eastAsiaTheme="minorEastAsia"/>
                <w:color w:val="FF0000"/>
                <w:u w:val="single"/>
              </w:rPr>
              <w:t>1</w:t>
            </w:r>
          </w:p>
        </w:tc>
        <w:tc>
          <w:tcPr>
            <w:tcW w:w="1970" w:type="pct"/>
            <w:vAlign w:val="center"/>
          </w:tcPr>
          <w:p>
            <w:pPr>
              <w:pStyle w:val="7"/>
              <w:adjustRightInd w:val="0"/>
              <w:snapToGrid w:val="0"/>
              <w:spacing w:after="0"/>
              <w:jc w:val="center"/>
              <w:rPr>
                <w:rFonts w:ascii="Times New Roman" w:hAnsi="Times New Roman" w:eastAsiaTheme="minorEastAsia"/>
                <w:color w:val="FF0000"/>
                <w:u w:val="single"/>
              </w:rPr>
            </w:pPr>
            <w:r>
              <w:rPr>
                <w:rFonts w:ascii="Times New Roman" w:hAnsi="Times New Roman" w:eastAsiaTheme="minorEastAsia"/>
                <w:color w:val="FF0000"/>
                <w:u w:val="single"/>
              </w:rPr>
              <w:t>TSP</w:t>
            </w:r>
          </w:p>
        </w:tc>
        <w:tc>
          <w:tcPr>
            <w:tcW w:w="2514" w:type="pct"/>
            <w:vAlign w:val="center"/>
          </w:tcPr>
          <w:p>
            <w:pPr>
              <w:pStyle w:val="7"/>
              <w:adjustRightInd w:val="0"/>
              <w:snapToGrid w:val="0"/>
              <w:spacing w:after="0"/>
              <w:jc w:val="center"/>
              <w:rPr>
                <w:rFonts w:ascii="Times New Roman" w:hAnsi="Times New Roman" w:eastAsiaTheme="minorEastAsia"/>
                <w:color w:val="FF0000"/>
                <w:u w:val="single"/>
              </w:rPr>
            </w:pPr>
            <w:r>
              <w:rPr>
                <w:rFonts w:ascii="Times New Roman" w:hAnsi="Times New Roman" w:eastAsiaTheme="minorEastAsia"/>
                <w:color w:val="FF0000"/>
                <w:u w:val="single"/>
              </w:rPr>
              <w:t>0.644</w:t>
            </w:r>
          </w:p>
        </w:tc>
      </w:tr>
    </w:tbl>
    <w:p>
      <w:pPr>
        <w:pStyle w:val="7"/>
        <w:adjustRightInd w:val="0"/>
        <w:snapToGrid w:val="0"/>
        <w:spacing w:after="0" w:line="360" w:lineRule="auto"/>
        <w:ind w:firstLine="480" w:firstLineChars="200"/>
        <w:rPr>
          <w:rFonts w:ascii="Times New Roman" w:hAnsi="Times New Roman" w:eastAsiaTheme="minorEastAsia"/>
          <w:sz w:val="24"/>
          <w:szCs w:val="24"/>
        </w:rPr>
      </w:pPr>
    </w:p>
    <w:p>
      <w:pPr>
        <w:pStyle w:val="4"/>
        <w:rPr>
          <w:rFonts w:eastAsiaTheme="minorEastAsia"/>
        </w:rPr>
      </w:pPr>
      <w:r>
        <w:rPr>
          <w:rFonts w:eastAsiaTheme="minorEastAsia"/>
        </w:rPr>
        <w:t>大气防护距离</w:t>
      </w:r>
    </w:p>
    <w:p>
      <w:pPr>
        <w:pStyle w:val="7"/>
        <w:adjustRightInd w:val="0"/>
        <w:snapToGrid w:val="0"/>
        <w:spacing w:after="0"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根据《环境影响评价技术导则·大气环境》（HJ2.2-2018）第8.7.5大气环境防护距离：“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pPr>
        <w:pStyle w:val="7"/>
        <w:adjustRightInd w:val="0"/>
        <w:snapToGrid w:val="0"/>
        <w:spacing w:after="0"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根据预测并与现状叠加，厂界浓度满足大气污染物厂界浓度限值且贡献浓度未超过环境质量浓度限值，因此可不设置大气环境防护距离。</w:t>
      </w:r>
    </w:p>
    <w:p>
      <w:pPr>
        <w:pStyle w:val="4"/>
        <w:rPr>
          <w:rFonts w:eastAsiaTheme="minorEastAsia"/>
        </w:rPr>
      </w:pPr>
      <w:r>
        <w:rPr>
          <w:rFonts w:eastAsiaTheme="minorEastAsia"/>
        </w:rPr>
        <w:t>大气环境影响预测评价结论</w:t>
      </w:r>
    </w:p>
    <w:p>
      <w:pPr>
        <w:pStyle w:val="131"/>
        <w:snapToGrid w:val="0"/>
        <w:spacing w:line="360" w:lineRule="auto"/>
        <w:ind w:firstLine="480"/>
        <w:rPr>
          <w:rFonts w:eastAsiaTheme="minorEastAsia"/>
          <w:sz w:val="24"/>
          <w:szCs w:val="24"/>
        </w:rPr>
      </w:pPr>
      <w:r>
        <w:rPr>
          <w:rFonts w:hint="eastAsia" w:ascii="宋体" w:hAnsi="宋体" w:cs="宋体"/>
          <w:sz w:val="24"/>
          <w:szCs w:val="24"/>
        </w:rPr>
        <w:t>⑴</w:t>
      </w:r>
      <w:r>
        <w:rPr>
          <w:rFonts w:eastAsiaTheme="minorEastAsia"/>
          <w:sz w:val="24"/>
          <w:szCs w:val="24"/>
        </w:rPr>
        <w:t xml:space="preserve"> 经估算模式计算，正常工况下建设项目无组织排放的废气最大落地浓度未超过环境质量标准浓度的10%，厂界浓度不超标，对周围大气环境影响较小。</w:t>
      </w:r>
    </w:p>
    <w:p>
      <w:pPr>
        <w:pStyle w:val="7"/>
        <w:adjustRightInd w:val="0"/>
        <w:snapToGrid w:val="0"/>
        <w:spacing w:after="0" w:line="360" w:lineRule="auto"/>
        <w:ind w:firstLine="480" w:firstLineChars="200"/>
        <w:rPr>
          <w:rFonts w:ascii="Times New Roman" w:hAnsi="Times New Roman" w:eastAsiaTheme="minorEastAsia"/>
          <w:kern w:val="0"/>
          <w:sz w:val="24"/>
          <w:szCs w:val="24"/>
        </w:rPr>
      </w:pPr>
      <w:r>
        <w:rPr>
          <w:rFonts w:hint="eastAsia" w:ascii="宋体" w:hAnsi="宋体" w:cs="宋体"/>
          <w:sz w:val="24"/>
          <w:szCs w:val="24"/>
        </w:rPr>
        <w:t>⑵</w:t>
      </w:r>
      <w:r>
        <w:rPr>
          <w:rFonts w:ascii="Times New Roman" w:hAnsi="Times New Roman"/>
          <w:sz w:val="24"/>
          <w:szCs w:val="24"/>
        </w:rPr>
        <w:t xml:space="preserve"> </w:t>
      </w:r>
      <w:r>
        <w:rPr>
          <w:rFonts w:ascii="Times New Roman" w:hAnsi="Times New Roman" w:eastAsiaTheme="minorEastAsia"/>
          <w:sz w:val="24"/>
          <w:szCs w:val="24"/>
        </w:rPr>
        <w:t>无组织排放的TSP最大落地浓度为18.6620μg/m</w:t>
      </w:r>
      <w:r>
        <w:rPr>
          <w:rFonts w:ascii="Times New Roman" w:hAnsi="Times New Roman" w:eastAsiaTheme="minorEastAsia"/>
          <w:sz w:val="24"/>
          <w:szCs w:val="24"/>
          <w:vertAlign w:val="superscript"/>
        </w:rPr>
        <w:t>3</w:t>
      </w:r>
      <w:r>
        <w:rPr>
          <w:rFonts w:ascii="Times New Roman" w:hAnsi="Times New Roman" w:eastAsiaTheme="minorEastAsia"/>
          <w:sz w:val="24"/>
          <w:szCs w:val="24"/>
        </w:rPr>
        <w:t>，对应的最大占标率为2.07%，</w:t>
      </w:r>
      <w:r>
        <w:rPr>
          <w:rFonts w:ascii="Times New Roman" w:hAnsi="Times New Roman" w:eastAsiaTheme="minorEastAsia"/>
          <w:kern w:val="0"/>
          <w:sz w:val="24"/>
          <w:szCs w:val="24"/>
        </w:rPr>
        <w:t>超过1%不超过10%，满足《环境影响评价技术导则大气环境》（HJ2.2-2018）附录D中相应限值要求。</w:t>
      </w:r>
    </w:p>
    <w:p>
      <w:pPr>
        <w:pStyle w:val="7"/>
        <w:adjustRightInd w:val="0"/>
        <w:snapToGrid w:val="0"/>
        <w:spacing w:after="0"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评价结果表明，项目所采取的废气治理措施合理可行，正常工况下排放的大气污染物均能得到有效治理，能够做到达标排放，对周围地区空气质量影响不明显，不会改变评价范围内的大气环境功能，不会对评价范围内的保护目标造成明显不利影响。</w:t>
      </w:r>
    </w:p>
    <w:p>
      <w:pPr>
        <w:pStyle w:val="3"/>
        <w:rPr>
          <w:rFonts w:ascii="Times New Roman" w:hAnsi="Times New Roman" w:eastAsiaTheme="minorEastAsia"/>
          <w:b/>
        </w:rPr>
      </w:pPr>
      <w:bookmarkStart w:id="141" w:name="_Toc1071"/>
      <w:r>
        <w:rPr>
          <w:rFonts w:ascii="Times New Roman" w:hAnsi="Times New Roman" w:eastAsiaTheme="minorEastAsia"/>
          <w:b/>
        </w:rPr>
        <w:t>声环境影响评价</w:t>
      </w:r>
      <w:bookmarkEnd w:id="141"/>
    </w:p>
    <w:p>
      <w:pPr>
        <w:pStyle w:val="4"/>
        <w:rPr>
          <w:rFonts w:eastAsiaTheme="minorEastAsia"/>
          <w:szCs w:val="24"/>
        </w:rPr>
      </w:pPr>
      <w:r>
        <w:rPr>
          <w:rFonts w:eastAsiaTheme="minorEastAsia"/>
        </w:rPr>
        <w:t>施工期声环境影响分析</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工程施工期噪声主要是打桩噪声、搅拌机、电锯、吊车等机械噪声，以及施工船舶噪声，推土机、挖掘机、装载机等半流动性施工机械噪声等。典型施工机械噪声源强见表6.4-1。</w:t>
      </w:r>
    </w:p>
    <w:p>
      <w:pPr>
        <w:wordWrap w:val="0"/>
        <w:adjustRightInd w:val="0"/>
        <w:snapToGrid w:val="0"/>
        <w:spacing w:line="276" w:lineRule="auto"/>
        <w:jc w:val="right"/>
        <w:rPr>
          <w:rFonts w:ascii="Times New Roman" w:hAnsi="Times New Roman" w:eastAsiaTheme="minorEastAsia"/>
          <w:b/>
          <w:sz w:val="24"/>
          <w:szCs w:val="24"/>
        </w:rPr>
      </w:pPr>
      <w:r>
        <w:rPr>
          <w:rFonts w:ascii="Times New Roman" w:hAnsi="Times New Roman" w:eastAsiaTheme="minorEastAsia"/>
          <w:b/>
          <w:sz w:val="24"/>
          <w:szCs w:val="24"/>
        </w:rPr>
        <w:t xml:space="preserve">表6.4-1  典型施工机械噪声源强        </w:t>
      </w:r>
      <w:r>
        <w:rPr>
          <w:rFonts w:ascii="Times New Roman" w:hAnsi="Times New Roman" w:eastAsiaTheme="minorEastAsia"/>
          <w:sz w:val="24"/>
          <w:szCs w:val="24"/>
        </w:rPr>
        <w:t xml:space="preserve"> 单位：dB(A)</w:t>
      </w:r>
    </w:p>
    <w:tbl>
      <w:tblPr>
        <w:tblStyle w:val="7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2"/>
        <w:gridCol w:w="23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噪声源</w:t>
            </w:r>
          </w:p>
        </w:tc>
        <w:tc>
          <w:tcPr>
            <w:tcW w:w="1250"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源强</w:t>
            </w:r>
          </w:p>
        </w:tc>
        <w:tc>
          <w:tcPr>
            <w:tcW w:w="1250"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噪声源</w:t>
            </w:r>
          </w:p>
        </w:tc>
        <w:tc>
          <w:tcPr>
            <w:tcW w:w="1250"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源强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打桩机</w:t>
            </w:r>
          </w:p>
        </w:tc>
        <w:tc>
          <w:tcPr>
            <w:tcW w:w="125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105</w:t>
            </w:r>
          </w:p>
        </w:tc>
        <w:tc>
          <w:tcPr>
            <w:tcW w:w="125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施工船舶</w:t>
            </w:r>
          </w:p>
        </w:tc>
        <w:tc>
          <w:tcPr>
            <w:tcW w:w="125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搅拌机</w:t>
            </w:r>
          </w:p>
        </w:tc>
        <w:tc>
          <w:tcPr>
            <w:tcW w:w="125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90</w:t>
            </w:r>
          </w:p>
        </w:tc>
        <w:tc>
          <w:tcPr>
            <w:tcW w:w="125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推土机</w:t>
            </w:r>
          </w:p>
        </w:tc>
        <w:tc>
          <w:tcPr>
            <w:tcW w:w="125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电锯</w:t>
            </w:r>
          </w:p>
        </w:tc>
        <w:tc>
          <w:tcPr>
            <w:tcW w:w="125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110</w:t>
            </w:r>
          </w:p>
        </w:tc>
        <w:tc>
          <w:tcPr>
            <w:tcW w:w="125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挖掘机</w:t>
            </w:r>
          </w:p>
        </w:tc>
        <w:tc>
          <w:tcPr>
            <w:tcW w:w="125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吊车</w:t>
            </w:r>
          </w:p>
        </w:tc>
        <w:tc>
          <w:tcPr>
            <w:tcW w:w="125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80</w:t>
            </w:r>
          </w:p>
        </w:tc>
        <w:tc>
          <w:tcPr>
            <w:tcW w:w="125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装载机</w:t>
            </w:r>
          </w:p>
        </w:tc>
        <w:tc>
          <w:tcPr>
            <w:tcW w:w="125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80</w:t>
            </w:r>
          </w:p>
        </w:tc>
      </w:tr>
    </w:tbl>
    <w:p>
      <w:pPr>
        <w:adjustRightInd w:val="0"/>
        <w:snapToGrid w:val="0"/>
        <w:spacing w:line="360" w:lineRule="auto"/>
        <w:ind w:firstLine="482"/>
        <w:rPr>
          <w:rFonts w:ascii="Times New Roman" w:hAnsi="Times New Roman" w:eastAsiaTheme="minorEastAsia"/>
          <w:sz w:val="24"/>
          <w:szCs w:val="24"/>
        </w:rPr>
      </w:pP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施工期噪声源近似视为点声源，按点声源计算施工机械噪声的距离衰减公式见下式。</w:t>
      </w:r>
    </w:p>
    <w:p>
      <w:pPr>
        <w:adjustRightInd w:val="0"/>
        <w:snapToGrid w:val="0"/>
        <w:spacing w:line="360" w:lineRule="auto"/>
        <w:ind w:firstLine="482"/>
        <w:jc w:val="center"/>
        <w:rPr>
          <w:rFonts w:ascii="Times New Roman" w:hAnsi="Times New Roman" w:eastAsiaTheme="minorEastAsia"/>
          <w:sz w:val="24"/>
          <w:szCs w:val="24"/>
        </w:rPr>
      </w:pPr>
      <w:r>
        <w:rPr>
          <w:rFonts w:ascii="Times New Roman" w:hAnsi="Times New Roman" w:eastAsiaTheme="minorEastAsia"/>
        </w:rPr>
        <w:drawing>
          <wp:inline distT="0" distB="0" distL="0" distR="0">
            <wp:extent cx="1628140" cy="38036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7"/>
                    <a:stretch>
                      <a:fillRect/>
                    </a:stretch>
                  </pic:blipFill>
                  <pic:spPr>
                    <a:xfrm>
                      <a:off x="0" y="0"/>
                      <a:ext cx="1628571" cy="380952"/>
                    </a:xfrm>
                    <a:prstGeom prst="rect">
                      <a:avLst/>
                    </a:prstGeom>
                  </pic:spPr>
                </pic:pic>
              </a:graphicData>
            </a:graphic>
          </wp:inline>
        </w:drawing>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式中：Lpo——参考位置r</w:t>
      </w:r>
      <w:r>
        <w:rPr>
          <w:rFonts w:ascii="Times New Roman" w:hAnsi="Times New Roman" w:eastAsiaTheme="minorEastAsia"/>
          <w:sz w:val="24"/>
          <w:szCs w:val="24"/>
          <w:vertAlign w:val="subscript"/>
        </w:rPr>
        <w:t>0</w:t>
      </w:r>
      <w:r>
        <w:rPr>
          <w:rFonts w:ascii="Times New Roman" w:hAnsi="Times New Roman" w:eastAsiaTheme="minorEastAsia"/>
          <w:sz w:val="24"/>
          <w:szCs w:val="24"/>
        </w:rPr>
        <w:t>处的声级（dB(A)）；</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R——预测点处与点声源之 间的距离（m）；</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r</w:t>
      </w:r>
      <w:r>
        <w:rPr>
          <w:rFonts w:ascii="Times New Roman" w:hAnsi="Times New Roman" w:eastAsiaTheme="minorEastAsia"/>
          <w:sz w:val="24"/>
          <w:szCs w:val="24"/>
          <w:vertAlign w:val="subscript"/>
        </w:rPr>
        <w:t>0</w:t>
      </w:r>
      <w:r>
        <w:rPr>
          <w:rFonts w:ascii="Times New Roman" w:hAnsi="Times New Roman" w:eastAsiaTheme="minorEastAsia"/>
          <w:sz w:val="24"/>
          <w:szCs w:val="24"/>
        </w:rPr>
        <w:t>——参考点与点声源之间的距离（m）；</w:t>
      </w:r>
    </w:p>
    <w:p>
      <w:pPr>
        <w:adjustRightInd w:val="0"/>
        <w:snapToGrid w:val="0"/>
        <w:spacing w:line="360" w:lineRule="auto"/>
        <w:ind w:firstLine="1200" w:firstLineChars="500"/>
        <w:rPr>
          <w:rFonts w:ascii="Times New Roman" w:hAnsi="Times New Roman" w:eastAsiaTheme="minorEastAsia"/>
          <w:sz w:val="24"/>
          <w:szCs w:val="24"/>
        </w:rPr>
      </w:pPr>
      <w:r>
        <w:rPr>
          <w:rFonts w:hint="eastAsia" w:ascii="宋体" w:hAnsi="宋体" w:cs="宋体"/>
          <w:sz w:val="24"/>
          <w:szCs w:val="24"/>
          <w:vertAlign w:val="subscript"/>
        </w:rPr>
        <w:t>△</w:t>
      </w:r>
      <w:r>
        <w:rPr>
          <w:rFonts w:ascii="Times New Roman" w:hAnsi="Times New Roman" w:eastAsiaTheme="minorEastAsia"/>
          <w:sz w:val="24"/>
          <w:szCs w:val="24"/>
        </w:rPr>
        <w:t>l——附加衰减量（dB(A)）。</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根据各种施工机械的源强预测结果见表6.4-2。</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表6.4-2  施工期噪声预测结果</w:t>
      </w:r>
    </w:p>
    <w:tbl>
      <w:tblPr>
        <w:tblStyle w:val="7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1010"/>
        <w:gridCol w:w="1010"/>
        <w:gridCol w:w="1012"/>
        <w:gridCol w:w="1012"/>
        <w:gridCol w:w="1012"/>
        <w:gridCol w:w="1012"/>
        <w:gridCol w:w="1012"/>
        <w:gridCol w:w="10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5" w:type="pct"/>
            <w:vMerge w:val="restart"/>
            <w:tcMar>
              <w:left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施工阶段</w:t>
            </w:r>
          </w:p>
        </w:tc>
        <w:tc>
          <w:tcPr>
            <w:tcW w:w="555" w:type="pct"/>
            <w:vMerge w:val="restart"/>
            <w:tcMar>
              <w:left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施工机械</w:t>
            </w:r>
          </w:p>
        </w:tc>
        <w:tc>
          <w:tcPr>
            <w:tcW w:w="2779" w:type="pct"/>
            <w:gridSpan w:val="5"/>
            <w:tcMar>
              <w:left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距机械Xm处噪声值dB(A)</w:t>
            </w:r>
          </w:p>
        </w:tc>
        <w:tc>
          <w:tcPr>
            <w:tcW w:w="1112" w:type="pct"/>
            <w:gridSpan w:val="2"/>
            <w:tcMar>
              <w:left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噪声限值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5" w:type="pct"/>
            <w:vMerge w:val="continue"/>
            <w:tcMar>
              <w:left w:w="0" w:type="dxa"/>
              <w:right w:w="0" w:type="dxa"/>
            </w:tcMar>
            <w:vAlign w:val="center"/>
          </w:tcPr>
          <w:p>
            <w:pPr>
              <w:adjustRightInd w:val="0"/>
              <w:snapToGrid w:val="0"/>
              <w:jc w:val="center"/>
              <w:rPr>
                <w:rFonts w:ascii="Times New Roman" w:hAnsi="Times New Roman" w:eastAsiaTheme="minorEastAsia"/>
                <w:b/>
              </w:rPr>
            </w:pPr>
          </w:p>
        </w:tc>
        <w:tc>
          <w:tcPr>
            <w:tcW w:w="555" w:type="pct"/>
            <w:vMerge w:val="continue"/>
            <w:tcMar>
              <w:left w:w="0" w:type="dxa"/>
              <w:right w:w="0" w:type="dxa"/>
            </w:tcMar>
            <w:vAlign w:val="center"/>
          </w:tcPr>
          <w:p>
            <w:pPr>
              <w:adjustRightInd w:val="0"/>
              <w:snapToGrid w:val="0"/>
              <w:jc w:val="center"/>
              <w:rPr>
                <w:rFonts w:ascii="Times New Roman" w:hAnsi="Times New Roman" w:eastAsiaTheme="minorEastAsia"/>
                <w:b/>
              </w:rPr>
            </w:pPr>
          </w:p>
        </w:tc>
        <w:tc>
          <w:tcPr>
            <w:tcW w:w="555" w:type="pct"/>
            <w:tcMar>
              <w:left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10</w:t>
            </w:r>
          </w:p>
        </w:tc>
        <w:tc>
          <w:tcPr>
            <w:tcW w:w="556" w:type="pct"/>
            <w:tcMar>
              <w:left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20</w:t>
            </w:r>
          </w:p>
        </w:tc>
        <w:tc>
          <w:tcPr>
            <w:tcW w:w="556" w:type="pct"/>
            <w:tcMar>
              <w:left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30</w:t>
            </w:r>
          </w:p>
        </w:tc>
        <w:tc>
          <w:tcPr>
            <w:tcW w:w="556" w:type="pct"/>
            <w:tcMar>
              <w:left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50</w:t>
            </w:r>
          </w:p>
        </w:tc>
        <w:tc>
          <w:tcPr>
            <w:tcW w:w="556" w:type="pct"/>
            <w:tcMar>
              <w:left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100</w:t>
            </w:r>
          </w:p>
        </w:tc>
        <w:tc>
          <w:tcPr>
            <w:tcW w:w="556" w:type="pct"/>
            <w:tcMar>
              <w:left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昼间</w:t>
            </w:r>
          </w:p>
        </w:tc>
        <w:tc>
          <w:tcPr>
            <w:tcW w:w="556" w:type="pct"/>
            <w:tcMar>
              <w:left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5" w:type="pct"/>
            <w:vMerge w:val="restar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土石方</w:t>
            </w:r>
          </w:p>
        </w:tc>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推土机</w:t>
            </w:r>
          </w:p>
        </w:tc>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72</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66</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62</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58</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52</w:t>
            </w:r>
          </w:p>
        </w:tc>
        <w:tc>
          <w:tcPr>
            <w:tcW w:w="556" w:type="pct"/>
            <w:vMerge w:val="restar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70</w:t>
            </w:r>
          </w:p>
        </w:tc>
        <w:tc>
          <w:tcPr>
            <w:tcW w:w="556" w:type="pct"/>
            <w:vMerge w:val="restar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5" w:type="pct"/>
            <w:vMerge w:val="continue"/>
            <w:tcMar>
              <w:left w:w="0" w:type="dxa"/>
              <w:right w:w="0" w:type="dxa"/>
            </w:tcMar>
            <w:vAlign w:val="center"/>
          </w:tcPr>
          <w:p>
            <w:pPr>
              <w:adjustRightInd w:val="0"/>
              <w:snapToGrid w:val="0"/>
              <w:jc w:val="center"/>
              <w:rPr>
                <w:rFonts w:ascii="Times New Roman" w:hAnsi="Times New Roman" w:eastAsiaTheme="minorEastAsia"/>
              </w:rPr>
            </w:pPr>
          </w:p>
        </w:tc>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挖掘机</w:t>
            </w:r>
          </w:p>
        </w:tc>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59</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53</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49</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45</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39</w:t>
            </w:r>
          </w:p>
        </w:tc>
        <w:tc>
          <w:tcPr>
            <w:tcW w:w="556" w:type="pct"/>
            <w:vMerge w:val="continue"/>
            <w:tcMar>
              <w:left w:w="0" w:type="dxa"/>
              <w:right w:w="0" w:type="dxa"/>
            </w:tcMar>
            <w:vAlign w:val="center"/>
          </w:tcPr>
          <w:p>
            <w:pPr>
              <w:adjustRightInd w:val="0"/>
              <w:snapToGrid w:val="0"/>
              <w:jc w:val="center"/>
              <w:rPr>
                <w:rFonts w:ascii="Times New Roman" w:hAnsi="Times New Roman" w:eastAsiaTheme="minorEastAsia"/>
              </w:rPr>
            </w:pPr>
          </w:p>
        </w:tc>
        <w:tc>
          <w:tcPr>
            <w:tcW w:w="556" w:type="pct"/>
            <w:vMerge w:val="continue"/>
            <w:tcMar>
              <w:left w:w="0" w:type="dxa"/>
              <w:right w:w="0" w:type="dxa"/>
            </w:tcMar>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5" w:type="pct"/>
            <w:vMerge w:val="continue"/>
            <w:tcMar>
              <w:left w:w="0" w:type="dxa"/>
              <w:right w:w="0" w:type="dxa"/>
            </w:tcMar>
            <w:vAlign w:val="center"/>
          </w:tcPr>
          <w:p>
            <w:pPr>
              <w:adjustRightInd w:val="0"/>
              <w:snapToGrid w:val="0"/>
              <w:jc w:val="center"/>
              <w:rPr>
                <w:rFonts w:ascii="Times New Roman" w:hAnsi="Times New Roman" w:eastAsiaTheme="minorEastAsia"/>
              </w:rPr>
            </w:pPr>
          </w:p>
        </w:tc>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装载机</w:t>
            </w:r>
          </w:p>
        </w:tc>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60</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54</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50</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46</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40</w:t>
            </w:r>
          </w:p>
        </w:tc>
        <w:tc>
          <w:tcPr>
            <w:tcW w:w="556" w:type="pct"/>
            <w:vMerge w:val="continue"/>
            <w:tcMar>
              <w:left w:w="0" w:type="dxa"/>
              <w:right w:w="0" w:type="dxa"/>
            </w:tcMar>
            <w:vAlign w:val="center"/>
          </w:tcPr>
          <w:p>
            <w:pPr>
              <w:adjustRightInd w:val="0"/>
              <w:snapToGrid w:val="0"/>
              <w:jc w:val="center"/>
              <w:rPr>
                <w:rFonts w:ascii="Times New Roman" w:hAnsi="Times New Roman" w:eastAsiaTheme="minorEastAsia"/>
              </w:rPr>
            </w:pPr>
          </w:p>
        </w:tc>
        <w:tc>
          <w:tcPr>
            <w:tcW w:w="556" w:type="pct"/>
            <w:vMerge w:val="continue"/>
            <w:tcMar>
              <w:left w:w="0" w:type="dxa"/>
              <w:right w:w="0" w:type="dxa"/>
            </w:tcMar>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5" w:type="pct"/>
            <w:vMerge w:val="continue"/>
            <w:tcMar>
              <w:left w:w="0" w:type="dxa"/>
              <w:right w:w="0" w:type="dxa"/>
            </w:tcMar>
            <w:vAlign w:val="center"/>
          </w:tcPr>
          <w:p>
            <w:pPr>
              <w:adjustRightInd w:val="0"/>
              <w:snapToGrid w:val="0"/>
              <w:jc w:val="center"/>
              <w:rPr>
                <w:rFonts w:ascii="Times New Roman" w:hAnsi="Times New Roman" w:eastAsiaTheme="minorEastAsia"/>
              </w:rPr>
            </w:pPr>
          </w:p>
        </w:tc>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施工船舶</w:t>
            </w:r>
          </w:p>
        </w:tc>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65</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59</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55</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51</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45</w:t>
            </w:r>
          </w:p>
        </w:tc>
        <w:tc>
          <w:tcPr>
            <w:tcW w:w="556" w:type="pct"/>
            <w:vMerge w:val="continue"/>
            <w:tcMar>
              <w:left w:w="0" w:type="dxa"/>
              <w:right w:w="0" w:type="dxa"/>
            </w:tcMar>
            <w:vAlign w:val="center"/>
          </w:tcPr>
          <w:p>
            <w:pPr>
              <w:adjustRightInd w:val="0"/>
              <w:snapToGrid w:val="0"/>
              <w:jc w:val="center"/>
              <w:rPr>
                <w:rFonts w:ascii="Times New Roman" w:hAnsi="Times New Roman" w:eastAsiaTheme="minorEastAsia"/>
              </w:rPr>
            </w:pPr>
          </w:p>
        </w:tc>
        <w:tc>
          <w:tcPr>
            <w:tcW w:w="556" w:type="pct"/>
            <w:vMerge w:val="continue"/>
            <w:tcMar>
              <w:left w:w="0" w:type="dxa"/>
              <w:right w:w="0" w:type="dxa"/>
            </w:tcMar>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打桩</w:t>
            </w:r>
          </w:p>
        </w:tc>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打桩机.</w:t>
            </w:r>
          </w:p>
        </w:tc>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85</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79</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75</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71</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65</w:t>
            </w:r>
          </w:p>
        </w:tc>
        <w:tc>
          <w:tcPr>
            <w:tcW w:w="556" w:type="pct"/>
            <w:vMerge w:val="continue"/>
            <w:tcMar>
              <w:left w:w="0" w:type="dxa"/>
              <w:right w:w="0" w:type="dxa"/>
            </w:tcMar>
            <w:vAlign w:val="center"/>
          </w:tcPr>
          <w:p>
            <w:pPr>
              <w:adjustRightInd w:val="0"/>
              <w:snapToGrid w:val="0"/>
              <w:jc w:val="center"/>
              <w:rPr>
                <w:rFonts w:ascii="Times New Roman" w:hAnsi="Times New Roman" w:eastAsiaTheme="minorEastAsia"/>
              </w:rPr>
            </w:pPr>
          </w:p>
        </w:tc>
        <w:tc>
          <w:tcPr>
            <w:tcW w:w="556" w:type="pct"/>
            <w:vMerge w:val="continue"/>
            <w:tcMar>
              <w:left w:w="0" w:type="dxa"/>
              <w:right w:w="0" w:type="dxa"/>
            </w:tcMar>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5" w:type="pct"/>
            <w:vMerge w:val="restar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结构</w:t>
            </w:r>
          </w:p>
        </w:tc>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混凝土搅拌机</w:t>
            </w:r>
          </w:p>
        </w:tc>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70</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84</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60</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56</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50</w:t>
            </w:r>
          </w:p>
        </w:tc>
        <w:tc>
          <w:tcPr>
            <w:tcW w:w="556" w:type="pct"/>
            <w:vMerge w:val="continue"/>
            <w:tcMar>
              <w:left w:w="0" w:type="dxa"/>
              <w:right w:w="0" w:type="dxa"/>
            </w:tcMar>
            <w:vAlign w:val="center"/>
          </w:tcPr>
          <w:p>
            <w:pPr>
              <w:adjustRightInd w:val="0"/>
              <w:snapToGrid w:val="0"/>
              <w:jc w:val="center"/>
              <w:rPr>
                <w:rFonts w:ascii="Times New Roman" w:hAnsi="Times New Roman" w:eastAsiaTheme="minorEastAsia"/>
              </w:rPr>
            </w:pPr>
          </w:p>
        </w:tc>
        <w:tc>
          <w:tcPr>
            <w:tcW w:w="556" w:type="pct"/>
            <w:vMerge w:val="continue"/>
            <w:tcMar>
              <w:left w:w="0" w:type="dxa"/>
              <w:right w:w="0" w:type="dxa"/>
            </w:tcMar>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5" w:type="pct"/>
            <w:vMerge w:val="continue"/>
            <w:tcMar>
              <w:left w:w="0" w:type="dxa"/>
              <w:right w:w="0" w:type="dxa"/>
            </w:tcMar>
            <w:vAlign w:val="center"/>
          </w:tcPr>
          <w:p>
            <w:pPr>
              <w:adjustRightInd w:val="0"/>
              <w:snapToGrid w:val="0"/>
              <w:jc w:val="center"/>
              <w:rPr>
                <w:rFonts w:ascii="Times New Roman" w:hAnsi="Times New Roman" w:eastAsiaTheme="minorEastAsia"/>
              </w:rPr>
            </w:pPr>
          </w:p>
        </w:tc>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电锯</w:t>
            </w:r>
          </w:p>
        </w:tc>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90</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54</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80</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76</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70</w:t>
            </w:r>
          </w:p>
        </w:tc>
        <w:tc>
          <w:tcPr>
            <w:tcW w:w="556" w:type="pct"/>
            <w:vMerge w:val="continue"/>
            <w:tcMar>
              <w:left w:w="0" w:type="dxa"/>
              <w:right w:w="0" w:type="dxa"/>
            </w:tcMar>
            <w:vAlign w:val="center"/>
          </w:tcPr>
          <w:p>
            <w:pPr>
              <w:adjustRightInd w:val="0"/>
              <w:snapToGrid w:val="0"/>
              <w:jc w:val="center"/>
              <w:rPr>
                <w:rFonts w:ascii="Times New Roman" w:hAnsi="Times New Roman" w:eastAsiaTheme="minorEastAsia"/>
              </w:rPr>
            </w:pPr>
          </w:p>
        </w:tc>
        <w:tc>
          <w:tcPr>
            <w:tcW w:w="556" w:type="pct"/>
            <w:vMerge w:val="continue"/>
            <w:tcMar>
              <w:left w:w="0" w:type="dxa"/>
              <w:right w:w="0" w:type="dxa"/>
            </w:tcMar>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设备安装</w:t>
            </w:r>
          </w:p>
        </w:tc>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吊车</w:t>
            </w:r>
          </w:p>
        </w:tc>
        <w:tc>
          <w:tcPr>
            <w:tcW w:w="555"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60</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66</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50</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46</w:t>
            </w:r>
          </w:p>
        </w:tc>
        <w:tc>
          <w:tcPr>
            <w:tcW w:w="556" w:type="pct"/>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40</w:t>
            </w:r>
          </w:p>
        </w:tc>
        <w:tc>
          <w:tcPr>
            <w:tcW w:w="556" w:type="pct"/>
            <w:vMerge w:val="continue"/>
            <w:tcMar>
              <w:left w:w="0" w:type="dxa"/>
              <w:right w:w="0" w:type="dxa"/>
            </w:tcMar>
            <w:vAlign w:val="center"/>
          </w:tcPr>
          <w:p>
            <w:pPr>
              <w:adjustRightInd w:val="0"/>
              <w:snapToGrid w:val="0"/>
              <w:jc w:val="center"/>
              <w:rPr>
                <w:rFonts w:ascii="Times New Roman" w:hAnsi="Times New Roman" w:eastAsiaTheme="minorEastAsia"/>
              </w:rPr>
            </w:pPr>
          </w:p>
        </w:tc>
        <w:tc>
          <w:tcPr>
            <w:tcW w:w="556" w:type="pct"/>
            <w:vMerge w:val="continue"/>
            <w:tcMar>
              <w:left w:w="0" w:type="dxa"/>
              <w:right w:w="0" w:type="dxa"/>
            </w:tcMar>
            <w:vAlign w:val="center"/>
          </w:tcPr>
          <w:p>
            <w:pPr>
              <w:adjustRightInd w:val="0"/>
              <w:snapToGrid w:val="0"/>
              <w:jc w:val="center"/>
              <w:rPr>
                <w:rFonts w:ascii="Times New Roman" w:hAnsi="Times New Roman" w:eastAsiaTheme="minorEastAsia"/>
              </w:rPr>
            </w:pPr>
          </w:p>
        </w:tc>
      </w:tr>
    </w:tbl>
    <w:p>
      <w:pPr>
        <w:adjustRightInd w:val="0"/>
        <w:snapToGrid w:val="0"/>
        <w:spacing w:line="360" w:lineRule="auto"/>
        <w:ind w:firstLine="482"/>
        <w:rPr>
          <w:rFonts w:ascii="Times New Roman" w:hAnsi="Times New Roman" w:eastAsiaTheme="minorEastAsia"/>
          <w:sz w:val="24"/>
          <w:szCs w:val="24"/>
        </w:rPr>
      </w:pP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从表6.4-2可以知，除打桩机和结构阶段的电锯噪声外，施工机械距离场界30m时，昼间场界可以达标，施工机械距离场界100m时，夜间场界可以达标。由于施工现场往往是各种机械同时作业，噪声经过叠加会有所增加。</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项目拟建地周围200m范围内无居民点等敏感点，施工噪声不会产生扰民现象。为了减轻施工噪声对周围环境的影响，建议采取以下措施：</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sz w:val="24"/>
          <w:szCs w:val="24"/>
        </w:rPr>
        <w:t xml:space="preserve"> </w:t>
      </w:r>
      <w:r>
        <w:rPr>
          <w:rFonts w:ascii="Times New Roman" w:hAnsi="Times New Roman" w:eastAsiaTheme="minorEastAsia"/>
          <w:sz w:val="24"/>
          <w:szCs w:val="24"/>
        </w:rPr>
        <w:t>加强施工管理，合理安排施工作业时间，严格按照施工噪声管理的有关规定执行；</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sz w:val="24"/>
          <w:szCs w:val="24"/>
        </w:rPr>
        <w:t xml:space="preserve"> </w:t>
      </w:r>
      <w:r>
        <w:rPr>
          <w:rFonts w:ascii="Times New Roman" w:hAnsi="Times New Roman" w:eastAsiaTheme="minorEastAsia"/>
          <w:sz w:val="24"/>
          <w:szCs w:val="24"/>
        </w:rPr>
        <w:t>尽量采用低噪声的施工工具，如以液压工具代替气压工具，同时尽可能采用施工噪声低的施工方法；</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⑶</w:t>
      </w:r>
      <w:r>
        <w:rPr>
          <w:rFonts w:ascii="Times New Roman" w:hAnsi="Times New Roman"/>
          <w:sz w:val="24"/>
          <w:szCs w:val="24"/>
        </w:rPr>
        <w:t xml:space="preserve"> </w:t>
      </w:r>
      <w:r>
        <w:rPr>
          <w:rFonts w:ascii="Times New Roman" w:hAnsi="Times New Roman" w:eastAsiaTheme="minorEastAsia"/>
          <w:sz w:val="24"/>
          <w:szCs w:val="24"/>
        </w:rPr>
        <w:t>在高噪声设备周围设置掩蔽物；</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⑷</w:t>
      </w:r>
      <w:r>
        <w:rPr>
          <w:rFonts w:ascii="Times New Roman" w:hAnsi="Times New Roman"/>
          <w:sz w:val="24"/>
          <w:szCs w:val="24"/>
        </w:rPr>
        <w:t xml:space="preserve"> </w:t>
      </w:r>
      <w:r>
        <w:rPr>
          <w:rFonts w:ascii="Times New Roman" w:hAnsi="Times New Roman" w:eastAsiaTheme="minorEastAsia"/>
          <w:sz w:val="24"/>
          <w:szCs w:val="24"/>
        </w:rPr>
        <w:t>混凝土需要连续浇灌作业前，应做好各项准备工作，将搅拌机运行时间压到最低限度。</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除上述施工机械产生的噪声外，施工过程中各种运输车辆的运行，还将会引起公路沿线噪声级的增加。因此，应加强对运输车辆的管理，尽量压缩工区汽车数量和行车密度，控制汽车鸣笛。设备安装调试尽量在白天进行。随着施工结束，施工噪声污染也将随之消除。</w:t>
      </w:r>
    </w:p>
    <w:p>
      <w:pPr>
        <w:pStyle w:val="4"/>
        <w:rPr>
          <w:rFonts w:eastAsiaTheme="minorEastAsia"/>
        </w:rPr>
      </w:pPr>
      <w:r>
        <w:rPr>
          <w:rFonts w:eastAsiaTheme="minorEastAsia"/>
        </w:rPr>
        <w:t>营运期声环境影响分析</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本项目噪声源主要来自于船舶自载泵、船舶发动机及船舶鸣笛，其中船舶发动机噪声、船舶鸣笛噪声为偶发噪声。通过选用低噪声设备，对船舶自载泵基础采取防振措施，加强对进出港区船舶管理，降噪量可达5~20dB (A)。具体见表6.4-3。</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表6.4-3  主要噪声设施一览表</w:t>
      </w:r>
    </w:p>
    <w:tbl>
      <w:tblPr>
        <w:tblStyle w:val="7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163"/>
        <w:gridCol w:w="1018"/>
        <w:gridCol w:w="1018"/>
        <w:gridCol w:w="726"/>
        <w:gridCol w:w="2178"/>
        <w:gridCol w:w="1300"/>
        <w:gridCol w:w="11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9"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序号</w:t>
            </w:r>
          </w:p>
        </w:tc>
        <w:tc>
          <w:tcPr>
            <w:tcW w:w="626"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设备名称</w:t>
            </w:r>
          </w:p>
        </w:tc>
        <w:tc>
          <w:tcPr>
            <w:tcW w:w="548"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声源</w:t>
            </w:r>
          </w:p>
          <w:p>
            <w:pPr>
              <w:adjustRightInd w:val="0"/>
              <w:snapToGrid w:val="0"/>
              <w:jc w:val="center"/>
              <w:rPr>
                <w:rFonts w:ascii="Times New Roman" w:hAnsi="Times New Roman" w:eastAsiaTheme="minorEastAsia"/>
                <w:b/>
              </w:rPr>
            </w:pPr>
            <w:r>
              <w:rPr>
                <w:rFonts w:ascii="Times New Roman" w:hAnsi="Times New Roman" w:eastAsiaTheme="minorEastAsia"/>
                <w:b/>
              </w:rPr>
              <w:t>类型</w:t>
            </w:r>
          </w:p>
        </w:tc>
        <w:tc>
          <w:tcPr>
            <w:tcW w:w="548"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噪声级dB (A)</w:t>
            </w:r>
          </w:p>
        </w:tc>
        <w:tc>
          <w:tcPr>
            <w:tcW w:w="391"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数量</w:t>
            </w:r>
          </w:p>
        </w:tc>
        <w:tc>
          <w:tcPr>
            <w:tcW w:w="1173"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采取防治措施</w:t>
            </w:r>
          </w:p>
        </w:tc>
        <w:tc>
          <w:tcPr>
            <w:tcW w:w="700"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源强降噪效果dB(A)</w:t>
            </w:r>
          </w:p>
        </w:tc>
        <w:tc>
          <w:tcPr>
            <w:tcW w:w="626"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噪声排放值dB(A)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w:t>
            </w:r>
          </w:p>
        </w:tc>
        <w:tc>
          <w:tcPr>
            <w:tcW w:w="626" w:type="pct"/>
            <w:vAlign w:val="center"/>
          </w:tcPr>
          <w:p>
            <w:pPr>
              <w:jc w:val="center"/>
              <w:rPr>
                <w:rFonts w:ascii="Times New Roman" w:hAnsi="Times New Roman" w:eastAsiaTheme="minorEastAsia"/>
              </w:rPr>
            </w:pPr>
            <w:r>
              <w:rPr>
                <w:rFonts w:ascii="Times New Roman" w:hAnsi="Times New Roman" w:eastAsiaTheme="minorEastAsia"/>
              </w:rPr>
              <w:t>船舶发动机</w:t>
            </w:r>
          </w:p>
        </w:tc>
        <w:tc>
          <w:tcPr>
            <w:tcW w:w="548" w:type="pct"/>
            <w:vAlign w:val="center"/>
          </w:tcPr>
          <w:p>
            <w:pPr>
              <w:jc w:val="center"/>
              <w:rPr>
                <w:rFonts w:ascii="Times New Roman" w:hAnsi="Times New Roman" w:eastAsiaTheme="minorEastAsia"/>
              </w:rPr>
            </w:pPr>
            <w:r>
              <w:rPr>
                <w:rFonts w:ascii="Times New Roman" w:hAnsi="Times New Roman" w:eastAsiaTheme="minorEastAsia"/>
              </w:rPr>
              <w:t>偶发</w:t>
            </w:r>
          </w:p>
        </w:tc>
        <w:tc>
          <w:tcPr>
            <w:tcW w:w="548" w:type="pct"/>
            <w:vAlign w:val="center"/>
          </w:tcPr>
          <w:p>
            <w:pPr>
              <w:jc w:val="center"/>
              <w:rPr>
                <w:rFonts w:ascii="Times New Roman" w:hAnsi="Times New Roman" w:eastAsiaTheme="minorEastAsia"/>
              </w:rPr>
            </w:pPr>
            <w:r>
              <w:rPr>
                <w:rFonts w:ascii="Times New Roman" w:hAnsi="Times New Roman" w:eastAsiaTheme="minorEastAsia"/>
              </w:rPr>
              <w:t>90</w:t>
            </w:r>
          </w:p>
        </w:tc>
        <w:tc>
          <w:tcPr>
            <w:tcW w:w="39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1173" w:type="pct"/>
            <w:vAlign w:val="center"/>
          </w:tcPr>
          <w:p>
            <w:pPr>
              <w:jc w:val="center"/>
              <w:rPr>
                <w:rFonts w:ascii="Times New Roman" w:hAnsi="Times New Roman" w:eastAsiaTheme="minorEastAsia"/>
              </w:rPr>
            </w:pPr>
            <w:r>
              <w:rPr>
                <w:rFonts w:ascii="Times New Roman" w:hAnsi="Times New Roman" w:eastAsiaTheme="minorEastAsia"/>
              </w:rPr>
              <w:t>加强船舶管理</w:t>
            </w:r>
          </w:p>
        </w:tc>
        <w:tc>
          <w:tcPr>
            <w:tcW w:w="70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6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w:t>
            </w:r>
          </w:p>
        </w:tc>
        <w:tc>
          <w:tcPr>
            <w:tcW w:w="626" w:type="pct"/>
            <w:vAlign w:val="center"/>
          </w:tcPr>
          <w:p>
            <w:pPr>
              <w:jc w:val="center"/>
              <w:rPr>
                <w:rFonts w:ascii="Times New Roman" w:hAnsi="Times New Roman" w:eastAsiaTheme="minorEastAsia"/>
              </w:rPr>
            </w:pPr>
            <w:r>
              <w:rPr>
                <w:rFonts w:ascii="Times New Roman" w:hAnsi="Times New Roman" w:eastAsiaTheme="minorEastAsia"/>
              </w:rPr>
              <w:t>船舶鸣笛</w:t>
            </w:r>
          </w:p>
        </w:tc>
        <w:tc>
          <w:tcPr>
            <w:tcW w:w="548" w:type="pct"/>
            <w:vAlign w:val="center"/>
          </w:tcPr>
          <w:p>
            <w:pPr>
              <w:jc w:val="center"/>
              <w:rPr>
                <w:rFonts w:ascii="Times New Roman" w:hAnsi="Times New Roman" w:eastAsiaTheme="minorEastAsia"/>
              </w:rPr>
            </w:pPr>
            <w:r>
              <w:rPr>
                <w:rFonts w:ascii="Times New Roman" w:hAnsi="Times New Roman" w:eastAsiaTheme="minorEastAsia"/>
              </w:rPr>
              <w:t>偶发</w:t>
            </w:r>
          </w:p>
        </w:tc>
        <w:tc>
          <w:tcPr>
            <w:tcW w:w="548" w:type="pct"/>
            <w:vAlign w:val="center"/>
          </w:tcPr>
          <w:p>
            <w:pPr>
              <w:jc w:val="center"/>
              <w:rPr>
                <w:rFonts w:ascii="Times New Roman" w:hAnsi="Times New Roman" w:eastAsiaTheme="minorEastAsia"/>
              </w:rPr>
            </w:pPr>
            <w:r>
              <w:rPr>
                <w:rFonts w:ascii="Times New Roman" w:hAnsi="Times New Roman" w:eastAsiaTheme="minorEastAsia"/>
              </w:rPr>
              <w:t>90</w:t>
            </w:r>
          </w:p>
        </w:tc>
        <w:tc>
          <w:tcPr>
            <w:tcW w:w="39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1173" w:type="pct"/>
            <w:vAlign w:val="center"/>
          </w:tcPr>
          <w:p>
            <w:pPr>
              <w:jc w:val="center"/>
              <w:rPr>
                <w:rFonts w:ascii="Times New Roman" w:hAnsi="Times New Roman" w:eastAsiaTheme="minorEastAsia"/>
              </w:rPr>
            </w:pPr>
            <w:r>
              <w:rPr>
                <w:rFonts w:ascii="Times New Roman" w:hAnsi="Times New Roman" w:eastAsiaTheme="minorEastAsia"/>
              </w:rPr>
              <w:t>加强船舶管理</w:t>
            </w:r>
          </w:p>
        </w:tc>
        <w:tc>
          <w:tcPr>
            <w:tcW w:w="70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6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9"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w:t>
            </w:r>
          </w:p>
        </w:tc>
        <w:tc>
          <w:tcPr>
            <w:tcW w:w="626" w:type="pct"/>
            <w:vAlign w:val="center"/>
          </w:tcPr>
          <w:p>
            <w:pPr>
              <w:jc w:val="center"/>
              <w:rPr>
                <w:rFonts w:ascii="Times New Roman" w:hAnsi="Times New Roman" w:eastAsiaTheme="minorEastAsia"/>
              </w:rPr>
            </w:pPr>
            <w:r>
              <w:rPr>
                <w:rFonts w:ascii="Times New Roman" w:hAnsi="Times New Roman" w:eastAsiaTheme="minorEastAsia"/>
              </w:rPr>
              <w:t>船舶自载泵</w:t>
            </w:r>
          </w:p>
        </w:tc>
        <w:tc>
          <w:tcPr>
            <w:tcW w:w="548" w:type="pct"/>
            <w:vAlign w:val="center"/>
          </w:tcPr>
          <w:p>
            <w:pPr>
              <w:jc w:val="center"/>
              <w:rPr>
                <w:rFonts w:ascii="Times New Roman" w:hAnsi="Times New Roman" w:eastAsiaTheme="minorEastAsia"/>
              </w:rPr>
            </w:pPr>
            <w:r>
              <w:rPr>
                <w:rFonts w:ascii="Times New Roman" w:hAnsi="Times New Roman" w:eastAsiaTheme="minorEastAsia"/>
              </w:rPr>
              <w:t>频发</w:t>
            </w:r>
          </w:p>
        </w:tc>
        <w:tc>
          <w:tcPr>
            <w:tcW w:w="548" w:type="pct"/>
            <w:vAlign w:val="center"/>
          </w:tcPr>
          <w:p>
            <w:pPr>
              <w:jc w:val="center"/>
              <w:rPr>
                <w:rFonts w:ascii="Times New Roman" w:hAnsi="Times New Roman" w:eastAsiaTheme="minorEastAsia"/>
              </w:rPr>
            </w:pPr>
            <w:r>
              <w:rPr>
                <w:rFonts w:ascii="Times New Roman" w:hAnsi="Times New Roman" w:eastAsiaTheme="minorEastAsia"/>
              </w:rPr>
              <w:t>85</w:t>
            </w:r>
          </w:p>
        </w:tc>
        <w:tc>
          <w:tcPr>
            <w:tcW w:w="39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w:t>
            </w:r>
          </w:p>
        </w:tc>
        <w:tc>
          <w:tcPr>
            <w:tcW w:w="1173"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选用低噪声环保型设备；基础减振；加强船舶管理</w:t>
            </w:r>
          </w:p>
        </w:tc>
        <w:tc>
          <w:tcPr>
            <w:tcW w:w="700"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20</w:t>
            </w:r>
          </w:p>
        </w:tc>
        <w:tc>
          <w:tcPr>
            <w:tcW w:w="626"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65</w:t>
            </w:r>
          </w:p>
        </w:tc>
      </w:tr>
    </w:tbl>
    <w:p>
      <w:pPr>
        <w:adjustRightInd w:val="0"/>
        <w:snapToGrid w:val="0"/>
        <w:spacing w:line="360" w:lineRule="auto"/>
        <w:ind w:firstLine="482"/>
        <w:rPr>
          <w:rFonts w:ascii="Times New Roman" w:hAnsi="Times New Roman" w:eastAsiaTheme="minorEastAsia"/>
          <w:sz w:val="24"/>
          <w:szCs w:val="24"/>
        </w:rPr>
      </w:pPr>
    </w:p>
    <w:p>
      <w:pPr>
        <w:pStyle w:val="5"/>
        <w:rPr>
          <w:rFonts w:eastAsiaTheme="minorEastAsia"/>
        </w:rPr>
      </w:pPr>
      <w:r>
        <w:rPr>
          <w:rFonts w:eastAsiaTheme="minorEastAsia"/>
        </w:rPr>
        <w:t>预测模式</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本项目噪声源噪声类型属于空气动力噪声和机械噪声，噪声传播具有稳态和类稳态特性。另外，噪声从噪声源传播至噪声预测点的距离比声源本身几何尺寸大许多，因此可忽略噪声源几何尺寸影响，而将其简化为点声源。</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根据上述特点，本报告依据《环境影响评价技术导则声环境》</w:t>
      </w:r>
      <w:r>
        <w:rPr>
          <w:rFonts w:hint="eastAsia" w:ascii="Times New Roman" w:hAnsi="Times New Roman" w:eastAsiaTheme="minorEastAsia"/>
          <w:sz w:val="24"/>
          <w:szCs w:val="24"/>
        </w:rPr>
        <w:t>（</w:t>
      </w:r>
      <w:r>
        <w:rPr>
          <w:rFonts w:ascii="Times New Roman" w:hAnsi="Times New Roman" w:eastAsiaTheme="minorEastAsia"/>
          <w:sz w:val="24"/>
          <w:szCs w:val="24"/>
        </w:rPr>
        <w:t>HJ2.4-2009</w:t>
      </w:r>
      <w:r>
        <w:rPr>
          <w:rFonts w:hint="eastAsia" w:ascii="Times New Roman" w:hAnsi="Times New Roman" w:eastAsiaTheme="minorEastAsia"/>
          <w:sz w:val="24"/>
          <w:szCs w:val="24"/>
        </w:rPr>
        <w:t>）</w:t>
      </w:r>
      <w:r>
        <w:rPr>
          <w:rFonts w:ascii="Times New Roman" w:hAnsi="Times New Roman" w:eastAsiaTheme="minorEastAsia"/>
          <w:sz w:val="24"/>
          <w:szCs w:val="24"/>
        </w:rPr>
        <w:t>有关规定，采用《导则》推荐点声源噪声传播模式进行项目噪声环境影响预测，预测模式如下：</w:t>
      </w:r>
    </w:p>
    <w:p>
      <w:pPr>
        <w:adjustRightInd w:val="0"/>
        <w:snapToGrid w:val="0"/>
        <w:spacing w:line="360" w:lineRule="auto"/>
        <w:ind w:firstLine="482"/>
        <w:rPr>
          <w:rFonts w:ascii="Times New Roman" w:hAnsi="Times New Roman" w:eastAsiaTheme="minorEastAsia"/>
          <w:b/>
          <w:sz w:val="24"/>
          <w:szCs w:val="24"/>
        </w:rPr>
      </w:pPr>
      <w:r>
        <w:rPr>
          <w:rFonts w:ascii="Times New Roman" w:hAnsi="Times New Roman" w:eastAsiaTheme="minorEastAsia"/>
          <w:b/>
          <w:sz w:val="24"/>
          <w:szCs w:val="24"/>
        </w:rPr>
        <w:t>1、点声源预测模式</w:t>
      </w:r>
    </w:p>
    <w:p>
      <w:pPr>
        <w:adjustRightInd w:val="0"/>
        <w:snapToGrid w:val="0"/>
        <w:spacing w:line="360" w:lineRule="auto"/>
        <w:ind w:firstLine="482"/>
        <w:jc w:val="center"/>
        <w:rPr>
          <w:rFonts w:ascii="Times New Roman" w:hAnsi="Times New Roman" w:eastAsiaTheme="minorEastAsia"/>
          <w:sz w:val="24"/>
          <w:szCs w:val="24"/>
        </w:rPr>
      </w:pPr>
      <w:r>
        <w:rPr>
          <w:rFonts w:ascii="Times New Roman" w:hAnsi="Times New Roman" w:eastAsiaTheme="minorEastAsia"/>
        </w:rPr>
        <w:drawing>
          <wp:inline distT="0" distB="0" distL="0" distR="0">
            <wp:extent cx="2513965" cy="285115"/>
            <wp:effectExtent l="0" t="0" r="63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8"/>
                    <a:stretch>
                      <a:fillRect/>
                    </a:stretch>
                  </pic:blipFill>
                  <pic:spPr>
                    <a:xfrm>
                      <a:off x="0" y="0"/>
                      <a:ext cx="2514286" cy="285714"/>
                    </a:xfrm>
                    <a:prstGeom prst="rect">
                      <a:avLst/>
                    </a:prstGeom>
                  </pic:spPr>
                </pic:pic>
              </a:graphicData>
            </a:graphic>
          </wp:inline>
        </w:drawing>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式中：L</w:t>
      </w:r>
      <w:r>
        <w:rPr>
          <w:rFonts w:ascii="Times New Roman" w:hAnsi="Times New Roman" w:eastAsiaTheme="minorEastAsia"/>
          <w:sz w:val="24"/>
          <w:szCs w:val="24"/>
          <w:vertAlign w:val="subscript"/>
        </w:rPr>
        <w:t>A(r)</w:t>
      </w:r>
      <w:r>
        <w:rPr>
          <w:rFonts w:ascii="Times New Roman" w:hAnsi="Times New Roman" w:eastAsiaTheme="minorEastAsia"/>
          <w:sz w:val="24"/>
          <w:szCs w:val="24"/>
        </w:rPr>
        <w:t>——距离声源r处的A声级；</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L</w:t>
      </w:r>
      <w:r>
        <w:rPr>
          <w:rFonts w:ascii="Times New Roman" w:hAnsi="Times New Roman" w:eastAsiaTheme="minorEastAsia"/>
          <w:sz w:val="24"/>
          <w:szCs w:val="24"/>
          <w:vertAlign w:val="subscript"/>
        </w:rPr>
        <w:t>Aref(r0)</w:t>
      </w:r>
      <w:r>
        <w:rPr>
          <w:rFonts w:ascii="Times New Roman" w:hAnsi="Times New Roman" w:eastAsiaTheme="minorEastAsia"/>
          <w:sz w:val="24"/>
          <w:szCs w:val="24"/>
        </w:rPr>
        <w:t xml:space="preserve"> ——参考位置r</w:t>
      </w:r>
      <w:r>
        <w:rPr>
          <w:rFonts w:ascii="Times New Roman" w:hAnsi="Times New Roman" w:eastAsiaTheme="minorEastAsia"/>
          <w:sz w:val="24"/>
          <w:szCs w:val="24"/>
          <w:vertAlign w:val="subscript"/>
        </w:rPr>
        <w:t>0</w:t>
      </w:r>
      <w:r>
        <w:rPr>
          <w:rFonts w:ascii="Times New Roman" w:hAnsi="Times New Roman" w:eastAsiaTheme="minorEastAsia"/>
          <w:sz w:val="24"/>
          <w:szCs w:val="24"/>
        </w:rPr>
        <w:t>处的A声级；</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A</w:t>
      </w:r>
      <w:r>
        <w:rPr>
          <w:rFonts w:ascii="Times New Roman" w:hAnsi="Times New Roman" w:eastAsiaTheme="minorEastAsia"/>
          <w:sz w:val="24"/>
          <w:szCs w:val="24"/>
          <w:vertAlign w:val="subscript"/>
        </w:rPr>
        <w:t>div</w:t>
      </w:r>
      <w:r>
        <w:rPr>
          <w:rFonts w:ascii="Times New Roman" w:hAnsi="Times New Roman" w:eastAsiaTheme="minorEastAsia"/>
          <w:sz w:val="24"/>
          <w:szCs w:val="24"/>
        </w:rPr>
        <w:t>——声波几何发散衰减量；</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A</w:t>
      </w:r>
      <w:r>
        <w:rPr>
          <w:rFonts w:ascii="Times New Roman" w:hAnsi="Times New Roman" w:eastAsiaTheme="minorEastAsia"/>
          <w:sz w:val="24"/>
          <w:szCs w:val="24"/>
          <w:vertAlign w:val="subscript"/>
        </w:rPr>
        <w:t>bar</w:t>
      </w:r>
      <w:r>
        <w:rPr>
          <w:rFonts w:ascii="Times New Roman" w:hAnsi="Times New Roman" w:eastAsiaTheme="minorEastAsia"/>
          <w:sz w:val="24"/>
          <w:szCs w:val="24"/>
        </w:rPr>
        <w:t>——遮挡物质衰减量；</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A</w:t>
      </w:r>
      <w:r>
        <w:rPr>
          <w:rFonts w:ascii="Times New Roman" w:hAnsi="Times New Roman" w:eastAsiaTheme="minorEastAsia"/>
          <w:sz w:val="24"/>
          <w:szCs w:val="24"/>
          <w:vertAlign w:val="subscript"/>
        </w:rPr>
        <w:t>atm</w:t>
      </w:r>
      <w:r>
        <w:rPr>
          <w:rFonts w:ascii="Times New Roman" w:hAnsi="Times New Roman" w:eastAsiaTheme="minorEastAsia"/>
          <w:sz w:val="24"/>
          <w:szCs w:val="24"/>
        </w:rPr>
        <w:t>——空气吸收衰减量；</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A</w:t>
      </w:r>
      <w:r>
        <w:rPr>
          <w:rFonts w:ascii="Times New Roman" w:hAnsi="Times New Roman" w:eastAsiaTheme="minorEastAsia"/>
          <w:sz w:val="24"/>
          <w:szCs w:val="24"/>
          <w:vertAlign w:val="subscript"/>
        </w:rPr>
        <w:t>erc</w:t>
      </w:r>
      <w:r>
        <w:rPr>
          <w:rFonts w:ascii="Times New Roman" w:hAnsi="Times New Roman" w:eastAsiaTheme="minorEastAsia"/>
          <w:sz w:val="24"/>
          <w:szCs w:val="24"/>
        </w:rPr>
        <w:t>——附加衰减量。</w:t>
      </w:r>
    </w:p>
    <w:p>
      <w:pPr>
        <w:adjustRightInd w:val="0"/>
        <w:snapToGrid w:val="0"/>
        <w:spacing w:line="360" w:lineRule="auto"/>
        <w:ind w:firstLine="482"/>
        <w:rPr>
          <w:rFonts w:ascii="Times New Roman" w:hAnsi="Times New Roman" w:eastAsiaTheme="minorEastAsia"/>
          <w:b/>
          <w:sz w:val="24"/>
          <w:szCs w:val="24"/>
        </w:rPr>
      </w:pPr>
      <w:r>
        <w:rPr>
          <w:rFonts w:ascii="Times New Roman" w:hAnsi="Times New Roman" w:eastAsiaTheme="minorEastAsia"/>
          <w:b/>
          <w:sz w:val="24"/>
          <w:szCs w:val="24"/>
        </w:rPr>
        <w:t>2、噪声叠加计算模式</w:t>
      </w:r>
    </w:p>
    <w:p>
      <w:pPr>
        <w:adjustRightInd w:val="0"/>
        <w:snapToGrid w:val="0"/>
        <w:spacing w:line="360" w:lineRule="auto"/>
        <w:ind w:firstLine="482"/>
        <w:jc w:val="center"/>
        <w:rPr>
          <w:rFonts w:ascii="Times New Roman" w:hAnsi="Times New Roman" w:eastAsiaTheme="minorEastAsia"/>
          <w:sz w:val="24"/>
          <w:szCs w:val="24"/>
        </w:rPr>
      </w:pPr>
      <w:r>
        <w:rPr>
          <w:rFonts w:ascii="Times New Roman" w:hAnsi="Times New Roman" w:eastAsiaTheme="minorEastAsia"/>
        </w:rPr>
        <w:drawing>
          <wp:inline distT="0" distB="0" distL="0" distR="0">
            <wp:extent cx="1599565" cy="40894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9"/>
                    <a:stretch>
                      <a:fillRect/>
                    </a:stretch>
                  </pic:blipFill>
                  <pic:spPr>
                    <a:xfrm>
                      <a:off x="0" y="0"/>
                      <a:ext cx="1600000" cy="409524"/>
                    </a:xfrm>
                    <a:prstGeom prst="rect">
                      <a:avLst/>
                    </a:prstGeom>
                  </pic:spPr>
                </pic:pic>
              </a:graphicData>
            </a:graphic>
          </wp:inline>
        </w:drawing>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式中：Leq (A) ——等效连续A声级</w:t>
      </w:r>
    </w:p>
    <w:p>
      <w:pPr>
        <w:pStyle w:val="5"/>
        <w:rPr>
          <w:rFonts w:eastAsiaTheme="minorEastAsia"/>
        </w:rPr>
      </w:pPr>
      <w:r>
        <w:rPr>
          <w:rFonts w:eastAsiaTheme="minorEastAsia"/>
        </w:rPr>
        <w:t>声源与预测点间的距离</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声源与预测点间的距离见表6.4-4。</w:t>
      </w:r>
    </w:p>
    <w:p>
      <w:pPr>
        <w:wordWrap w:val="0"/>
        <w:adjustRightInd w:val="0"/>
        <w:snapToGrid w:val="0"/>
        <w:spacing w:line="276" w:lineRule="auto"/>
        <w:jc w:val="right"/>
        <w:rPr>
          <w:rFonts w:ascii="Times New Roman" w:hAnsi="Times New Roman" w:eastAsiaTheme="minorEastAsia"/>
          <w:b/>
          <w:sz w:val="24"/>
          <w:szCs w:val="24"/>
        </w:rPr>
      </w:pPr>
      <w:r>
        <w:rPr>
          <w:rFonts w:ascii="Times New Roman" w:hAnsi="Times New Roman" w:eastAsiaTheme="minorEastAsia"/>
          <w:b/>
          <w:sz w:val="24"/>
          <w:szCs w:val="24"/>
        </w:rPr>
        <w:t xml:space="preserve">表6.4-4  各声源与预测点间的距离            </w:t>
      </w:r>
      <w:r>
        <w:rPr>
          <w:rFonts w:ascii="Times New Roman" w:hAnsi="Times New Roman" w:eastAsiaTheme="minorEastAsia"/>
          <w:sz w:val="24"/>
          <w:szCs w:val="24"/>
        </w:rPr>
        <w:t>单位：m</w:t>
      </w:r>
    </w:p>
    <w:tbl>
      <w:tblPr>
        <w:tblStyle w:val="7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516"/>
        <w:gridCol w:w="1516"/>
        <w:gridCol w:w="1518"/>
        <w:gridCol w:w="1143"/>
        <w:gridCol w:w="2282"/>
        <w:gridCol w:w="11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3"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序号</w:t>
            </w:r>
          </w:p>
        </w:tc>
        <w:tc>
          <w:tcPr>
            <w:tcW w:w="833"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声源名称</w:t>
            </w:r>
          </w:p>
        </w:tc>
        <w:tc>
          <w:tcPr>
            <w:tcW w:w="834"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东厂界</w:t>
            </w:r>
          </w:p>
        </w:tc>
        <w:tc>
          <w:tcPr>
            <w:tcW w:w="628"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南厂界</w:t>
            </w:r>
          </w:p>
        </w:tc>
        <w:tc>
          <w:tcPr>
            <w:tcW w:w="1254"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西厂界</w:t>
            </w:r>
          </w:p>
        </w:tc>
        <w:tc>
          <w:tcPr>
            <w:tcW w:w="618"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北厂界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3"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w:t>
            </w:r>
          </w:p>
        </w:tc>
        <w:tc>
          <w:tcPr>
            <w:tcW w:w="833"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船舶自载泵</w:t>
            </w:r>
          </w:p>
        </w:tc>
        <w:tc>
          <w:tcPr>
            <w:tcW w:w="83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33</w:t>
            </w:r>
          </w:p>
        </w:tc>
        <w:tc>
          <w:tcPr>
            <w:tcW w:w="62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8</w:t>
            </w:r>
          </w:p>
        </w:tc>
        <w:tc>
          <w:tcPr>
            <w:tcW w:w="125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0（西厂界紧邻长江）</w:t>
            </w:r>
          </w:p>
        </w:tc>
        <w:tc>
          <w:tcPr>
            <w:tcW w:w="618"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47</w:t>
            </w:r>
          </w:p>
        </w:tc>
      </w:tr>
    </w:tbl>
    <w:p>
      <w:pPr>
        <w:adjustRightInd w:val="0"/>
        <w:snapToGrid w:val="0"/>
        <w:spacing w:line="360" w:lineRule="auto"/>
        <w:ind w:firstLine="482"/>
        <w:rPr>
          <w:rFonts w:ascii="Times New Roman" w:hAnsi="Times New Roman" w:eastAsiaTheme="minorEastAsia"/>
          <w:sz w:val="24"/>
          <w:szCs w:val="24"/>
        </w:rPr>
      </w:pPr>
    </w:p>
    <w:p>
      <w:pPr>
        <w:pStyle w:val="5"/>
        <w:rPr>
          <w:rFonts w:eastAsiaTheme="minorEastAsia"/>
        </w:rPr>
      </w:pPr>
      <w:r>
        <w:rPr>
          <w:rFonts w:eastAsiaTheme="minorEastAsia"/>
        </w:rPr>
        <w:t>预测结果及影响分析</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根据厂界声环境现状监测结果，声源与厂界的距离，按上述公式预测出本项目建设实施后厂界处的噪声预测值，结果见表6.4-5。</w:t>
      </w:r>
    </w:p>
    <w:p>
      <w:pPr>
        <w:wordWrap w:val="0"/>
        <w:adjustRightInd w:val="0"/>
        <w:snapToGrid w:val="0"/>
        <w:spacing w:line="276" w:lineRule="auto"/>
        <w:jc w:val="right"/>
        <w:rPr>
          <w:rFonts w:ascii="Times New Roman" w:hAnsi="Times New Roman" w:eastAsiaTheme="minorEastAsia"/>
          <w:b/>
          <w:sz w:val="24"/>
          <w:szCs w:val="24"/>
        </w:rPr>
      </w:pPr>
      <w:r>
        <w:rPr>
          <w:rFonts w:ascii="Times New Roman" w:hAnsi="Times New Roman" w:eastAsiaTheme="minorEastAsia"/>
          <w:b/>
          <w:sz w:val="24"/>
          <w:szCs w:val="24"/>
        </w:rPr>
        <w:t xml:space="preserve">表6.4-5  声环境影响预测结果            </w:t>
      </w:r>
      <w:r>
        <w:rPr>
          <w:rFonts w:ascii="Times New Roman" w:hAnsi="Times New Roman" w:eastAsiaTheme="minorEastAsia"/>
          <w:sz w:val="24"/>
          <w:szCs w:val="24"/>
        </w:rPr>
        <w:t>单位：dB (A)</w:t>
      </w:r>
    </w:p>
    <w:tbl>
      <w:tblPr>
        <w:tblStyle w:val="7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496"/>
        <w:gridCol w:w="1487"/>
        <w:gridCol w:w="1540"/>
        <w:gridCol w:w="1527"/>
        <w:gridCol w:w="1527"/>
        <w:gridCol w:w="15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39" w:type="pct"/>
            <w:gridSpan w:val="2"/>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厂界预测点</w:t>
            </w:r>
          </w:p>
        </w:tc>
        <w:tc>
          <w:tcPr>
            <w:tcW w:w="846" w:type="pc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东厂界</w:t>
            </w:r>
          </w:p>
        </w:tc>
        <w:tc>
          <w:tcPr>
            <w:tcW w:w="839" w:type="pc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南厂界</w:t>
            </w:r>
          </w:p>
        </w:tc>
        <w:tc>
          <w:tcPr>
            <w:tcW w:w="839" w:type="pc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西厂界</w:t>
            </w:r>
          </w:p>
        </w:tc>
        <w:tc>
          <w:tcPr>
            <w:tcW w:w="837" w:type="pct"/>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北厂界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2" w:type="pct"/>
            <w:vMerge w:val="restar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昼间</w:t>
            </w:r>
          </w:p>
        </w:tc>
        <w:tc>
          <w:tcPr>
            <w:tcW w:w="81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贡献值</w:t>
            </w:r>
          </w:p>
        </w:tc>
        <w:tc>
          <w:tcPr>
            <w:tcW w:w="84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46.6</w:t>
            </w:r>
          </w:p>
        </w:tc>
        <w:tc>
          <w:tcPr>
            <w:tcW w:w="839"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58.9</w:t>
            </w:r>
          </w:p>
        </w:tc>
        <w:tc>
          <w:tcPr>
            <w:tcW w:w="839"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65.0</w:t>
            </w:r>
          </w:p>
        </w:tc>
        <w:tc>
          <w:tcPr>
            <w:tcW w:w="83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2" w:type="pct"/>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81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背景值</w:t>
            </w:r>
          </w:p>
        </w:tc>
        <w:tc>
          <w:tcPr>
            <w:tcW w:w="84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51.7</w:t>
            </w:r>
          </w:p>
        </w:tc>
        <w:tc>
          <w:tcPr>
            <w:tcW w:w="839"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51.7</w:t>
            </w:r>
          </w:p>
        </w:tc>
        <w:tc>
          <w:tcPr>
            <w:tcW w:w="839"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51.7</w:t>
            </w:r>
          </w:p>
        </w:tc>
        <w:tc>
          <w:tcPr>
            <w:tcW w:w="83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2" w:type="pct"/>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81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预测值</w:t>
            </w:r>
          </w:p>
        </w:tc>
        <w:tc>
          <w:tcPr>
            <w:tcW w:w="84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52.8</w:t>
            </w:r>
          </w:p>
        </w:tc>
        <w:tc>
          <w:tcPr>
            <w:tcW w:w="839"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59.6</w:t>
            </w:r>
          </w:p>
        </w:tc>
        <w:tc>
          <w:tcPr>
            <w:tcW w:w="839"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65.2</w:t>
            </w:r>
          </w:p>
        </w:tc>
        <w:tc>
          <w:tcPr>
            <w:tcW w:w="83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2" w:type="pct"/>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81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评价标准</w:t>
            </w:r>
          </w:p>
        </w:tc>
        <w:tc>
          <w:tcPr>
            <w:tcW w:w="84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70</w:t>
            </w:r>
          </w:p>
        </w:tc>
        <w:tc>
          <w:tcPr>
            <w:tcW w:w="839"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70</w:t>
            </w:r>
          </w:p>
        </w:tc>
        <w:tc>
          <w:tcPr>
            <w:tcW w:w="839"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70</w:t>
            </w:r>
          </w:p>
        </w:tc>
        <w:tc>
          <w:tcPr>
            <w:tcW w:w="83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22" w:type="pct"/>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81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达标分析</w:t>
            </w:r>
          </w:p>
        </w:tc>
        <w:tc>
          <w:tcPr>
            <w:tcW w:w="846"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达标</w:t>
            </w:r>
          </w:p>
        </w:tc>
        <w:tc>
          <w:tcPr>
            <w:tcW w:w="839"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达标</w:t>
            </w:r>
          </w:p>
        </w:tc>
        <w:tc>
          <w:tcPr>
            <w:tcW w:w="839"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达标</w:t>
            </w:r>
          </w:p>
        </w:tc>
        <w:tc>
          <w:tcPr>
            <w:tcW w:w="837" w:type="pc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达标</w:t>
            </w:r>
          </w:p>
        </w:tc>
      </w:tr>
    </w:tbl>
    <w:p>
      <w:pPr>
        <w:adjustRightInd w:val="0"/>
        <w:snapToGrid w:val="0"/>
        <w:spacing w:line="276" w:lineRule="auto"/>
        <w:rPr>
          <w:rFonts w:ascii="Times New Roman" w:hAnsi="Times New Roman" w:eastAsiaTheme="minorEastAsia"/>
        </w:rPr>
      </w:pPr>
      <w:r>
        <w:rPr>
          <w:rFonts w:ascii="Times New Roman" w:hAnsi="Times New Roman" w:eastAsiaTheme="minorEastAsia"/>
          <w:color w:val="000000" w:themeColor="text1"/>
          <w14:textFill>
            <w14:solidFill>
              <w14:schemeClr w14:val="tx1"/>
            </w14:solidFill>
          </w14:textFill>
        </w:rPr>
        <w:t>注：1、本项目为码头提质改造项目，因此厂界噪声现状监测值可作为背景值，本次评价背景值取厂界噪声现状监测值的平均值；2、不考虑船舶发动机噪声、船舶鸣笛噪声等</w:t>
      </w:r>
      <w:r>
        <w:rPr>
          <w:rFonts w:ascii="Times New Roman" w:hAnsi="Times New Roman" w:eastAsiaTheme="minorEastAsia"/>
        </w:rPr>
        <w:t>偶发噪声影响。</w:t>
      </w:r>
    </w:p>
    <w:p>
      <w:pPr>
        <w:adjustRightInd w:val="0"/>
        <w:snapToGrid w:val="0"/>
        <w:spacing w:line="360" w:lineRule="auto"/>
        <w:ind w:firstLine="482"/>
        <w:rPr>
          <w:rFonts w:ascii="Times New Roman" w:hAnsi="Times New Roman" w:eastAsiaTheme="minorEastAsia"/>
          <w:sz w:val="24"/>
          <w:szCs w:val="24"/>
        </w:rPr>
      </w:pPr>
    </w:p>
    <w:p>
      <w:pPr>
        <w:adjustRightInd w:val="0"/>
        <w:snapToGrid w:val="0"/>
        <w:spacing w:line="360" w:lineRule="auto"/>
        <w:ind w:firstLine="482"/>
        <w:rPr>
          <w:rFonts w:ascii="Times New Roman" w:hAnsi="Times New Roman" w:eastAsiaTheme="minorEastAsia"/>
          <w:color w:val="0000FF"/>
          <w:sz w:val="24"/>
          <w:szCs w:val="24"/>
        </w:rPr>
      </w:pPr>
      <w:r>
        <w:rPr>
          <w:rFonts w:ascii="Times New Roman" w:hAnsi="Times New Roman" w:eastAsiaTheme="minorEastAsia"/>
          <w:sz w:val="24"/>
          <w:szCs w:val="24"/>
        </w:rPr>
        <w:t>根据预测结果，在不考虑偶发噪声的情况下，四周厂界昼间噪声值满足《工业企业厂界环境噪声排放标准》（GB12348-2008）4类标准要求。由于本项目厂界周边200</w:t>
      </w:r>
      <w:r>
        <w:rPr>
          <w:rFonts w:hint="eastAsia" w:ascii="Times New Roman" w:hAnsi="Times New Roman" w:eastAsiaTheme="minorEastAsia"/>
          <w:sz w:val="24"/>
          <w:szCs w:val="24"/>
        </w:rPr>
        <w:t>m</w:t>
      </w:r>
      <w:r>
        <w:rPr>
          <w:rFonts w:ascii="Times New Roman" w:hAnsi="Times New Roman" w:eastAsiaTheme="minorEastAsia"/>
          <w:sz w:val="24"/>
          <w:szCs w:val="24"/>
        </w:rPr>
        <w:t>范围内无居民点等敏感点，因此，本项目噪声不会产生扰民现象。但项目营运期应采取严格的管理措施，进出港船舶必须按相关要求合理使用鸣笛设备，减小偶发噪声对周围声环境的影响。</w:t>
      </w:r>
    </w:p>
    <w:p>
      <w:pPr>
        <w:pStyle w:val="3"/>
        <w:rPr>
          <w:rFonts w:ascii="Times New Roman" w:hAnsi="Times New Roman" w:eastAsiaTheme="minorEastAsia"/>
          <w:b/>
          <w:szCs w:val="24"/>
        </w:rPr>
      </w:pPr>
      <w:bookmarkStart w:id="142" w:name="_Toc7622"/>
      <w:r>
        <w:rPr>
          <w:rFonts w:ascii="Times New Roman" w:hAnsi="Times New Roman" w:eastAsiaTheme="minorEastAsia"/>
          <w:b/>
        </w:rPr>
        <w:t>固体废物环境影响评价</w:t>
      </w:r>
      <w:bookmarkEnd w:id="142"/>
    </w:p>
    <w:p>
      <w:pPr>
        <w:pStyle w:val="4"/>
        <w:rPr>
          <w:rFonts w:eastAsiaTheme="minorEastAsia"/>
          <w:szCs w:val="24"/>
        </w:rPr>
      </w:pPr>
      <w:r>
        <w:rPr>
          <w:rFonts w:eastAsiaTheme="minorEastAsia"/>
        </w:rPr>
        <w:t>施工期固体废物环境影响分析</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施工期陆域生活垃圾拟由环卫部门收集处理，船舶生活垃圾由施工单位负贵交海事部门环保船接收处理。建筑垃圾中可利用的物料较多，应根据情况尽量回收利用，以降低成本并减少其发生量。</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施工期最重要的就是要与施工单位签定环保责任书，由各施工单位负责施工期固体废弃物的处理。各施工单位要加强施工管理，对施工生活垃圾和生产垃圾不能随意抛弃，应配置一定数量的垃圾箱，定点堆放并及时转运至市政垃圾处理场进行处理。建设方应会同有关部门加强施工环保监理，一旦出现问题，应根据环保责任书进行处罚并限期改施工期的固体废弃物排放是暂时的，随着施工结束而不再增加，通过积极有效的施工管理措施，施工期固体废弃物不会对环境造成不利影响。</w:t>
      </w:r>
    </w:p>
    <w:p>
      <w:pPr>
        <w:pStyle w:val="4"/>
        <w:rPr>
          <w:rFonts w:eastAsiaTheme="minorEastAsia"/>
          <w:szCs w:val="24"/>
        </w:rPr>
      </w:pPr>
      <w:r>
        <w:rPr>
          <w:rFonts w:eastAsiaTheme="minorEastAsia"/>
        </w:rPr>
        <w:t>营运期固体废物环境影响分析</w:t>
      </w:r>
    </w:p>
    <w:p>
      <w:pPr>
        <w:pStyle w:val="5"/>
        <w:rPr>
          <w:rFonts w:eastAsiaTheme="minorEastAsia"/>
        </w:rPr>
      </w:pPr>
      <w:r>
        <w:rPr>
          <w:rFonts w:eastAsiaTheme="minorEastAsia"/>
        </w:rPr>
        <w:t>固废产生情况</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根据工程分析，本项目运营期间固体废弃物可分为船舶垃圾和陆域垃圾两部分，船舶垃圾主要为船员生活垃圾及船舶保养产生的固体废弃物，陆域垃圾主要为陆域生活垃圾、检修废物和废水处理站污泥。固体废物产生及排放情况见表6.5-1。</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表6.5-1  固体废弃物产生与排放情况(t/a)</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870"/>
        <w:gridCol w:w="1882"/>
        <w:gridCol w:w="1298"/>
        <w:gridCol w:w="1314"/>
        <w:gridCol w:w="1298"/>
        <w:gridCol w:w="24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541" w:type="pct"/>
            <w:vAlign w:val="center"/>
          </w:tcPr>
          <w:p>
            <w:pPr>
              <w:widowControl/>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序号</w:t>
            </w:r>
          </w:p>
        </w:tc>
        <w:tc>
          <w:tcPr>
            <w:tcW w:w="1097" w:type="pct"/>
            <w:shd w:val="clear" w:color="auto" w:fill="auto"/>
            <w:noWrap/>
            <w:vAlign w:val="center"/>
          </w:tcPr>
          <w:p>
            <w:pPr>
              <w:widowControl/>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污染物</w:t>
            </w:r>
          </w:p>
        </w:tc>
        <w:tc>
          <w:tcPr>
            <w:tcW w:w="627" w:type="pct"/>
            <w:shd w:val="clear" w:color="auto" w:fill="auto"/>
            <w:noWrap/>
            <w:vAlign w:val="center"/>
          </w:tcPr>
          <w:p>
            <w:pPr>
              <w:widowControl/>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产生量（t/a）</w:t>
            </w:r>
          </w:p>
        </w:tc>
        <w:tc>
          <w:tcPr>
            <w:tcW w:w="785" w:type="pct"/>
            <w:shd w:val="clear" w:color="auto" w:fill="auto"/>
            <w:noWrap/>
            <w:vAlign w:val="center"/>
          </w:tcPr>
          <w:p>
            <w:pPr>
              <w:widowControl/>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削减量（t/a）</w:t>
            </w:r>
          </w:p>
        </w:tc>
        <w:tc>
          <w:tcPr>
            <w:tcW w:w="548" w:type="pct"/>
            <w:shd w:val="clear" w:color="auto" w:fill="auto"/>
            <w:noWrap/>
            <w:vAlign w:val="center"/>
          </w:tcPr>
          <w:p>
            <w:pPr>
              <w:widowControl/>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排放量（t/a）</w:t>
            </w:r>
          </w:p>
        </w:tc>
        <w:tc>
          <w:tcPr>
            <w:tcW w:w="1402" w:type="pct"/>
            <w:vAlign w:val="center"/>
          </w:tcPr>
          <w:p>
            <w:pPr>
              <w:widowControl/>
              <w:snapToGrid w:val="0"/>
              <w:jc w:val="center"/>
              <w:rPr>
                <w:rFonts w:ascii="Times New Roman" w:hAnsi="Times New Roman" w:eastAsiaTheme="minorEastAsia"/>
                <w:b/>
                <w:color w:val="000000"/>
                <w:kern w:val="0"/>
              </w:rPr>
            </w:pPr>
            <w:r>
              <w:rPr>
                <w:rFonts w:ascii="Times New Roman" w:hAnsi="Times New Roman" w:eastAsiaTheme="minorEastAsia"/>
                <w:b/>
                <w:color w:val="000000"/>
                <w:kern w:val="0"/>
              </w:rPr>
              <w:t>拟采取的措施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1" w:type="pct"/>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1</w:t>
            </w:r>
          </w:p>
        </w:tc>
        <w:tc>
          <w:tcPr>
            <w:tcW w:w="1097" w:type="pct"/>
            <w:shd w:val="clear" w:color="auto" w:fill="auto"/>
            <w:noWrap/>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员工生活垃圾</w:t>
            </w:r>
          </w:p>
        </w:tc>
        <w:tc>
          <w:tcPr>
            <w:tcW w:w="627" w:type="pct"/>
            <w:shd w:val="clear" w:color="auto" w:fill="auto"/>
            <w:noWrap/>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4.125</w:t>
            </w:r>
          </w:p>
        </w:tc>
        <w:tc>
          <w:tcPr>
            <w:tcW w:w="785" w:type="pct"/>
            <w:shd w:val="clear" w:color="auto" w:fill="auto"/>
            <w:noWrap/>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4.125</w:t>
            </w:r>
          </w:p>
        </w:tc>
        <w:tc>
          <w:tcPr>
            <w:tcW w:w="548" w:type="pct"/>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w:t>
            </w:r>
          </w:p>
        </w:tc>
        <w:tc>
          <w:tcPr>
            <w:tcW w:w="1402" w:type="pct"/>
            <w:vAlign w:val="center"/>
          </w:tcPr>
          <w:p>
            <w:pPr>
              <w:widowControl/>
              <w:snapToGrid w:val="0"/>
              <w:jc w:val="center"/>
              <w:rPr>
                <w:rFonts w:ascii="Times New Roman" w:hAnsi="Times New Roman" w:eastAsiaTheme="minorEastAsia"/>
                <w:kern w:val="0"/>
              </w:rPr>
            </w:pPr>
            <w:r>
              <w:rPr>
                <w:rFonts w:ascii="Times New Roman" w:hAnsi="Times New Roman" w:eastAsiaTheme="minorEastAsia"/>
                <w:kern w:val="0"/>
              </w:rPr>
              <w:t>环卫部门清运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1" w:type="pct"/>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2</w:t>
            </w:r>
          </w:p>
        </w:tc>
        <w:tc>
          <w:tcPr>
            <w:tcW w:w="1097" w:type="pct"/>
            <w:shd w:val="clear" w:color="auto" w:fill="auto"/>
            <w:noWrap/>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到港船舶生活垃圾</w:t>
            </w:r>
          </w:p>
        </w:tc>
        <w:tc>
          <w:tcPr>
            <w:tcW w:w="627" w:type="pct"/>
            <w:shd w:val="clear" w:color="auto" w:fill="auto"/>
            <w:noWrap/>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1.98</w:t>
            </w:r>
          </w:p>
        </w:tc>
        <w:tc>
          <w:tcPr>
            <w:tcW w:w="785" w:type="pct"/>
            <w:shd w:val="clear" w:color="auto" w:fill="auto"/>
            <w:noWrap/>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1.98</w:t>
            </w:r>
          </w:p>
        </w:tc>
        <w:tc>
          <w:tcPr>
            <w:tcW w:w="548" w:type="pct"/>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w:t>
            </w:r>
          </w:p>
        </w:tc>
        <w:tc>
          <w:tcPr>
            <w:tcW w:w="1402" w:type="pct"/>
            <w:vAlign w:val="center"/>
          </w:tcPr>
          <w:p>
            <w:pPr>
              <w:widowControl/>
              <w:snapToGrid w:val="0"/>
              <w:jc w:val="center"/>
              <w:rPr>
                <w:rFonts w:ascii="Times New Roman" w:hAnsi="Times New Roman" w:eastAsiaTheme="minorEastAsia"/>
                <w:kern w:val="0"/>
              </w:rPr>
            </w:pPr>
            <w:r>
              <w:rPr>
                <w:rFonts w:ascii="Times New Roman" w:hAnsi="Times New Roman" w:eastAsiaTheme="minorEastAsia"/>
                <w:kern w:val="0"/>
              </w:rPr>
              <w:t>由海事部门指定的船舶接收处理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1" w:type="pct"/>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3</w:t>
            </w:r>
          </w:p>
        </w:tc>
        <w:tc>
          <w:tcPr>
            <w:tcW w:w="1097" w:type="pct"/>
            <w:shd w:val="clear" w:color="auto" w:fill="auto"/>
            <w:noWrap/>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废含油抹布</w:t>
            </w:r>
          </w:p>
        </w:tc>
        <w:tc>
          <w:tcPr>
            <w:tcW w:w="627" w:type="pct"/>
            <w:shd w:val="clear" w:color="auto" w:fill="auto"/>
            <w:noWrap/>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w:t>
            </w:r>
          </w:p>
        </w:tc>
        <w:tc>
          <w:tcPr>
            <w:tcW w:w="785" w:type="pct"/>
            <w:shd w:val="clear" w:color="auto" w:fill="auto"/>
            <w:noWrap/>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w:t>
            </w:r>
          </w:p>
        </w:tc>
        <w:tc>
          <w:tcPr>
            <w:tcW w:w="548" w:type="pct"/>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w:t>
            </w:r>
          </w:p>
        </w:tc>
        <w:tc>
          <w:tcPr>
            <w:tcW w:w="1402" w:type="pct"/>
            <w:vAlign w:val="center"/>
          </w:tcPr>
          <w:p>
            <w:pPr>
              <w:widowControl/>
              <w:snapToGrid w:val="0"/>
              <w:jc w:val="center"/>
              <w:rPr>
                <w:rFonts w:ascii="Times New Roman" w:hAnsi="Times New Roman" w:eastAsiaTheme="minorEastAsia"/>
                <w:kern w:val="0"/>
              </w:rPr>
            </w:pPr>
            <w:r>
              <w:rPr>
                <w:rFonts w:ascii="Times New Roman" w:hAnsi="Times New Roman" w:eastAsiaTheme="minorEastAsia"/>
                <w:kern w:val="0"/>
              </w:rPr>
              <w:t>环卫部门清运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1" w:type="pct"/>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4</w:t>
            </w:r>
          </w:p>
        </w:tc>
        <w:tc>
          <w:tcPr>
            <w:tcW w:w="1097" w:type="pct"/>
            <w:shd w:val="clear" w:color="auto" w:fill="auto"/>
            <w:noWrap/>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废油渣</w:t>
            </w:r>
          </w:p>
        </w:tc>
        <w:tc>
          <w:tcPr>
            <w:tcW w:w="627" w:type="pct"/>
            <w:shd w:val="clear" w:color="auto" w:fill="auto"/>
            <w:noWrap/>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0.2</w:t>
            </w:r>
          </w:p>
        </w:tc>
        <w:tc>
          <w:tcPr>
            <w:tcW w:w="785" w:type="pct"/>
            <w:shd w:val="clear" w:color="auto" w:fill="auto"/>
            <w:noWrap/>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0.2</w:t>
            </w:r>
          </w:p>
        </w:tc>
        <w:tc>
          <w:tcPr>
            <w:tcW w:w="548" w:type="pct"/>
            <w:shd w:val="clear" w:color="auto" w:fill="auto"/>
            <w:noWrap/>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0</w:t>
            </w:r>
          </w:p>
        </w:tc>
        <w:tc>
          <w:tcPr>
            <w:tcW w:w="1402" w:type="pct"/>
            <w:vAlign w:val="center"/>
          </w:tcPr>
          <w:p>
            <w:pPr>
              <w:widowControl/>
              <w:snapToGrid w:val="0"/>
              <w:jc w:val="center"/>
              <w:rPr>
                <w:rFonts w:ascii="Times New Roman" w:hAnsi="Times New Roman" w:eastAsiaTheme="minorEastAsia"/>
                <w:kern w:val="0"/>
              </w:rPr>
            </w:pPr>
            <w:r>
              <w:rPr>
                <w:rFonts w:ascii="Times New Roman" w:hAnsi="Times New Roman" w:eastAsiaTheme="minorEastAsia"/>
                <w:kern w:val="0"/>
              </w:rPr>
              <w:t>委托有资质的单位处理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1" w:type="pct"/>
            <w:vAlign w:val="center"/>
          </w:tcPr>
          <w:p>
            <w:pPr>
              <w:widowControl/>
              <w:snapToGrid w:val="0"/>
              <w:jc w:val="center"/>
              <w:rPr>
                <w:rFonts w:ascii="Times New Roman" w:hAnsi="Times New Roman" w:eastAsiaTheme="minorEastAsia"/>
                <w:color w:val="000000"/>
                <w:kern w:val="0"/>
              </w:rPr>
            </w:pPr>
            <w:r>
              <w:rPr>
                <w:rFonts w:ascii="Times New Roman" w:hAnsi="Times New Roman" w:eastAsiaTheme="minorEastAsia"/>
                <w:color w:val="000000"/>
                <w:kern w:val="0"/>
              </w:rPr>
              <w:t>5</w:t>
            </w:r>
          </w:p>
        </w:tc>
        <w:tc>
          <w:tcPr>
            <w:tcW w:w="1097" w:type="pct"/>
            <w:shd w:val="clear" w:color="auto" w:fill="auto"/>
            <w:noWrap/>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生活污泥、沉渣</w:t>
            </w:r>
          </w:p>
        </w:tc>
        <w:tc>
          <w:tcPr>
            <w:tcW w:w="627" w:type="pct"/>
            <w:shd w:val="clear" w:color="auto" w:fill="auto"/>
            <w:noWrap/>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62</w:t>
            </w:r>
          </w:p>
        </w:tc>
        <w:tc>
          <w:tcPr>
            <w:tcW w:w="785" w:type="pct"/>
            <w:shd w:val="clear" w:color="auto" w:fill="auto"/>
            <w:noWrap/>
            <w:vAlign w:val="center"/>
          </w:tcPr>
          <w:p>
            <w:pPr>
              <w:adjustRightInd w:val="0"/>
              <w:snapToGrid w:val="0"/>
              <w:jc w:val="center"/>
              <w:rPr>
                <w:rFonts w:ascii="Times New Roman" w:hAnsi="Times New Roman" w:eastAsiaTheme="minorEastAsia"/>
              </w:rPr>
            </w:pPr>
            <w:r>
              <w:rPr>
                <w:rFonts w:ascii="Times New Roman" w:hAnsi="Times New Roman" w:eastAsiaTheme="minorEastAsia"/>
              </w:rPr>
              <w:t>62</w:t>
            </w:r>
          </w:p>
        </w:tc>
        <w:tc>
          <w:tcPr>
            <w:tcW w:w="548" w:type="pct"/>
            <w:shd w:val="clear" w:color="auto" w:fill="auto"/>
            <w:noWrap/>
            <w:vAlign w:val="center"/>
          </w:tcPr>
          <w:p>
            <w:pPr>
              <w:widowControl/>
              <w:snapToGrid w:val="0"/>
              <w:jc w:val="center"/>
              <w:rPr>
                <w:rFonts w:ascii="Times New Roman" w:hAnsi="Times New Roman" w:eastAsiaTheme="minorEastAsia"/>
                <w:kern w:val="0"/>
              </w:rPr>
            </w:pPr>
            <w:r>
              <w:rPr>
                <w:rFonts w:ascii="Times New Roman" w:hAnsi="Times New Roman" w:eastAsiaTheme="minorEastAsia"/>
                <w:kern w:val="0"/>
              </w:rPr>
              <w:t>0</w:t>
            </w:r>
          </w:p>
        </w:tc>
        <w:tc>
          <w:tcPr>
            <w:tcW w:w="1402" w:type="pct"/>
            <w:vAlign w:val="center"/>
          </w:tcPr>
          <w:p>
            <w:pPr>
              <w:widowControl/>
              <w:snapToGrid w:val="0"/>
              <w:jc w:val="center"/>
              <w:rPr>
                <w:rFonts w:ascii="Times New Roman" w:hAnsi="Times New Roman" w:eastAsiaTheme="minorEastAsia"/>
                <w:kern w:val="0"/>
              </w:rPr>
            </w:pPr>
            <w:r>
              <w:rPr>
                <w:rFonts w:ascii="Times New Roman" w:hAnsi="Times New Roman" w:eastAsiaTheme="minorEastAsia"/>
              </w:rPr>
              <w:t>交由华能岳阳电厂进行综合利用</w:t>
            </w:r>
          </w:p>
        </w:tc>
      </w:tr>
    </w:tbl>
    <w:p>
      <w:pPr>
        <w:adjustRightInd w:val="0"/>
        <w:snapToGrid w:val="0"/>
        <w:spacing w:line="360" w:lineRule="auto"/>
        <w:ind w:firstLine="480" w:firstLineChars="200"/>
        <w:rPr>
          <w:rFonts w:ascii="Times New Roman" w:hAnsi="Times New Roman" w:eastAsiaTheme="minorEastAsia"/>
          <w:sz w:val="24"/>
          <w:szCs w:val="24"/>
        </w:rPr>
      </w:pPr>
    </w:p>
    <w:p>
      <w:pPr>
        <w:pStyle w:val="5"/>
        <w:rPr>
          <w:rFonts w:eastAsiaTheme="minorEastAsia"/>
        </w:rPr>
      </w:pPr>
      <w:r>
        <w:rPr>
          <w:rFonts w:eastAsiaTheme="minorEastAsia"/>
        </w:rPr>
        <w:t>固体废物环境影响分析</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rPr>
        <w:t>营运期固体废物主要为工作人员生活垃圾、到港船舶生活垃圾、装卸作业废油以及机修废物（废油渣和废含油抹布）、污水处理站污泥、沉渣。</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w:t>
      </w:r>
      <w:r>
        <w:rPr>
          <w:rFonts w:ascii="Times New Roman" w:hAnsi="Times New Roman" w:eastAsiaTheme="minorEastAsia"/>
          <w:sz w:val="24"/>
          <w:szCs w:val="24"/>
          <w:lang w:val="zh-CN"/>
        </w:rPr>
        <w:t>到港船舶生活垃圾</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船舶垃圾一律自行带走，交海事部门环保船接收处理，严禁乱丢乱弃，对环境影响较小。</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sz w:val="24"/>
          <w:szCs w:val="24"/>
        </w:rPr>
        <w:t xml:space="preserve"> </w:t>
      </w:r>
      <w:r>
        <w:rPr>
          <w:rFonts w:ascii="Times New Roman" w:hAnsi="Times New Roman" w:eastAsiaTheme="minorEastAsia"/>
          <w:sz w:val="24"/>
          <w:szCs w:val="24"/>
          <w:lang w:val="zh-CN"/>
        </w:rPr>
        <w:t>港区工作人员生活垃圾</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本项目码头区工作人员生活垃圾通过垃圾简收集后，交由环卫部门定期清运，严禁乱丢乱弃，对环境影响较小。</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rPr>
        <w:t>⑶</w:t>
      </w:r>
      <w:r>
        <w:rPr>
          <w:rFonts w:ascii="Times New Roman" w:hAnsi="Times New Roman" w:eastAsiaTheme="minorEastAsia"/>
          <w:sz w:val="24"/>
        </w:rPr>
        <w:t xml:space="preserve"> 污水处理站污泥、沉渣</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rPr>
        <w:t>项目生活污水污水处理站、明沟、沉淀池等环保设施产生的污泥，交由华能岳阳电厂进行综合利用。</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⑸</w:t>
      </w:r>
      <w:r>
        <w:rPr>
          <w:rFonts w:ascii="Times New Roman" w:hAnsi="Times New Roman" w:eastAsiaTheme="minorEastAsia"/>
          <w:sz w:val="24"/>
          <w:szCs w:val="24"/>
        </w:rPr>
        <w:t xml:space="preserve"> </w:t>
      </w:r>
      <w:r>
        <w:rPr>
          <w:rFonts w:ascii="Times New Roman" w:hAnsi="Times New Roman" w:eastAsiaTheme="minorEastAsia"/>
          <w:sz w:val="24"/>
          <w:szCs w:val="24"/>
          <w:lang w:val="zh-CN"/>
        </w:rPr>
        <w:t>废油渣</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码头设备修理和装卸作业中产生的废油渣委托有资质单位处置，严禁乱丢乱弃，对环境影响较小。</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综上所述，本项目产生的固体废物均可通过合理途径进行处理处置，对环境影响较小。</w:t>
      </w:r>
    </w:p>
    <w:p>
      <w:pPr>
        <w:pStyle w:val="3"/>
        <w:rPr>
          <w:rFonts w:ascii="Times New Roman" w:hAnsi="Times New Roman" w:eastAsiaTheme="minorEastAsia"/>
          <w:b/>
          <w:szCs w:val="24"/>
        </w:rPr>
      </w:pPr>
      <w:bookmarkStart w:id="143" w:name="_Toc12395"/>
      <w:r>
        <w:rPr>
          <w:rFonts w:ascii="Times New Roman" w:hAnsi="Times New Roman" w:eastAsiaTheme="minorEastAsia"/>
          <w:b/>
        </w:rPr>
        <w:t>生态环境影响评价</w:t>
      </w:r>
      <w:bookmarkEnd w:id="143"/>
    </w:p>
    <w:p>
      <w:pPr>
        <w:pStyle w:val="4"/>
        <w:rPr>
          <w:rFonts w:eastAsiaTheme="minorEastAsia"/>
          <w:szCs w:val="24"/>
        </w:rPr>
      </w:pPr>
      <w:r>
        <w:rPr>
          <w:rFonts w:eastAsiaTheme="minorEastAsia"/>
        </w:rPr>
        <w:t>施工期生态环境影响分析</w:t>
      </w:r>
    </w:p>
    <w:p>
      <w:pPr>
        <w:pStyle w:val="5"/>
        <w:rPr>
          <w:rFonts w:eastAsiaTheme="minorEastAsia"/>
        </w:rPr>
      </w:pPr>
      <w:r>
        <w:rPr>
          <w:rFonts w:eastAsiaTheme="minorEastAsia"/>
        </w:rPr>
        <w:t>对水生生态的影响</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本项目施工期对水生生态的影响主要来自码头施工和施工船舶影响。</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b/>
          <w:sz w:val="24"/>
          <w:szCs w:val="24"/>
        </w:rPr>
        <w:t>1、</w:t>
      </w:r>
      <w:r>
        <w:rPr>
          <w:rFonts w:ascii="Times New Roman" w:hAnsi="Times New Roman" w:eastAsiaTheme="minorEastAsia"/>
          <w:b/>
          <w:sz w:val="24"/>
          <w:szCs w:val="24"/>
        </w:rPr>
        <w:t>码头施工影响分析</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码头施工工程采用重力式挡墙结构，需要在围堰内进行，施工区域与水域隔离。通过加强对施工物料和固废的管理，防止物料泄漏入河以及禁止向河中倾倒废物，码头施工期间对水生生态产生不利影响较小，仅在围堰形成和拆除过程中扰动河流底泥，引起施工水域内的悬浮物浓度增加，造成水质浑浊，进而影响浮游植物的光合作用和浮游动物的觅食。但围堰施工的持续时间较短，施工结束后，这种影响也随之消除。总体而言，采取围堰施工法后，码头施工对水生生态的影响很小。</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b/>
          <w:sz w:val="24"/>
          <w:szCs w:val="24"/>
        </w:rPr>
        <w:t>2、</w:t>
      </w:r>
      <w:r>
        <w:rPr>
          <w:rFonts w:ascii="Times New Roman" w:hAnsi="Times New Roman" w:eastAsiaTheme="minorEastAsia"/>
          <w:b/>
          <w:sz w:val="24"/>
          <w:szCs w:val="24"/>
        </w:rPr>
        <w:t>施工船舶影响分析</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施工船舶螺旋桨及船舶噪声可能对水中的鱼类等游泳动物产生不利影响，但游泳动物活动力强，具有遇船只逃避的本能，且本项目所在的长江为等外级航道，评价范围内的水生动物已基本适应现有航道水域环境，能够规避船舶活动频繁的水域，施工船舶不会对鱼类等游泳动物产生大的影响。</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施工船舶生活污水中的主要污染因子为化学需氧量、悬浮物、氨氮、总磷等，此外还包括含油污水，如果直接排入水体，可能引起水体污染，损害浮游生物、底栖生物群落结构和鱼类的生存、繁殖，影响水产生物的使用价值。因此，应加强对施工船舶污染物排放的管理，施工期船舶污染物由施工单位负责交海事部门环保船接收处理，禁止在施工水域排；放污水和固体废物，避免对水生生态造成不利影响。</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综上所述，本次工程范围内无珍稀水生生物资源，施工期对水生生态的影响较小。</w:t>
      </w:r>
    </w:p>
    <w:p>
      <w:pPr>
        <w:pStyle w:val="5"/>
        <w:rPr>
          <w:rFonts w:eastAsiaTheme="minorEastAsia"/>
        </w:rPr>
      </w:pPr>
      <w:r>
        <w:rPr>
          <w:rFonts w:eastAsiaTheme="minorEastAsia"/>
        </w:rPr>
        <w:t>对陆域生态的影响</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本项目陆域用地现状为河岸滩地，码头的建设将清除河岸滩地内的灌木、草本植被，使区域内生物总量减少、植被覆盖率降低。本项目占用长江岸线长度173m，长江岸线（湖南省岳阳市）总长度约163km，本项目占用湖南省岳阳市长江岸线长度仅为湖南省岳阳市长江岸线总长度的0.11%，占用滩地数量较小，植被损失量较小，不会导致长江河岸滩地的生态环境功能的退化，其生态功能和稳定性不会受到大的影响。</w:t>
      </w:r>
    </w:p>
    <w:p>
      <w:pPr>
        <w:pStyle w:val="4"/>
        <w:rPr>
          <w:rFonts w:eastAsiaTheme="minorEastAsia"/>
        </w:rPr>
      </w:pPr>
      <w:r>
        <w:rPr>
          <w:rFonts w:eastAsiaTheme="minorEastAsia"/>
        </w:rPr>
        <w:t>营运期生态环境影响分析</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从工程分析可以看出，工程营运后对生态环境的影响主要是对水域环境的影响，对陆域生态环境影响较小。对水域生态环境造成影响的主要因素有：到港船舶舱底油污水、船舶生活污水、趸船冲洗废水、码头生活污水、初期雨水等。</w:t>
      </w:r>
    </w:p>
    <w:p>
      <w:pPr>
        <w:pStyle w:val="5"/>
        <w:rPr>
          <w:rFonts w:eastAsiaTheme="minorEastAsia"/>
        </w:rPr>
      </w:pPr>
      <w:r>
        <w:rPr>
          <w:rFonts w:eastAsiaTheme="minorEastAsia"/>
        </w:rPr>
        <w:t>废水对水生生物的影响</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根据工程分析，本项目运营期产生的污水包括到港船舶舱底油污水、船舶生活污水、趸船冲洗废水、码头生活污水、初期雨水等，主要污染因子为COD、SS、NH</w:t>
      </w:r>
      <w:r>
        <w:rPr>
          <w:rFonts w:ascii="Times New Roman" w:hAnsi="Times New Roman" w:eastAsiaTheme="minorEastAsia"/>
          <w:sz w:val="24"/>
          <w:szCs w:val="24"/>
          <w:vertAlign w:val="subscript"/>
        </w:rPr>
        <w:t>3</w:t>
      </w:r>
      <w:r>
        <w:rPr>
          <w:rFonts w:ascii="Times New Roman" w:hAnsi="Times New Roman" w:eastAsiaTheme="minorEastAsia"/>
          <w:sz w:val="24"/>
          <w:szCs w:val="24"/>
        </w:rPr>
        <w:t>-N、BOD</w:t>
      </w:r>
      <w:r>
        <w:rPr>
          <w:rFonts w:ascii="Times New Roman" w:hAnsi="Times New Roman" w:eastAsiaTheme="minorEastAsia"/>
          <w:sz w:val="24"/>
          <w:szCs w:val="24"/>
          <w:vertAlign w:val="subscript"/>
        </w:rPr>
        <w:t>5</w:t>
      </w:r>
      <w:r>
        <w:rPr>
          <w:rFonts w:ascii="Times New Roman" w:hAnsi="Times New Roman" w:eastAsiaTheme="minorEastAsia"/>
          <w:sz w:val="24"/>
          <w:szCs w:val="24"/>
        </w:rPr>
        <w:t>、石油类。如果这部分不加处理直接排放，将会对附近水域一定范围内的水生生物产生较大影响，主要表现为：</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sz w:val="24"/>
          <w:szCs w:val="24"/>
        </w:rPr>
        <w:t xml:space="preserve"> </w:t>
      </w:r>
      <w:r>
        <w:rPr>
          <w:rFonts w:ascii="Times New Roman" w:hAnsi="Times New Roman" w:eastAsiaTheme="minorEastAsia"/>
          <w:sz w:val="24"/>
          <w:szCs w:val="24"/>
        </w:rPr>
        <w:t>如果油膜较厚且连成片，将使排放点附近水域水体的阳光透射率下降，降低浮游植物的光合作用，从而影响水域的初级生产力，同时干扰浮游动物的昼夜垂直迁移。</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sz w:val="24"/>
          <w:szCs w:val="24"/>
        </w:rPr>
        <w:t xml:space="preserve"> </w:t>
      </w:r>
      <w:r>
        <w:rPr>
          <w:rFonts w:ascii="Times New Roman" w:hAnsi="Times New Roman" w:eastAsiaTheme="minorEastAsia"/>
          <w:sz w:val="24"/>
          <w:szCs w:val="24"/>
        </w:rPr>
        <w:t>油污染还可能伤害水生生物的化学感应器，干扰、破坏生物的趋化性，使其感应系统发生素乱。</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⑶</w:t>
      </w:r>
      <w:r>
        <w:rPr>
          <w:rFonts w:ascii="Times New Roman" w:hAnsi="Times New Roman"/>
          <w:sz w:val="24"/>
          <w:szCs w:val="24"/>
        </w:rPr>
        <w:t xml:space="preserve"> </w:t>
      </w:r>
      <w:r>
        <w:rPr>
          <w:rFonts w:ascii="Times New Roman" w:hAnsi="Times New Roman" w:eastAsiaTheme="minorEastAsia"/>
          <w:sz w:val="24"/>
          <w:szCs w:val="24"/>
        </w:rPr>
        <w:t>动物的卵和幼体对油污染非常敏感，而且由于卵和幼体大多漂浮在水体表层，若表层油污染浓度最高，那对生物种类的破坏性较大。</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⑷</w:t>
      </w:r>
      <w:r>
        <w:rPr>
          <w:rFonts w:ascii="Times New Roman" w:hAnsi="Times New Roman"/>
          <w:sz w:val="24"/>
          <w:szCs w:val="24"/>
        </w:rPr>
        <w:t xml:space="preserve"> </w:t>
      </w:r>
      <w:r>
        <w:rPr>
          <w:rFonts w:ascii="Times New Roman" w:hAnsi="Times New Roman" w:eastAsiaTheme="minorEastAsia"/>
          <w:sz w:val="24"/>
          <w:szCs w:val="24"/>
        </w:rPr>
        <w:t>生活污水中的有机物进入水体，将消耗水体中的溶解氧，降低水中溶解氧的含量，影响水生生物代谢和呼吸，使好氧生物生长受到抑制、厌氧和兼氧生物种类快速繁殖，从而改变原有的种类结构，引起生态平衡失调。</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本项目船舶舱底油废水经船舱自备油水分离器处理后由海事部门指定的接污船接收处理，船舶生活污水由船舶交给海事部门环保船接收处理，不得在码头水域内排放：趸船冲洗废水、初期雨水、码头生活污水收集后经后方码头院内的散货污水处理站处理达到《污水综合排放标准》（GB8978-1996）一级标准后，再通过管道泵送至电厂厂区用作绿化用水。</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因此，本项目运营期所产生的污水都得到有效处理，不直接向长江等水体排放，对长江等水体水质及水生生态系统的影响较小。</w:t>
      </w:r>
    </w:p>
    <w:p>
      <w:pPr>
        <w:pStyle w:val="5"/>
        <w:rPr>
          <w:rFonts w:eastAsiaTheme="minorEastAsia"/>
        </w:rPr>
      </w:pPr>
      <w:r>
        <w:rPr>
          <w:rFonts w:eastAsiaTheme="minorEastAsia"/>
        </w:rPr>
        <w:t>码头结构对水生生态的影响</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码头采用浮码头结构，不阻挡鱼类的洄游通道。施工期影响主要是桩基施工作业对水生生物的驱赶效应，采取施工期避开鱼类产卵季节等措施后，施工对鱼类影响不大，且码头水域无珍稀水生生物分布，故本项目码头结构对水生生态的影响较小。</w:t>
      </w:r>
    </w:p>
    <w:p>
      <w:pPr>
        <w:pStyle w:val="5"/>
        <w:rPr>
          <w:rFonts w:eastAsiaTheme="minorEastAsia"/>
        </w:rPr>
      </w:pPr>
      <w:r>
        <w:rPr>
          <w:rFonts w:eastAsiaTheme="minorEastAsia"/>
        </w:rPr>
        <w:t>码头运营对水生生物的影响</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sz w:val="24"/>
          <w:szCs w:val="24"/>
        </w:rPr>
        <w:t xml:space="preserve"> </w:t>
      </w:r>
      <w:r>
        <w:rPr>
          <w:rFonts w:ascii="Times New Roman" w:hAnsi="Times New Roman" w:eastAsiaTheme="minorEastAsia"/>
          <w:sz w:val="24"/>
          <w:szCs w:val="24"/>
        </w:rPr>
        <w:t>对鱼类的影响</w:t>
      </w:r>
    </w:p>
    <w:p>
      <w:pPr>
        <w:adjustRightInd w:val="0"/>
        <w:snapToGrid w:val="0"/>
        <w:spacing w:line="360" w:lineRule="auto"/>
        <w:ind w:firstLine="482"/>
        <w:rPr>
          <w:rFonts w:ascii="Times New Roman" w:hAnsi="Times New Roman" w:eastAsiaTheme="minorEastAsia"/>
          <w:sz w:val="24"/>
          <w:szCs w:val="24"/>
        </w:rPr>
      </w:pPr>
      <w:r>
        <w:rPr>
          <w:rFonts w:ascii="Times New Roman" w:hAnsi="Times New Roman" w:eastAsiaTheme="minorEastAsia"/>
          <w:sz w:val="24"/>
          <w:szCs w:val="24"/>
        </w:rPr>
        <w:t>本项目码头前沿过水断面开阔，不会对鱼类生存及洄游产生明显不利影响。</w:t>
      </w:r>
    </w:p>
    <w:p>
      <w:pPr>
        <w:adjustRightInd w:val="0"/>
        <w:snapToGrid w:val="0"/>
        <w:spacing w:line="360" w:lineRule="auto"/>
        <w:ind w:firstLine="482"/>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sz w:val="24"/>
          <w:szCs w:val="24"/>
        </w:rPr>
        <w:t xml:space="preserve"> </w:t>
      </w:r>
      <w:r>
        <w:rPr>
          <w:rFonts w:ascii="Times New Roman" w:hAnsi="Times New Roman" w:eastAsiaTheme="minorEastAsia"/>
          <w:sz w:val="24"/>
          <w:szCs w:val="24"/>
        </w:rPr>
        <w:t>对浮游及底栖生物的影响</w:t>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sz w:val="24"/>
          <w:szCs w:val="24"/>
        </w:rPr>
        <w:t>船舶航行会对周围水体产生扰动，这些扰动会对水域水生生物的生物量、种类及栖息环境产生一定影响。但由于船舶是在水体上层航行，主要影响也集中在上层水域，水生生物</w:t>
      </w:r>
      <w:r>
        <w:rPr>
          <w:rFonts w:ascii="Times New Roman" w:hAnsi="Times New Roman" w:eastAsiaTheme="minorEastAsia"/>
          <w:color w:val="000000" w:themeColor="text1"/>
          <w:sz w:val="24"/>
          <w:szCs w:val="24"/>
          <w14:textFill>
            <w14:solidFill>
              <w14:schemeClr w14:val="tx1"/>
            </w14:solidFill>
          </w14:textFill>
        </w:rPr>
        <w:t>除浮游生物（主要是浮游植物）在水体表层活动强度较大外，其它生物多在中层：及底层活动，且水生生物的浮（游）动性较强，会自动规避船舶带来的扰动。因此，船舶航行对水体扰动影响范围较小，对水生生物的影响较小，不会根本改变水生生物的栖息环境，也不会使生物种类、数量明显减少。</w:t>
      </w:r>
    </w:p>
    <w:p>
      <w:pPr>
        <w:pStyle w:val="4"/>
        <w:rPr>
          <w:rFonts w:eastAsiaTheme="minorEastAsia"/>
        </w:rPr>
      </w:pPr>
      <w:r>
        <w:rPr>
          <w:rFonts w:eastAsiaTheme="minorEastAsia"/>
        </w:rPr>
        <w:t>对东洞庭湖自然保护区和岳阳楼-洞庭湖风景名胜区的影响分析</w:t>
      </w:r>
    </w:p>
    <w:p>
      <w:pPr>
        <w:pStyle w:val="5"/>
        <w:rPr>
          <w:rFonts w:eastAsiaTheme="minorEastAsia"/>
        </w:rPr>
      </w:pPr>
      <w:bookmarkStart w:id="144" w:name="_Toc41051189"/>
      <w:r>
        <w:rPr>
          <w:rFonts w:eastAsiaTheme="minorEastAsia"/>
        </w:rPr>
        <w:t>生态系统及环境质量的影响分析</w:t>
      </w:r>
      <w:bookmarkEnd w:id="144"/>
    </w:p>
    <w:p>
      <w:pPr>
        <w:adjustRightInd w:val="0"/>
        <w:snapToGrid w:val="0"/>
        <w:spacing w:line="360" w:lineRule="auto"/>
        <w:ind w:firstLine="482" w:firstLineChars="200"/>
        <w:rPr>
          <w:rFonts w:ascii="Times New Roman" w:hAnsi="Times New Roman"/>
          <w:b/>
          <w:sz w:val="24"/>
          <w:szCs w:val="24"/>
        </w:rPr>
      </w:pPr>
      <w:bookmarkStart w:id="145" w:name="_Toc438460368"/>
      <w:bookmarkStart w:id="146" w:name="_Toc418849710"/>
      <w:bookmarkStart w:id="147" w:name="_Toc374023247"/>
      <w:bookmarkStart w:id="148" w:name="_Toc417054555"/>
      <w:bookmarkStart w:id="149" w:name="_Toc345338348"/>
      <w:bookmarkStart w:id="150" w:name="_Toc373923478"/>
      <w:r>
        <w:rPr>
          <w:rFonts w:ascii="Times New Roman" w:hAnsi="Times New Roman"/>
          <w:b/>
          <w:sz w:val="24"/>
          <w:szCs w:val="24"/>
        </w:rPr>
        <w:t>1、对生态系统的影响分析</w:t>
      </w:r>
      <w:bookmarkEnd w:id="145"/>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rPr>
        <w:t>⑴</w:t>
      </w:r>
      <w:r>
        <w:rPr>
          <w:rFonts w:ascii="Times New Roman" w:hAnsi="Times New Roman"/>
          <w:sz w:val="24"/>
          <w:szCs w:val="24"/>
        </w:rPr>
        <w:t xml:space="preserve"> 对灌丛/灌草丛生态系统的影响</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kern w:val="0"/>
          <w:sz w:val="24"/>
          <w:szCs w:val="24"/>
        </w:rPr>
        <w:t>重点评价范围内的灌丛/灌草丛生态系统面积较大，大部分也是分布在岸边的环境中。在码头裸露的沙洲上也有少量的灌丛/灌草丛等分布，主要为芦苇等湿生植被，</w:t>
      </w:r>
      <w:r>
        <w:rPr>
          <w:rFonts w:ascii="Times New Roman" w:hAnsi="Times New Roman" w:eastAsiaTheme="minorEastAsia"/>
          <w:sz w:val="24"/>
          <w:szCs w:val="24"/>
        </w:rPr>
        <w:t>码头的建设将清除河岸滩地内的灌木、草本植被，使区域内生物总量减少、植被覆盖率降低。本项目占用长江</w:t>
      </w:r>
      <w:r>
        <w:rPr>
          <w:rFonts w:ascii="Times New Roman" w:hAnsi="Times New Roman" w:eastAsiaTheme="minorEastAsia"/>
          <w:color w:val="000000" w:themeColor="text1"/>
          <w:sz w:val="24"/>
          <w:szCs w:val="24"/>
          <w14:textFill>
            <w14:solidFill>
              <w14:schemeClr w14:val="tx1"/>
            </w14:solidFill>
          </w14:textFill>
        </w:rPr>
        <w:t>岸线长度173m，长江岸线（湖南省岳阳市）总长度约163km，本项目占用湖南省岳阳市长江岸线长度仅为湖南省岳阳市长江岸线总长度的0.11%，</w:t>
      </w:r>
      <w:r>
        <w:rPr>
          <w:rFonts w:ascii="Times New Roman" w:hAnsi="Times New Roman" w:eastAsiaTheme="minorEastAsia"/>
          <w:sz w:val="24"/>
          <w:szCs w:val="24"/>
        </w:rPr>
        <w:t>占用滩地数量较小，植被损失量较小，不会导致长江河岸滩地的生态环境功能的退化，其生态功能和稳定性不会受到大的影响。</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rPr>
        <w:t>⑵</w:t>
      </w:r>
      <w:r>
        <w:rPr>
          <w:rFonts w:ascii="Times New Roman" w:hAnsi="Times New Roman"/>
          <w:sz w:val="24"/>
          <w:szCs w:val="24"/>
        </w:rPr>
        <w:t xml:space="preserve"> 对农业生态系统的影响</w:t>
      </w:r>
      <w:bookmarkEnd w:id="146"/>
      <w:bookmarkEnd w:id="147"/>
      <w:bookmarkEnd w:id="148"/>
      <w:bookmarkEnd w:id="149"/>
      <w:bookmarkEnd w:id="150"/>
    </w:p>
    <w:p>
      <w:pPr>
        <w:adjustRightInd w:val="0"/>
        <w:snapToGrid w:val="0"/>
        <w:spacing w:line="360" w:lineRule="auto"/>
        <w:ind w:firstLine="480" w:firstLineChars="200"/>
        <w:rPr>
          <w:rFonts w:ascii="Times New Roman" w:hAnsi="Times New Roman"/>
          <w:kern w:val="0"/>
          <w:sz w:val="24"/>
          <w:szCs w:val="24"/>
        </w:rPr>
      </w:pPr>
      <w:r>
        <w:rPr>
          <w:rFonts w:ascii="Times New Roman" w:hAnsi="Times New Roman"/>
          <w:sz w:val="24"/>
          <w:szCs w:val="24"/>
        </w:rPr>
        <w:t>本项目重点评价区域的农业生态系统主要分布在沿岸的陆域环境。拟建工程评价范围内</w:t>
      </w:r>
      <w:r>
        <w:rPr>
          <w:rFonts w:ascii="Times New Roman" w:hAnsi="Times New Roman"/>
          <w:kern w:val="0"/>
          <w:sz w:val="24"/>
          <w:szCs w:val="24"/>
        </w:rPr>
        <w:t>没有农业生态系统分布，因此码头施工对重点评价区的农业生态系统基本无影响。</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rPr>
        <w:t>⑶</w:t>
      </w:r>
      <w:r>
        <w:rPr>
          <w:rFonts w:ascii="Times New Roman" w:hAnsi="Times New Roman"/>
          <w:sz w:val="24"/>
          <w:szCs w:val="24"/>
        </w:rPr>
        <w:t xml:space="preserve"> 对湿地生态系统的影响</w:t>
      </w:r>
    </w:p>
    <w:p>
      <w:pPr>
        <w:pStyle w:val="840"/>
        <w:adjustRightInd w:val="0"/>
        <w:snapToGrid w:val="0"/>
        <w:rPr>
          <w:color w:val="auto"/>
        </w:rPr>
      </w:pPr>
      <w:r>
        <w:rPr>
          <w:color w:val="auto"/>
        </w:rPr>
        <w:t>施工期的码头施工和施工船舶均会对湿地生态系统的水生生物产生一定的不利影响；</w:t>
      </w:r>
      <w:r>
        <w:rPr>
          <w:rFonts w:eastAsiaTheme="minorEastAsia"/>
        </w:rPr>
        <w:t>围堰施工</w:t>
      </w:r>
      <w:r>
        <w:rPr>
          <w:color w:val="auto"/>
        </w:rPr>
        <w:t>物料泄漏会进一步对湿地生态系统的水质产生不利影响。</w:t>
      </w:r>
      <w:r>
        <w:rPr>
          <w:rFonts w:eastAsiaTheme="minorEastAsia"/>
        </w:rPr>
        <w:t>施工船舶生活污水中的主要污染因子为化学需氧量、悬浮物、氨氮、总磷等，此外还包括含油污水，如果直接排入水体，可能引起水体污染。围堰施工的持续时间较短，施工结束后，这种影响也随之消除，评价范围内的水生动物已基本适应现有航道水域环境，能够规避船舶活动频繁的水域，施工船舶不会对鱼类等游泳动物产生大的影响</w:t>
      </w:r>
      <w:r>
        <w:rPr>
          <w:color w:val="auto"/>
        </w:rPr>
        <w:t>。</w:t>
      </w:r>
    </w:p>
    <w:p>
      <w:pPr>
        <w:adjustRightInd w:val="0"/>
        <w:snapToGrid w:val="0"/>
        <w:spacing w:line="360" w:lineRule="auto"/>
        <w:ind w:firstLine="480" w:firstLineChars="200"/>
        <w:rPr>
          <w:rFonts w:ascii="Times New Roman" w:hAnsi="Times New Roman"/>
          <w:sz w:val="24"/>
          <w:szCs w:val="24"/>
        </w:rPr>
      </w:pPr>
      <w:bookmarkStart w:id="151" w:name="_Toc416885766"/>
      <w:bookmarkEnd w:id="151"/>
      <w:bookmarkStart w:id="152" w:name="_Toc416885768"/>
      <w:bookmarkEnd w:id="152"/>
      <w:bookmarkStart w:id="153" w:name="_Toc416885763"/>
      <w:bookmarkEnd w:id="153"/>
      <w:bookmarkStart w:id="154" w:name="_Toc416885761"/>
      <w:bookmarkEnd w:id="154"/>
      <w:bookmarkStart w:id="155" w:name="_Toc416885765"/>
      <w:bookmarkEnd w:id="155"/>
      <w:bookmarkStart w:id="156" w:name="_Toc416885767"/>
      <w:bookmarkEnd w:id="156"/>
      <w:bookmarkStart w:id="157" w:name="_Toc416885760"/>
      <w:bookmarkEnd w:id="157"/>
      <w:bookmarkStart w:id="158" w:name="_Toc416885762"/>
      <w:bookmarkEnd w:id="158"/>
      <w:bookmarkStart w:id="159" w:name="_Toc416885764"/>
      <w:bookmarkEnd w:id="159"/>
      <w:bookmarkStart w:id="160" w:name="_Toc416885769"/>
      <w:bookmarkEnd w:id="160"/>
      <w:bookmarkStart w:id="161" w:name="_Toc417054558"/>
      <w:bookmarkStart w:id="162" w:name="_Toc374023250"/>
      <w:bookmarkStart w:id="163" w:name="_Toc418849713"/>
      <w:bookmarkStart w:id="164" w:name="_Toc345338351"/>
      <w:bookmarkStart w:id="165" w:name="_Toc373923481"/>
      <w:r>
        <w:rPr>
          <w:rFonts w:hint="eastAsia" w:ascii="宋体" w:hAnsi="宋体" w:cs="宋体"/>
          <w:sz w:val="24"/>
          <w:szCs w:val="24"/>
        </w:rPr>
        <w:t>⑷</w:t>
      </w:r>
      <w:r>
        <w:rPr>
          <w:rFonts w:ascii="Times New Roman" w:hAnsi="Times New Roman"/>
          <w:sz w:val="24"/>
          <w:szCs w:val="24"/>
        </w:rPr>
        <w:t xml:space="preserve"> </w:t>
      </w:r>
      <w:r>
        <w:rPr>
          <w:rFonts w:ascii="Times New Roman" w:hAnsi="Times New Roman"/>
          <w:iCs/>
          <w:sz w:val="24"/>
          <w:szCs w:val="24"/>
        </w:rPr>
        <w:t>对城镇/村落生态系统的影响</w:t>
      </w:r>
      <w:bookmarkEnd w:id="161"/>
      <w:bookmarkEnd w:id="162"/>
      <w:bookmarkEnd w:id="163"/>
      <w:bookmarkEnd w:id="164"/>
      <w:bookmarkEnd w:id="165"/>
    </w:p>
    <w:p>
      <w:pPr>
        <w:pStyle w:val="840"/>
        <w:adjustRightInd w:val="0"/>
        <w:snapToGrid w:val="0"/>
        <w:rPr>
          <w:color w:val="auto"/>
        </w:rPr>
      </w:pPr>
      <w:r>
        <w:rPr>
          <w:color w:val="auto"/>
        </w:rPr>
        <w:t>本项目重点评价区的</w:t>
      </w:r>
      <w:r>
        <w:rPr>
          <w:iCs/>
          <w:color w:val="auto"/>
        </w:rPr>
        <w:t>城镇/村落生态系统</w:t>
      </w:r>
      <w:r>
        <w:rPr>
          <w:color w:val="auto"/>
        </w:rPr>
        <w:t>面积较小，也主要集中在东岸的道路两侧，相对较为分散，并且距离码头区域相对较远，对城镇/村落生态系统内的动植物产生的影响较小。在施工前注意对施工人员进行环保意识的宣传教育，在施工期避免或尽量减少垃圾和污水的排放。</w:t>
      </w:r>
    </w:p>
    <w:p>
      <w:pPr>
        <w:pStyle w:val="841"/>
        <w:adjustRightInd w:val="0"/>
        <w:ind w:firstLineChars="200"/>
        <w:rPr>
          <w:rFonts w:ascii="Times New Roman" w:eastAsiaTheme="minorEastAsia"/>
          <w:b/>
          <w:szCs w:val="24"/>
        </w:rPr>
      </w:pPr>
      <w:bookmarkStart w:id="166" w:name="_Toc438460369"/>
      <w:r>
        <w:rPr>
          <w:rFonts w:ascii="Times New Roman"/>
          <w:b/>
          <w:szCs w:val="24"/>
        </w:rPr>
        <w:t>2、对环境质量的影响分析</w:t>
      </w:r>
      <w:bookmarkEnd w:id="166"/>
    </w:p>
    <w:p>
      <w:pPr>
        <w:pStyle w:val="841"/>
        <w:adjustRightInd w:val="0"/>
        <w:ind w:firstLine="480" w:firstLineChars="200"/>
        <w:rPr>
          <w:rFonts w:ascii="Times New Roman" w:eastAsiaTheme="minorEastAsia"/>
          <w:szCs w:val="24"/>
        </w:rPr>
      </w:pPr>
      <w:r>
        <w:rPr>
          <w:rFonts w:hint="eastAsia" w:hAnsi="宋体" w:cs="宋体"/>
          <w:szCs w:val="24"/>
        </w:rPr>
        <w:t>⑴</w:t>
      </w:r>
      <w:r>
        <w:rPr>
          <w:rFonts w:ascii="Times New Roman"/>
          <w:szCs w:val="24"/>
        </w:rPr>
        <w:t xml:space="preserve"> 声环境的影响分析</w:t>
      </w:r>
    </w:p>
    <w:p>
      <w:pPr>
        <w:pStyle w:val="841"/>
        <w:adjustRightInd w:val="0"/>
        <w:ind w:firstLine="480" w:firstLineChars="200"/>
        <w:rPr>
          <w:rFonts w:ascii="Times New Roman"/>
          <w:kern w:val="2"/>
          <w:szCs w:val="24"/>
        </w:rPr>
      </w:pPr>
      <w:r>
        <w:rPr>
          <w:rFonts w:ascii="Times New Roman" w:eastAsiaTheme="minorEastAsia"/>
          <w:color w:val="000000" w:themeColor="text1"/>
          <w:szCs w:val="24"/>
          <w14:textFill>
            <w14:solidFill>
              <w14:schemeClr w14:val="tx1"/>
            </w14:solidFill>
          </w14:textFill>
        </w:rPr>
        <w:t>根据预测结果，在不考虑偶发噪声的情况下，四周厂界昼间噪声值满足《工业企业厂界环境噪声排放标准》（GB12348-2008）4类标准要求。由于本项目厂界周边200</w:t>
      </w:r>
      <w:r>
        <w:rPr>
          <w:rFonts w:hint="eastAsia" w:ascii="Times New Roman" w:eastAsiaTheme="minorEastAsia"/>
          <w:color w:val="000000" w:themeColor="text1"/>
          <w:szCs w:val="24"/>
          <w14:textFill>
            <w14:solidFill>
              <w14:schemeClr w14:val="tx1"/>
            </w14:solidFill>
          </w14:textFill>
        </w:rPr>
        <w:t>m</w:t>
      </w:r>
      <w:r>
        <w:rPr>
          <w:rFonts w:ascii="Times New Roman" w:eastAsiaTheme="minorEastAsia"/>
          <w:color w:val="000000" w:themeColor="text1"/>
          <w:szCs w:val="24"/>
          <w14:textFill>
            <w14:solidFill>
              <w14:schemeClr w14:val="tx1"/>
            </w14:solidFill>
          </w14:textFill>
        </w:rPr>
        <w:t>范围内无居民点等敏感点，因此，本项目噪声不会产生扰民现象。但项</w:t>
      </w:r>
      <w:r>
        <w:rPr>
          <w:rFonts w:ascii="Times New Roman" w:eastAsiaTheme="minorEastAsia"/>
          <w:szCs w:val="24"/>
        </w:rPr>
        <w:t>目营运期应采取严格的管理措施，进出港船舶必须按相关要求合理使用鸣笛设备，减小偶发噪声对周围声环境的影响</w:t>
      </w:r>
      <w:r>
        <w:rPr>
          <w:rFonts w:ascii="Times New Roman"/>
          <w:kern w:val="2"/>
          <w:szCs w:val="24"/>
        </w:rPr>
        <w:t>。</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sz w:val="24"/>
          <w:szCs w:val="24"/>
        </w:rPr>
        <w:t xml:space="preserve"> 大气环境的影响分析</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在施工过程中，扬尘污染主要来源于：土方的挖掘、堆放、清运、土方回填和场地平整等过程产生的扬尘；建筑材料如水泥、白灰、砂子等在其装卸、运输、堆放过程中，因风力作用将产生扬尘污染；搅拌车辆和运输车辆往来将造成地面扬尘；施工垃圾在其堆放和清运过程中将产生扬尘。由于本项目建设周期短，牵涉的范围也较小，且当地的大气扩散条件较好，空气湿润，降雨量大，这在一定程度上可减轻扬尘的影响。因此工程施工造成的TSP污染程度较小、时间较短。随着施工的结束，这种影响也随之结束。</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⑶</w:t>
      </w:r>
      <w:r>
        <w:rPr>
          <w:rFonts w:ascii="Times New Roman" w:hAnsi="Times New Roman"/>
          <w:sz w:val="24"/>
          <w:szCs w:val="24"/>
        </w:rPr>
        <w:t xml:space="preserve"> 水环境质量的影响分析</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拟建项目施工期污水主要发生在泊位建设、岸上辅助设施等建设过程中，对水环境的影响主要是主体结构水下施工对水环境的影响以及施工期生活污水、生产废水及船舶油污水对水环境的影响。根据码头建设项目施工废水特征，施工期间在施工场地四周设置截水沟截留雨水径流，并在施工场地内设置隔油池和沉淀池对收集的施工废水进行隔油、沉淀处理，处理水首先循环回用于施工生产，其余用于施工现场的洒水防尘和车辆、机械冲洗，不向外排放，对本项目所在地地表水环境的影响较小。</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根据工程分析，本项目运营期的主要污水为：船舶含油废水、船舶生活污水、码头地面冲洗水、初期雨水、码头生活污水等。本项目废水均得到有效处理，对周围水体水质影响较小。</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⑷</w:t>
      </w:r>
      <w:r>
        <w:rPr>
          <w:rFonts w:ascii="Times New Roman" w:hAnsi="Times New Roman" w:eastAsiaTheme="minorEastAsia"/>
          <w:sz w:val="24"/>
          <w:szCs w:val="24"/>
        </w:rPr>
        <w:t xml:space="preserve"> </w:t>
      </w:r>
      <w:r>
        <w:rPr>
          <w:rFonts w:ascii="Times New Roman" w:hAnsi="Times New Roman"/>
          <w:sz w:val="24"/>
          <w:szCs w:val="24"/>
        </w:rPr>
        <w:t>固体废物环境的影响分析</w:t>
      </w:r>
    </w:p>
    <w:p>
      <w:pPr>
        <w:adjustRightInd w:val="0"/>
        <w:snapToGrid w:val="0"/>
        <w:spacing w:line="360" w:lineRule="auto"/>
        <w:ind w:firstLine="480" w:firstLineChars="200"/>
        <w:rPr>
          <w:rFonts w:ascii="Times New Roman" w:hAnsi="Times New Roman"/>
          <w:snapToGrid w:val="0"/>
          <w:kern w:val="0"/>
          <w:sz w:val="24"/>
          <w:szCs w:val="24"/>
        </w:rPr>
      </w:pPr>
      <w:r>
        <w:rPr>
          <w:rFonts w:ascii="Times New Roman" w:hAnsi="Times New Roman" w:eastAsiaTheme="minorEastAsia"/>
          <w:sz w:val="24"/>
          <w:szCs w:val="24"/>
        </w:rPr>
        <w:t>施工期陆域生活垃圾拟由环卫部门收集处理，船舶生活垃圾由施工单位负责交海事部门环保船接收处理。建筑垃圾中可利用的物料较多，应根据情况尽量回收利用，以降低成本并减少其发生量</w:t>
      </w:r>
      <w:r>
        <w:rPr>
          <w:rFonts w:ascii="Times New Roman" w:hAnsi="Times New Roman"/>
          <w:snapToGrid w:val="0"/>
          <w:kern w:val="0"/>
          <w:sz w:val="24"/>
          <w:szCs w:val="24"/>
        </w:rPr>
        <w:t>。</w:t>
      </w:r>
    </w:p>
    <w:p>
      <w:pPr>
        <w:adjustRightInd w:val="0"/>
        <w:snapToGrid w:val="0"/>
        <w:spacing w:line="360" w:lineRule="auto"/>
        <w:ind w:firstLine="480" w:firstLineChars="200"/>
        <w:rPr>
          <w:rFonts w:ascii="Times New Roman" w:hAnsi="Times New Roman"/>
          <w:snapToGrid w:val="0"/>
          <w:color w:val="000000" w:themeColor="text1"/>
          <w:kern w:val="0"/>
          <w:sz w:val="24"/>
          <w:szCs w:val="24"/>
          <w:lang w:val="zh-CN"/>
          <w14:textFill>
            <w14:solidFill>
              <w14:schemeClr w14:val="tx1"/>
            </w14:solidFill>
          </w14:textFill>
        </w:rPr>
      </w:pPr>
      <w:r>
        <w:rPr>
          <w:rFonts w:ascii="Times New Roman" w:hAnsi="Times New Roman" w:eastAsiaTheme="minorEastAsia"/>
          <w:sz w:val="24"/>
          <w:szCs w:val="24"/>
        </w:rPr>
        <w:t>根据工程分析，本项目运营期间固体废弃物可分为船舶垃圾和陆域垃圾两部分，船舶垃圾主要为船员生活垃圾及船舶保养产生的固体废弃物，陆域垃圾主要为陆域生活垃圾、检修废物和废水处理站污泥。本项目危险废物临时存放时间为1个月，其后废油等危险固废委托有资质单位处置。码头生活垃圾通过垃圾筒收集后，交由环卫部门定期清运，环卫部门采用封闭式垃圾清运车清运</w:t>
      </w:r>
      <w:r>
        <w:rPr>
          <w:rFonts w:ascii="Times New Roman" w:hAnsi="Times New Roman" w:eastAsiaTheme="minorEastAsia"/>
          <w:color w:val="000000" w:themeColor="text1"/>
          <w:sz w:val="24"/>
          <w:szCs w:val="24"/>
          <w14:textFill>
            <w14:solidFill>
              <w14:schemeClr w14:val="tx1"/>
            </w14:solidFill>
          </w14:textFill>
        </w:rPr>
        <w:t>。因此，本项目固体废物对环境影响较小。</w:t>
      </w:r>
    </w:p>
    <w:p>
      <w:pPr>
        <w:pStyle w:val="5"/>
        <w:rPr>
          <w:rFonts w:eastAsiaTheme="minorEastAsia"/>
        </w:rPr>
      </w:pPr>
      <w:bookmarkStart w:id="167" w:name="_Toc41051190"/>
      <w:bookmarkStart w:id="168" w:name="_Toc438460370"/>
      <w:r>
        <w:rPr>
          <w:rFonts w:eastAsiaTheme="minorEastAsia"/>
        </w:rPr>
        <w:t>植被及植物多样性影响分析</w:t>
      </w:r>
      <w:bookmarkEnd w:id="167"/>
      <w:bookmarkEnd w:id="168"/>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本项目对植物的不利影响主要表现为码头施工期对地表植物物种及植被造成的直接破坏，主要是导致评价区内植被面积减少，生物量降低，主要影响灌草丛植被。</w:t>
      </w:r>
    </w:p>
    <w:p>
      <w:pPr>
        <w:autoSpaceDE w:val="0"/>
        <w:autoSpaceDN w:val="0"/>
        <w:adjustRightInd w:val="0"/>
        <w:snapToGrid w:val="0"/>
        <w:spacing w:line="360" w:lineRule="auto"/>
        <w:ind w:firstLine="482" w:firstLineChars="200"/>
        <w:rPr>
          <w:rFonts w:ascii="Times New Roman" w:hAnsi="Times New Roman"/>
          <w:b/>
          <w:sz w:val="24"/>
          <w:szCs w:val="24"/>
          <w:lang w:val="zh-CN"/>
        </w:rPr>
      </w:pPr>
      <w:bookmarkStart w:id="169" w:name="_Toc418849715"/>
      <w:bookmarkStart w:id="170" w:name="_Toc417054560"/>
      <w:bookmarkStart w:id="171" w:name="_Toc438460371"/>
      <w:bookmarkStart w:id="172" w:name="_Toc438460373"/>
      <w:r>
        <w:rPr>
          <w:rFonts w:ascii="Times New Roman" w:hAnsi="Times New Roman"/>
          <w:b/>
          <w:sz w:val="24"/>
          <w:szCs w:val="24"/>
        </w:rPr>
        <w:t>1、施工期影响</w:t>
      </w:r>
      <w:bookmarkEnd w:id="169"/>
      <w:bookmarkEnd w:id="170"/>
      <w:bookmarkEnd w:id="171"/>
    </w:p>
    <w:p>
      <w:pPr>
        <w:autoSpaceDE w:val="0"/>
        <w:autoSpaceDN w:val="0"/>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lang w:val="zh-CN"/>
        </w:rPr>
        <w:t>⑴</w:t>
      </w:r>
      <w:r>
        <w:rPr>
          <w:rFonts w:ascii="Times New Roman" w:hAnsi="Times New Roman"/>
          <w:sz w:val="24"/>
          <w:szCs w:val="24"/>
          <w:lang w:val="zh-CN"/>
        </w:rPr>
        <w:t xml:space="preserve"> 永久占地：仓库、堆场及其它基地建筑、道路等工程都在长江大堤外，即保护区以外，拟建码头工程永久占地主要为桩基工程、钢引桥、墩台、变电所和转运站，其修建将使所占区域的植被受到破坏，从植被分布现状调查的结果看，受到直接影响的植被类型主要是草丛。从统计数据来看，占用的植被类型几乎均为草丛，为较为常见的芦苇、小蓬草、三裂叶薯、构树等。永久占地对这些植被造成的损失是不可逆的，工程占地使植被受到破坏的同时，一部分植物个体也将受到损失，受损失的植物主要是一些草本植物，如葎草、三裂叶薯、小蓬草、苍耳、益母草、鸡矢藤等，这些种类均属评价范围内的常见种类，其生长范围广，适应性强。因此，总体来说，永久占地使保护区土地利用格局在一定程度上有所改变，由主要的草丛生态系统变为建筑用地，</w:t>
      </w:r>
      <w:r>
        <w:rPr>
          <w:rFonts w:ascii="Times New Roman" w:hAnsi="Times New Roman"/>
          <w:sz w:val="24"/>
          <w:szCs w:val="24"/>
        </w:rPr>
        <w:t>会减少局部的生物量与生产力，但不会造成植物物种消失或植被类型消失。</w:t>
      </w:r>
    </w:p>
    <w:p>
      <w:pPr>
        <w:autoSpaceDE w:val="0"/>
        <w:autoSpaceDN w:val="0"/>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lang w:val="zh-CN"/>
        </w:rPr>
        <w:t>⑵</w:t>
      </w:r>
      <w:r>
        <w:rPr>
          <w:rFonts w:ascii="Times New Roman" w:hAnsi="Times New Roman"/>
          <w:sz w:val="24"/>
          <w:szCs w:val="24"/>
          <w:lang w:val="zh-CN"/>
        </w:rPr>
        <w:t xml:space="preserve"> 临时用地：基地修建过程中，临时用地主要有弃渣场和堆料场。这些施工临时占地将对所占用的植被产生直接的破坏作用，从而使群落的生物多样性降低。</w:t>
      </w:r>
      <w:r>
        <w:rPr>
          <w:rFonts w:ascii="Times New Roman" w:hAnsi="Times New Roman"/>
          <w:sz w:val="24"/>
          <w:szCs w:val="24"/>
        </w:rPr>
        <w:t>但经过现场调查发现，评价区域内的植被多样性较差，生产力也较低，原生植被大多已不存在。因此，临时占地的征用对保护区植被及植物资源的影响较小，且施工结束后通过植被恢复与绿化可以得到一定恢复。</w:t>
      </w:r>
    </w:p>
    <w:p>
      <w:pPr>
        <w:autoSpaceDE w:val="0"/>
        <w:autoSpaceDN w:val="0"/>
        <w:adjustRightInd w:val="0"/>
        <w:snapToGrid w:val="0"/>
        <w:spacing w:line="360" w:lineRule="auto"/>
        <w:ind w:firstLine="480" w:firstLineChars="200"/>
        <w:rPr>
          <w:rFonts w:ascii="Times New Roman" w:hAnsi="Times New Roman"/>
          <w:sz w:val="24"/>
          <w:szCs w:val="24"/>
          <w:lang w:val="zh-CN"/>
        </w:rPr>
      </w:pPr>
      <w:r>
        <w:rPr>
          <w:rFonts w:hint="eastAsia" w:ascii="宋体" w:hAnsi="宋体" w:cs="宋体"/>
          <w:sz w:val="24"/>
          <w:szCs w:val="24"/>
          <w:lang w:val="zh-CN"/>
        </w:rPr>
        <w:t>⑶</w:t>
      </w:r>
      <w:r>
        <w:rPr>
          <w:rFonts w:ascii="Times New Roman" w:hAnsi="Times New Roman"/>
          <w:sz w:val="24"/>
          <w:szCs w:val="24"/>
          <w:lang w:val="zh-CN"/>
        </w:rPr>
        <w:t xml:space="preserve"> 施工期其它因素的影响：由于施工期机械碾压、施工人员践踏等，施工作业周围的植被将遭到破坏。</w:t>
      </w:r>
    </w:p>
    <w:p>
      <w:pPr>
        <w:autoSpaceDE w:val="0"/>
        <w:autoSpaceDN w:val="0"/>
        <w:adjustRightInd w:val="0"/>
        <w:snapToGrid w:val="0"/>
        <w:spacing w:line="360" w:lineRule="auto"/>
        <w:ind w:firstLine="482" w:firstLineChars="200"/>
        <w:rPr>
          <w:rFonts w:ascii="Times New Roman" w:hAnsi="Times New Roman"/>
          <w:b/>
          <w:sz w:val="24"/>
          <w:szCs w:val="24"/>
          <w:lang w:val="zh-CN"/>
        </w:rPr>
      </w:pPr>
      <w:r>
        <w:rPr>
          <w:rFonts w:ascii="Times New Roman" w:hAnsi="Times New Roman"/>
          <w:b/>
          <w:sz w:val="24"/>
          <w:szCs w:val="24"/>
        </w:rPr>
        <w:t>2、营运期</w:t>
      </w:r>
    </w:p>
    <w:p>
      <w:pPr>
        <w:autoSpaceDE w:val="0"/>
        <w:autoSpaceDN w:val="0"/>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lang w:val="zh-CN"/>
        </w:rPr>
        <w:t>拟建工程营运期不会新增占地、破坏植被，相反随着临时施工场地、堆料场、施工便道等处植被的恢复，以及项目周边绿化植被的生长，对保护区及周边植被的影响将逐渐降低。</w:t>
      </w:r>
    </w:p>
    <w:p>
      <w:pPr>
        <w:pStyle w:val="5"/>
        <w:rPr>
          <w:rFonts w:eastAsiaTheme="minorEastAsia"/>
        </w:rPr>
      </w:pPr>
      <w:bookmarkStart w:id="173" w:name="_Toc41051191"/>
      <w:r>
        <w:rPr>
          <w:rFonts w:eastAsiaTheme="minorEastAsia"/>
        </w:rPr>
        <w:t>对陆生动物的影响分析</w:t>
      </w:r>
      <w:bookmarkEnd w:id="172"/>
      <w:bookmarkEnd w:id="173"/>
    </w:p>
    <w:p>
      <w:pPr>
        <w:adjustRightInd w:val="0"/>
        <w:snapToGrid w:val="0"/>
        <w:spacing w:line="360" w:lineRule="auto"/>
        <w:ind w:firstLine="482" w:firstLineChars="200"/>
        <w:rPr>
          <w:rFonts w:ascii="Times New Roman" w:hAnsi="Times New Roman"/>
          <w:b/>
          <w:sz w:val="24"/>
          <w:szCs w:val="24"/>
        </w:rPr>
      </w:pPr>
      <w:bookmarkStart w:id="174" w:name="_Toc418849721"/>
      <w:bookmarkStart w:id="175" w:name="_Toc417054566"/>
      <w:bookmarkStart w:id="176" w:name="_Toc438460376"/>
      <w:r>
        <w:rPr>
          <w:rFonts w:ascii="Times New Roman" w:hAnsi="Times New Roman"/>
          <w:b/>
          <w:sz w:val="24"/>
          <w:szCs w:val="24"/>
        </w:rPr>
        <w:t>1、施工期</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码头货种为煤炭，施工期主要会产生以下几个方面的污染：</w:t>
      </w:r>
    </w:p>
    <w:p>
      <w:pPr>
        <w:adjustRightInd w:val="0"/>
        <w:snapToGrid w:val="0"/>
        <w:spacing w:line="360" w:lineRule="auto"/>
        <w:ind w:firstLine="480" w:firstLineChars="200"/>
        <w:rPr>
          <w:rFonts w:ascii="Times New Roman" w:hAnsi="Times New Roman"/>
          <w:sz w:val="24"/>
          <w:szCs w:val="24"/>
          <w:highlight w:val="none"/>
        </w:rPr>
      </w:pPr>
      <w:r>
        <w:rPr>
          <w:rFonts w:hint="eastAsia" w:ascii="Times New Roman" w:hAnsi="Times New Roman"/>
          <w:sz w:val="24"/>
          <w:szCs w:val="24"/>
          <w:highlight w:val="none"/>
          <w:lang w:eastAsia="zh-CN"/>
        </w:rPr>
        <w:t>⑴</w:t>
      </w:r>
      <w:r>
        <w:rPr>
          <w:rFonts w:hint="eastAsia" w:ascii="Times New Roman" w:hAnsi="Times New Roman"/>
          <w:sz w:val="24"/>
          <w:szCs w:val="24"/>
          <w:highlight w:val="none"/>
          <w:lang w:val="en-US" w:eastAsia="zh-CN"/>
        </w:rPr>
        <w:t xml:space="preserve"> </w:t>
      </w:r>
      <w:r>
        <w:rPr>
          <w:rFonts w:ascii="Times New Roman" w:hAnsi="Times New Roman"/>
          <w:sz w:val="24"/>
          <w:szCs w:val="24"/>
          <w:highlight w:val="none"/>
        </w:rPr>
        <w:t>由于材料运输、装卸等作业环节产生的TPS对大气造成的污染；</w:t>
      </w:r>
    </w:p>
    <w:p>
      <w:pPr>
        <w:adjustRightInd w:val="0"/>
        <w:snapToGrid w:val="0"/>
        <w:spacing w:line="360" w:lineRule="auto"/>
        <w:ind w:firstLine="480" w:firstLineChars="200"/>
        <w:rPr>
          <w:rFonts w:ascii="Times New Roman" w:hAnsi="Times New Roman"/>
          <w:sz w:val="24"/>
          <w:szCs w:val="24"/>
          <w:highlight w:val="none"/>
        </w:rPr>
      </w:pPr>
      <w:r>
        <w:rPr>
          <w:rFonts w:hint="eastAsia" w:ascii="Times New Roman" w:hAnsi="Times New Roman"/>
          <w:sz w:val="24"/>
          <w:szCs w:val="24"/>
          <w:highlight w:val="none"/>
          <w:lang w:eastAsia="zh-CN"/>
        </w:rPr>
        <w:t>⑵</w:t>
      </w:r>
      <w:r>
        <w:rPr>
          <w:rFonts w:hint="eastAsia" w:ascii="Times New Roman" w:hAnsi="Times New Roman"/>
          <w:sz w:val="24"/>
          <w:szCs w:val="24"/>
          <w:highlight w:val="none"/>
          <w:lang w:val="en-US" w:eastAsia="zh-CN"/>
        </w:rPr>
        <w:t xml:space="preserve"> </w:t>
      </w:r>
      <w:r>
        <w:rPr>
          <w:rFonts w:ascii="Times New Roman" w:hAnsi="Times New Roman"/>
          <w:sz w:val="24"/>
          <w:szCs w:val="24"/>
          <w:highlight w:val="none"/>
        </w:rPr>
        <w:t>由于水工结构施造成的水域浑浊造成的局部悬浮物增加等水环境污染；</w:t>
      </w:r>
    </w:p>
    <w:p>
      <w:pPr>
        <w:adjustRightInd w:val="0"/>
        <w:snapToGrid w:val="0"/>
        <w:spacing w:line="360" w:lineRule="auto"/>
        <w:ind w:firstLine="480" w:firstLineChars="200"/>
        <w:rPr>
          <w:rFonts w:ascii="Times New Roman" w:hAnsi="Times New Roman"/>
          <w:sz w:val="24"/>
          <w:szCs w:val="24"/>
          <w:highlight w:val="none"/>
        </w:rPr>
      </w:pPr>
      <w:r>
        <w:rPr>
          <w:rFonts w:hint="eastAsia" w:ascii="Times New Roman" w:hAnsi="Times New Roman"/>
          <w:sz w:val="24"/>
          <w:szCs w:val="24"/>
          <w:highlight w:val="none"/>
          <w:lang w:eastAsia="zh-CN"/>
        </w:rPr>
        <w:t>⑶</w:t>
      </w:r>
      <w:r>
        <w:rPr>
          <w:rFonts w:hint="eastAsia" w:ascii="Times New Roman" w:hAnsi="Times New Roman"/>
          <w:sz w:val="24"/>
          <w:szCs w:val="24"/>
          <w:highlight w:val="none"/>
          <w:lang w:val="en-US" w:eastAsia="zh-CN"/>
        </w:rPr>
        <w:t xml:space="preserve"> </w:t>
      </w:r>
      <w:r>
        <w:rPr>
          <w:rFonts w:ascii="Times New Roman" w:hAnsi="Times New Roman"/>
          <w:sz w:val="24"/>
          <w:szCs w:val="24"/>
          <w:highlight w:val="none"/>
        </w:rPr>
        <w:t>由于施工作业、车辆运输产生的噪声污染；</w:t>
      </w:r>
    </w:p>
    <w:p>
      <w:pPr>
        <w:adjustRightInd w:val="0"/>
        <w:snapToGrid w:val="0"/>
        <w:spacing w:line="360" w:lineRule="auto"/>
        <w:ind w:firstLine="480" w:firstLineChars="200"/>
        <w:rPr>
          <w:rFonts w:ascii="Times New Roman" w:hAnsi="Times New Roman"/>
          <w:sz w:val="24"/>
          <w:szCs w:val="24"/>
        </w:rPr>
      </w:pPr>
      <w:r>
        <w:rPr>
          <w:rFonts w:hint="eastAsia" w:ascii="Times New Roman" w:hAnsi="Times New Roman"/>
          <w:sz w:val="24"/>
          <w:szCs w:val="24"/>
          <w:highlight w:val="none"/>
          <w:lang w:eastAsia="zh-CN"/>
        </w:rPr>
        <w:t>⑷</w:t>
      </w:r>
      <w:r>
        <w:rPr>
          <w:rFonts w:hint="eastAsia" w:ascii="Times New Roman" w:hAnsi="Times New Roman"/>
          <w:sz w:val="24"/>
          <w:szCs w:val="24"/>
          <w:highlight w:val="none"/>
          <w:lang w:val="en-US" w:eastAsia="zh-CN"/>
        </w:rPr>
        <w:t xml:space="preserve"> </w:t>
      </w:r>
      <w:r>
        <w:rPr>
          <w:rFonts w:ascii="Times New Roman" w:hAnsi="Times New Roman"/>
          <w:sz w:val="24"/>
          <w:szCs w:val="24"/>
          <w:highlight w:val="none"/>
        </w:rPr>
        <w:t>生产作业产生的建筑垃</w:t>
      </w:r>
      <w:r>
        <w:rPr>
          <w:rFonts w:ascii="Times New Roman" w:hAnsi="Times New Roman"/>
          <w:sz w:val="24"/>
          <w:szCs w:val="24"/>
        </w:rPr>
        <w:t>圾、施工人员产生的生活垃圾造成等固体废弃物污染。以上4类主要污染会对评价区的整体环境造成一定程度的污染和破坏，加上拟建码头施工时的永久性占地，迫使评价区内的陆生动物远离该区域，另寻生境。</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根据现场调查，工程施工影响区域内未发现国家级重点保护野生动物，调查区陆生动物优势种为泽陆蛙、家燕和八哥，其可在影响区外找到丰富的适宜生境，待施工结束后，该4类污染类型会逐渐减轻，故施工期对陆生动物影响不大。</w:t>
      </w:r>
    </w:p>
    <w:p>
      <w:pPr>
        <w:adjustRightInd w:val="0"/>
        <w:snapToGrid w:val="0"/>
        <w:spacing w:line="360" w:lineRule="auto"/>
        <w:ind w:firstLine="480" w:firstLineChars="200"/>
        <w:rPr>
          <w:rFonts w:ascii="Times New Roman" w:hAnsi="Times New Roman"/>
          <w:snapToGrid w:val="0"/>
          <w:kern w:val="0"/>
          <w:sz w:val="24"/>
          <w:szCs w:val="24"/>
        </w:rPr>
      </w:pPr>
      <w:r>
        <w:rPr>
          <w:rFonts w:ascii="Times New Roman" w:hAnsi="Times New Roman"/>
          <w:sz w:val="24"/>
          <w:szCs w:val="24"/>
        </w:rPr>
        <w:t>根据《2018年长江新螺段白鱀豚国家级自然保护区冬季水鸟调查报告》（华中师范大学，2018年1月）结果显示，在保护区内调查到小䴙䴘、黑水鸡、红嘴鸥、白腰草鹬和绿头鸭等冬候鸟。新堤作业区散货码头长江沿岸岸线部分固化，周边为新堤综合码头，受人类活动影响较大，施工区域内冬候鸟分布极少。</w:t>
      </w:r>
      <w:r>
        <w:rPr>
          <w:rFonts w:ascii="Times New Roman" w:hAnsi="Times New Roman"/>
          <w:snapToGrid w:val="0"/>
          <w:kern w:val="0"/>
          <w:sz w:val="24"/>
          <w:szCs w:val="24"/>
        </w:rPr>
        <w:t>由于鸟类具有较强的飞翔能力，且项目区地处平原湖泊区，食物较丰富，项目建设对鸟类的影响十分有限，仅局限于施工期缩减它们的活动范围。</w:t>
      </w:r>
    </w:p>
    <w:p>
      <w:pPr>
        <w:adjustRightInd w:val="0"/>
        <w:snapToGrid w:val="0"/>
        <w:spacing w:line="360" w:lineRule="auto"/>
        <w:ind w:firstLine="482" w:firstLineChars="200"/>
        <w:rPr>
          <w:rFonts w:ascii="Times New Roman" w:hAnsi="Times New Roman"/>
          <w:b/>
          <w:sz w:val="24"/>
          <w:szCs w:val="24"/>
        </w:rPr>
      </w:pPr>
      <w:r>
        <w:rPr>
          <w:rFonts w:ascii="Times New Roman" w:hAnsi="Times New Roman"/>
          <w:b/>
          <w:sz w:val="24"/>
          <w:szCs w:val="24"/>
        </w:rPr>
        <w:t>2、营运期</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码头建成运营后，主要会产生以下几个方面的污染：</w:t>
      </w:r>
    </w:p>
    <w:p>
      <w:pPr>
        <w:adjustRightInd w:val="0"/>
        <w:snapToGrid w:val="0"/>
        <w:spacing w:line="360" w:lineRule="auto"/>
        <w:ind w:firstLine="480" w:firstLineChars="200"/>
        <w:rPr>
          <w:rFonts w:ascii="Times New Roman" w:hAnsi="Times New Roman"/>
          <w:sz w:val="24"/>
          <w:szCs w:val="24"/>
          <w:highlight w:val="none"/>
        </w:rPr>
      </w:pPr>
      <w:r>
        <w:rPr>
          <w:rFonts w:hint="eastAsia" w:ascii="Times New Roman" w:hAnsi="Times New Roman"/>
          <w:sz w:val="24"/>
          <w:szCs w:val="24"/>
          <w:highlight w:val="none"/>
          <w:lang w:eastAsia="zh-CN"/>
        </w:rPr>
        <w:t>⑴</w:t>
      </w:r>
      <w:r>
        <w:rPr>
          <w:rFonts w:hint="eastAsia" w:ascii="Times New Roman" w:hAnsi="Times New Roman"/>
          <w:sz w:val="24"/>
          <w:szCs w:val="24"/>
          <w:highlight w:val="none"/>
          <w:lang w:val="en-US" w:eastAsia="zh-CN"/>
        </w:rPr>
        <w:t xml:space="preserve"> </w:t>
      </w:r>
      <w:r>
        <w:rPr>
          <w:rFonts w:ascii="Times New Roman" w:hAnsi="Times New Roman"/>
          <w:sz w:val="24"/>
          <w:szCs w:val="24"/>
          <w:highlight w:val="none"/>
        </w:rPr>
        <w:t>车船机械排放的尾气对大气造成的污染；</w:t>
      </w:r>
    </w:p>
    <w:p>
      <w:pPr>
        <w:adjustRightInd w:val="0"/>
        <w:snapToGrid w:val="0"/>
        <w:spacing w:line="360" w:lineRule="auto"/>
        <w:ind w:firstLine="480" w:firstLineChars="200"/>
        <w:rPr>
          <w:rFonts w:ascii="Times New Roman" w:hAnsi="Times New Roman"/>
          <w:sz w:val="24"/>
          <w:szCs w:val="24"/>
          <w:highlight w:val="none"/>
        </w:rPr>
      </w:pPr>
      <w:r>
        <w:rPr>
          <w:rFonts w:hint="eastAsia" w:ascii="Times New Roman" w:hAnsi="Times New Roman"/>
          <w:sz w:val="24"/>
          <w:szCs w:val="24"/>
          <w:highlight w:val="none"/>
          <w:lang w:eastAsia="zh-CN"/>
        </w:rPr>
        <w:t>⑵</w:t>
      </w:r>
      <w:r>
        <w:rPr>
          <w:rFonts w:hint="eastAsia" w:ascii="Times New Roman" w:hAnsi="Times New Roman"/>
          <w:sz w:val="24"/>
          <w:szCs w:val="24"/>
          <w:highlight w:val="none"/>
          <w:lang w:val="en-US" w:eastAsia="zh-CN"/>
        </w:rPr>
        <w:t xml:space="preserve"> </w:t>
      </w:r>
      <w:r>
        <w:rPr>
          <w:rFonts w:ascii="Times New Roman" w:hAnsi="Times New Roman"/>
          <w:sz w:val="24"/>
          <w:szCs w:val="24"/>
          <w:highlight w:val="none"/>
        </w:rPr>
        <w:t>港区到港船舶含油废水等水污染；</w:t>
      </w:r>
    </w:p>
    <w:p>
      <w:pPr>
        <w:adjustRightInd w:val="0"/>
        <w:snapToGrid w:val="0"/>
        <w:spacing w:line="360" w:lineRule="auto"/>
        <w:ind w:firstLine="480" w:firstLineChars="200"/>
        <w:rPr>
          <w:rFonts w:ascii="Times New Roman" w:hAnsi="Times New Roman"/>
          <w:sz w:val="24"/>
          <w:szCs w:val="24"/>
          <w:highlight w:val="none"/>
        </w:rPr>
      </w:pPr>
      <w:r>
        <w:rPr>
          <w:rFonts w:hint="eastAsia" w:ascii="Times New Roman" w:hAnsi="Times New Roman"/>
          <w:sz w:val="24"/>
          <w:szCs w:val="24"/>
          <w:highlight w:val="none"/>
          <w:lang w:eastAsia="zh-CN"/>
        </w:rPr>
        <w:t>⑶</w:t>
      </w:r>
      <w:r>
        <w:rPr>
          <w:rFonts w:hint="eastAsia" w:ascii="Times New Roman" w:hAnsi="Times New Roman"/>
          <w:sz w:val="24"/>
          <w:szCs w:val="24"/>
          <w:highlight w:val="none"/>
          <w:lang w:val="en-US" w:eastAsia="zh-CN"/>
        </w:rPr>
        <w:t xml:space="preserve"> </w:t>
      </w:r>
      <w:r>
        <w:rPr>
          <w:rFonts w:ascii="Times New Roman" w:hAnsi="Times New Roman"/>
          <w:sz w:val="24"/>
          <w:szCs w:val="24"/>
          <w:highlight w:val="none"/>
        </w:rPr>
        <w:t>船舶行驶、鸣笛、作业机械造成的噪声污染；</w:t>
      </w:r>
    </w:p>
    <w:p>
      <w:pPr>
        <w:adjustRightInd w:val="0"/>
        <w:snapToGrid w:val="0"/>
        <w:spacing w:line="360" w:lineRule="auto"/>
        <w:ind w:firstLine="480" w:firstLineChars="200"/>
        <w:rPr>
          <w:rFonts w:ascii="Times New Roman" w:hAnsi="Times New Roman"/>
          <w:sz w:val="24"/>
          <w:szCs w:val="24"/>
          <w:highlight w:val="none"/>
        </w:rPr>
      </w:pPr>
      <w:r>
        <w:rPr>
          <w:rFonts w:hint="eastAsia" w:ascii="Times New Roman" w:hAnsi="Times New Roman"/>
          <w:sz w:val="24"/>
          <w:szCs w:val="24"/>
          <w:highlight w:val="none"/>
          <w:lang w:eastAsia="zh-CN"/>
        </w:rPr>
        <w:t>⑷</w:t>
      </w:r>
      <w:r>
        <w:rPr>
          <w:rFonts w:hint="eastAsia" w:ascii="Times New Roman" w:hAnsi="Times New Roman"/>
          <w:sz w:val="24"/>
          <w:szCs w:val="24"/>
          <w:highlight w:val="none"/>
          <w:lang w:val="en-US" w:eastAsia="zh-CN"/>
        </w:rPr>
        <w:t xml:space="preserve"> </w:t>
      </w:r>
      <w:r>
        <w:rPr>
          <w:rFonts w:ascii="Times New Roman" w:hAnsi="Times New Roman"/>
          <w:sz w:val="24"/>
          <w:szCs w:val="24"/>
          <w:highlight w:val="none"/>
        </w:rPr>
        <w:t>到港船舶造成的固体废弃物污染。</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highlight w:val="none"/>
        </w:rPr>
        <w:t>码头运营时会采用定时洒水降尘、</w:t>
      </w:r>
      <w:r>
        <w:rPr>
          <w:rFonts w:ascii="Times New Roman" w:hAnsi="Times New Roman"/>
          <w:sz w:val="24"/>
          <w:szCs w:val="24"/>
        </w:rPr>
        <w:t>提高绿化、固废回收等措施控制以上4类主要环境污染，加上陆生动物活动能力较强，能自主规避，故码头运营时对陆生动物的影响较小。</w:t>
      </w:r>
    </w:p>
    <w:bookmarkEnd w:id="174"/>
    <w:bookmarkEnd w:id="175"/>
    <w:bookmarkEnd w:id="176"/>
    <w:p>
      <w:pPr>
        <w:autoSpaceDE w:val="0"/>
        <w:autoSpaceDN w:val="0"/>
        <w:adjustRightInd w:val="0"/>
        <w:snapToGrid w:val="0"/>
        <w:spacing w:line="360" w:lineRule="auto"/>
        <w:ind w:firstLine="482" w:firstLineChars="200"/>
        <w:jc w:val="left"/>
        <w:rPr>
          <w:rFonts w:ascii="Times New Roman" w:hAnsi="Times New Roman"/>
          <w:b/>
          <w:sz w:val="24"/>
          <w:szCs w:val="24"/>
        </w:rPr>
      </w:pPr>
      <w:r>
        <w:rPr>
          <w:rFonts w:ascii="Times New Roman" w:hAnsi="Times New Roman"/>
          <w:b/>
          <w:sz w:val="24"/>
          <w:szCs w:val="24"/>
        </w:rPr>
        <w:t>3、对重点保护野生动物的影响</w:t>
      </w:r>
    </w:p>
    <w:p>
      <w:pPr>
        <w:autoSpaceDE w:val="0"/>
        <w:autoSpaceDN w:val="0"/>
        <w:adjustRightInd w:val="0"/>
        <w:snapToGrid w:val="0"/>
        <w:spacing w:line="360" w:lineRule="auto"/>
        <w:ind w:firstLine="480" w:firstLineChars="200"/>
        <w:jc w:val="left"/>
        <w:rPr>
          <w:rFonts w:ascii="Times New Roman" w:hAnsi="Times New Roman"/>
          <w:sz w:val="24"/>
          <w:szCs w:val="24"/>
        </w:rPr>
      </w:pPr>
      <w:r>
        <w:rPr>
          <w:rFonts w:hint="eastAsia" w:ascii="宋体" w:hAnsi="宋体" w:cs="宋体"/>
          <w:sz w:val="24"/>
          <w:szCs w:val="24"/>
        </w:rPr>
        <w:t>⑴</w:t>
      </w:r>
      <w:r>
        <w:rPr>
          <w:rFonts w:ascii="Times New Roman" w:hAnsi="Times New Roman"/>
          <w:sz w:val="24"/>
          <w:szCs w:val="24"/>
        </w:rPr>
        <w:t xml:space="preserve"> 对国家级重点保护动物的影响</w:t>
      </w:r>
    </w:p>
    <w:p>
      <w:pPr>
        <w:autoSpaceDE w:val="0"/>
        <w:autoSpaceDN w:val="0"/>
        <w:adjustRightInd w:val="0"/>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重点评价区范围内陆生脊椎动物中，有国家</w:t>
      </w:r>
      <w:r>
        <w:rPr>
          <w:rFonts w:hint="eastAsia" w:ascii="宋体" w:hAnsi="宋体" w:cs="宋体"/>
          <w:sz w:val="24"/>
          <w:szCs w:val="24"/>
        </w:rPr>
        <w:t>Ⅱ</w:t>
      </w:r>
      <w:r>
        <w:rPr>
          <w:rFonts w:ascii="Times New Roman" w:hAnsi="Times New Roman"/>
          <w:sz w:val="24"/>
          <w:szCs w:val="24"/>
        </w:rPr>
        <w:t>级重点保护野生动物4种，其中鸟类有3种：白尾鹞、红隼和小鸦鹃，水生哺乳类1种，为长江江豚。</w:t>
      </w:r>
    </w:p>
    <w:p>
      <w:pPr>
        <w:autoSpaceDE w:val="0"/>
        <w:autoSpaceDN w:val="0"/>
        <w:adjustRightInd w:val="0"/>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白尾鹞和红隼为猛禽类，活动范围广泛，重点评价区不是其活动的主要区域，并且在保护区内种群数量相对较少，仅在重点评价区范围内短暂停留，因此本项目对其影响相对较小。</w:t>
      </w:r>
    </w:p>
    <w:p>
      <w:pPr>
        <w:autoSpaceDE w:val="0"/>
        <w:autoSpaceDN w:val="0"/>
        <w:adjustRightInd w:val="0"/>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小鸦鹃为攀禽类林鸟，在保护区的范围内较为少见。重点评价区范围内主要活动于沿岸的芦苇丛中，很少活动于码头的影响区域内，码头项目的实施也不会对其造成较大影响。</w:t>
      </w:r>
    </w:p>
    <w:p>
      <w:pPr>
        <w:autoSpaceDE w:val="0"/>
        <w:autoSpaceDN w:val="0"/>
        <w:adjustRightInd w:val="0"/>
        <w:snapToGrid w:val="0"/>
        <w:spacing w:line="360" w:lineRule="auto"/>
        <w:ind w:firstLine="480" w:firstLineChars="200"/>
        <w:jc w:val="left"/>
        <w:rPr>
          <w:rFonts w:ascii="Times New Roman" w:hAnsi="Times New Roman"/>
          <w:sz w:val="24"/>
          <w:szCs w:val="24"/>
        </w:rPr>
      </w:pPr>
      <w:r>
        <w:rPr>
          <w:rFonts w:hint="eastAsia" w:ascii="宋体" w:hAnsi="宋体" w:cs="宋体"/>
          <w:sz w:val="24"/>
          <w:szCs w:val="24"/>
        </w:rPr>
        <w:t>⑵</w:t>
      </w:r>
      <w:r>
        <w:rPr>
          <w:rFonts w:ascii="Times New Roman" w:hAnsi="Times New Roman"/>
          <w:sz w:val="24"/>
          <w:szCs w:val="24"/>
        </w:rPr>
        <w:t xml:space="preserve"> 对湖南省级重点保护动物的影响</w:t>
      </w:r>
    </w:p>
    <w:p>
      <w:pPr>
        <w:autoSpaceDE w:val="0"/>
        <w:autoSpaceDN w:val="0"/>
        <w:adjustRightInd w:val="0"/>
        <w:snapToGrid w:val="0"/>
        <w:spacing w:line="360" w:lineRule="auto"/>
        <w:ind w:firstLine="480" w:firstLineChars="200"/>
        <w:jc w:val="left"/>
        <w:rPr>
          <w:rFonts w:ascii="Times New Roman" w:hAnsi="Times New Roman"/>
          <w:sz w:val="24"/>
          <w:szCs w:val="24"/>
        </w:rPr>
      </w:pPr>
      <w:r>
        <w:rPr>
          <w:rFonts w:ascii="Times New Roman" w:hAnsi="Times New Roman"/>
          <w:sz w:val="24"/>
          <w:szCs w:val="24"/>
        </w:rPr>
        <w:t>重点评价区内重点评价区内陆生脊椎动物中，还分布有湖南省重点保护动物60种，其中两栖类有5种，爬行类5种，鸟类47种，哺乳类3种。省级重点保护种类相对较为常见，在重点评价区内均为其活动范围，大部分活动于沿岸的陆域环境。部分哺乳类种群数量较少，重点评价区内偶见。</w:t>
      </w:r>
    </w:p>
    <w:p>
      <w:pPr>
        <w:widowControl/>
        <w:adjustRightInd w:val="0"/>
        <w:snapToGrid w:val="0"/>
        <w:spacing w:line="360" w:lineRule="auto"/>
        <w:ind w:firstLine="480" w:firstLineChars="200"/>
        <w:rPr>
          <w:rFonts w:ascii="Times New Roman" w:hAnsi="Times New Roman"/>
          <w:bCs/>
          <w:kern w:val="0"/>
          <w:sz w:val="24"/>
          <w:szCs w:val="24"/>
        </w:rPr>
      </w:pPr>
      <w:r>
        <w:rPr>
          <w:rFonts w:hint="eastAsia" w:ascii="宋体" w:hAnsi="宋体" w:cs="宋体"/>
          <w:bCs/>
          <w:kern w:val="0"/>
          <w:sz w:val="24"/>
          <w:szCs w:val="24"/>
          <w:lang w:eastAsia="ja-JP"/>
        </w:rPr>
        <w:t>①</w:t>
      </w:r>
      <w:r>
        <w:rPr>
          <w:rFonts w:ascii="Times New Roman" w:hAnsi="Times New Roman" w:eastAsiaTheme="minorEastAsia"/>
          <w:bCs/>
          <w:kern w:val="0"/>
          <w:sz w:val="24"/>
          <w:szCs w:val="24"/>
        </w:rPr>
        <w:t xml:space="preserve"> </w:t>
      </w:r>
      <w:r>
        <w:rPr>
          <w:rFonts w:ascii="Times New Roman" w:hAnsi="Times New Roman"/>
          <w:bCs/>
          <w:kern w:val="0"/>
          <w:sz w:val="24"/>
          <w:szCs w:val="24"/>
        </w:rPr>
        <w:t>对省级重点保护两栖类、爬行类的影响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重点评价区内有湖南省省级保护两栖类5种，即中华蟾蜍、黑斑侧褶蛙、泽陆蛙、小弧斑姬蛙和饰纹姬蛙；爬行类有5种，即中国石龙子、赤链蛇、红点锦蛇、黑眉锦蛇、虎斑颈槽蛇。主要在沿岸的农田及灌丛和灌草丛中活动。在评价区分布极少，施工期对其影响不大。</w:t>
      </w:r>
    </w:p>
    <w:p>
      <w:pPr>
        <w:widowControl/>
        <w:adjustRightInd w:val="0"/>
        <w:snapToGrid w:val="0"/>
        <w:spacing w:line="360" w:lineRule="auto"/>
        <w:ind w:firstLine="480" w:firstLineChars="200"/>
        <w:rPr>
          <w:rFonts w:ascii="Times New Roman" w:hAnsi="Times New Roman"/>
          <w:bCs/>
          <w:kern w:val="0"/>
          <w:sz w:val="24"/>
          <w:szCs w:val="24"/>
        </w:rPr>
      </w:pPr>
      <w:r>
        <w:rPr>
          <w:rFonts w:hint="eastAsia" w:ascii="宋体" w:hAnsi="宋体" w:cs="宋体"/>
          <w:bCs/>
          <w:kern w:val="0"/>
          <w:sz w:val="24"/>
          <w:szCs w:val="24"/>
          <w:lang w:eastAsia="ja-JP"/>
        </w:rPr>
        <w:t>②</w:t>
      </w:r>
      <w:r>
        <w:rPr>
          <w:rFonts w:ascii="Times New Roman" w:hAnsi="Times New Roman" w:eastAsiaTheme="minorEastAsia"/>
          <w:bCs/>
          <w:kern w:val="0"/>
          <w:sz w:val="24"/>
          <w:szCs w:val="24"/>
        </w:rPr>
        <w:t xml:space="preserve"> </w:t>
      </w:r>
      <w:r>
        <w:rPr>
          <w:rFonts w:ascii="Times New Roman" w:hAnsi="Times New Roman"/>
          <w:bCs/>
          <w:kern w:val="0"/>
          <w:sz w:val="24"/>
          <w:szCs w:val="24"/>
        </w:rPr>
        <w:t>对省级重点保护鸟类的影响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重点评价区有湖南省级重点保护鸟类47种，其中小䴙䴘、普通鸬鹚、绿头鸭、斑嘴鸭是游禽类，在采区及其下游的洞庭湖水域及其附近芦苇丛中活动；苍鹭、草鹭、白鹭、中白鹭、大白鹭、牛背鹭、夜鹭、黄苇鳽、池鹭、黑水鸡、水雉、环颈鸻、凤头麦鸡、白腰草鹬、青脚鹬、针尾沙锥、矶鹬为涉禽类水鸟，在码头区沿岸、洞庭湖沿岸以及周边的农田等生境有少量分布。重点评价区的游禽类和涉禽类均为水鸟类，本项目对其影响主要表现在施工期间噪声的干扰及上游水体扰动的对下游水鸟觅食的影响。由于重点评价区周边相似生境较多，施工干扰及水体扰动影响范围有限，总体上不会对水鸟的正常栖息和觅食造成较大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除水鸟外，湖南省级重点保护鸟类中的攀禽（如大杜鹃、戴胜等）、陆禽（环颈雉、珠颈斑鸠等）和鸣禽（喜鹊、白头鹎等）也主要分布在沿岸的陆域环境，较为常见。并且距离码头区相对较远，本身干扰对其影响不大，在施工期间采取进一步的降噪和管理措施，可以进一步减少对这些着鸟类的影响。</w:t>
      </w:r>
    </w:p>
    <w:p>
      <w:pPr>
        <w:widowControl/>
        <w:adjustRightInd w:val="0"/>
        <w:snapToGrid w:val="0"/>
        <w:spacing w:line="360" w:lineRule="auto"/>
        <w:ind w:firstLine="480" w:firstLineChars="200"/>
        <w:rPr>
          <w:rFonts w:ascii="Times New Roman" w:hAnsi="Times New Roman"/>
          <w:bCs/>
          <w:kern w:val="0"/>
          <w:sz w:val="24"/>
          <w:szCs w:val="24"/>
        </w:rPr>
      </w:pPr>
      <w:r>
        <w:rPr>
          <w:rFonts w:hint="eastAsia" w:ascii="宋体" w:hAnsi="宋体" w:cs="宋体"/>
          <w:bCs/>
          <w:kern w:val="0"/>
          <w:sz w:val="24"/>
          <w:szCs w:val="24"/>
          <w:lang w:eastAsia="ja-JP"/>
        </w:rPr>
        <w:t>③</w:t>
      </w:r>
      <w:r>
        <w:rPr>
          <w:rFonts w:ascii="Times New Roman" w:hAnsi="Times New Roman" w:eastAsiaTheme="minorEastAsia"/>
          <w:bCs/>
          <w:kern w:val="0"/>
          <w:sz w:val="24"/>
          <w:szCs w:val="24"/>
        </w:rPr>
        <w:t xml:space="preserve"> </w:t>
      </w:r>
      <w:r>
        <w:rPr>
          <w:rFonts w:ascii="Times New Roman" w:hAnsi="Times New Roman"/>
          <w:bCs/>
          <w:kern w:val="0"/>
          <w:sz w:val="24"/>
          <w:szCs w:val="24"/>
        </w:rPr>
        <w:t>对省级重点保护哺乳类的影响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重点评价区有湖南省重点保护兽类3种：普通伏翼、华南兔、黄鼬，主要分布在沿岸的灌丛及其附近的农田和林地。距离码头相对较远，本身干扰对其影响不大，因此工程对重点保护兽类影响很小。</w:t>
      </w:r>
    </w:p>
    <w:p>
      <w:pPr>
        <w:pStyle w:val="5"/>
        <w:rPr>
          <w:rFonts w:eastAsiaTheme="minorEastAsia"/>
        </w:rPr>
      </w:pPr>
      <w:bookmarkStart w:id="177" w:name="_Toc41051192"/>
      <w:r>
        <w:rPr>
          <w:rFonts w:eastAsiaTheme="minorEastAsia"/>
        </w:rPr>
        <w:t>水生生物多样性影响分析</w:t>
      </w:r>
      <w:bookmarkEnd w:id="177"/>
    </w:p>
    <w:p>
      <w:pPr>
        <w:adjustRightInd w:val="0"/>
        <w:snapToGrid w:val="0"/>
        <w:spacing w:line="360" w:lineRule="auto"/>
        <w:ind w:firstLine="482" w:firstLineChars="200"/>
        <w:rPr>
          <w:rFonts w:ascii="Times New Roman" w:hAnsi="Times New Roman"/>
          <w:b/>
          <w:sz w:val="24"/>
          <w:szCs w:val="24"/>
        </w:rPr>
      </w:pPr>
      <w:r>
        <w:rPr>
          <w:rFonts w:ascii="Times New Roman" w:hAnsi="Times New Roman"/>
          <w:b/>
          <w:sz w:val="24"/>
          <w:szCs w:val="24"/>
        </w:rPr>
        <w:t>1、对浮游植物的影响评价</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藻类是一群具有叶绿素和其他光合色素，能进行光合作用的低等植物，是自然水体的原始生产者。多数藻类是鱼类或其他水生动物的饵料。码头工程对浮游植物的影响主要是打桩施工阶段产生的悬浮物的影响，局部水域悬浮物浓度增加，使水中浮游植物光合作用暂时降低，不利于藻类生长繁殖，数量减少。施工江段平均水深8m，以泊位岸线长和施工区域外延200m为工程影响区计算影响水域体积，通过计算，在施工期间，浮游植物的损失量12.2</w:t>
      </w:r>
      <w:r>
        <w:rPr>
          <w:rFonts w:ascii="Times New Roman" w:hAnsi="Times New Roman"/>
          <w:color w:val="000000"/>
          <w:sz w:val="24"/>
          <w:szCs w:val="24"/>
        </w:rPr>
        <w:t>kg</w:t>
      </w:r>
      <w:r>
        <w:rPr>
          <w:rFonts w:ascii="Times New Roman" w:hAnsi="Times New Roman"/>
          <w:sz w:val="24"/>
          <w:szCs w:val="24"/>
        </w:rPr>
        <w:t>。</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虽然工程施工会使浮游动物的生物量有一定的减少，但由于浮游动物个体小，繁殖速度快，待水质恢复后，浮游生物的数量将会逐步恢复，因此，工程施工对该江段的浮游生物的影响只是局部的、暂时性的。</w:t>
      </w:r>
    </w:p>
    <w:p>
      <w:pPr>
        <w:adjustRightInd w:val="0"/>
        <w:snapToGrid w:val="0"/>
        <w:spacing w:line="360" w:lineRule="auto"/>
        <w:ind w:firstLine="482" w:firstLineChars="200"/>
        <w:rPr>
          <w:rFonts w:ascii="Times New Roman" w:hAnsi="Times New Roman"/>
          <w:b/>
          <w:sz w:val="24"/>
          <w:szCs w:val="24"/>
        </w:rPr>
      </w:pPr>
      <w:bookmarkStart w:id="178" w:name="_Toc372980842"/>
      <w:bookmarkStart w:id="179" w:name="_Toc375579888"/>
      <w:bookmarkStart w:id="180" w:name="_Toc373143704"/>
      <w:r>
        <w:rPr>
          <w:rFonts w:ascii="Times New Roman" w:hAnsi="Times New Roman"/>
          <w:b/>
          <w:sz w:val="24"/>
          <w:szCs w:val="24"/>
        </w:rPr>
        <w:t>2、对浮游动物的影响评价</w:t>
      </w:r>
      <w:bookmarkEnd w:id="178"/>
      <w:bookmarkEnd w:id="179"/>
      <w:bookmarkEnd w:id="180"/>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工程导致的局部水域水质浑浊，一方面会直接造成浮游动物的死亡，另一方面这些施工作业会造成作为饵料的浮游植物减少，同样也会加速浮游动物数量和种类的减少。同时，桩基施工导致沉积在江底的有害物质释放，从而导致施工江段及其下游局部水域的水质改变，对浮游动物有一定的致毒作用。施工江段平均水深8m，以泊位岸线长和施工区域外延200m为工程影响区计算影响水域体积，经计算，在施工期间，浮游动物的损失量16.8</w:t>
      </w:r>
      <w:r>
        <w:rPr>
          <w:rFonts w:ascii="Times New Roman" w:hAnsi="Times New Roman"/>
          <w:color w:val="000000"/>
          <w:sz w:val="24"/>
          <w:szCs w:val="24"/>
        </w:rPr>
        <w:t>kg。</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同浮游植物一样，工程施工虽然会使浮游动物的生物量有一定的减少，但这种影响只是局部的、暂时性的，因此工程施工对评价区的浮游生物的影响有限。</w:t>
      </w:r>
    </w:p>
    <w:p>
      <w:pPr>
        <w:adjustRightInd w:val="0"/>
        <w:snapToGrid w:val="0"/>
        <w:spacing w:line="360" w:lineRule="auto"/>
        <w:ind w:firstLine="482" w:firstLineChars="200"/>
        <w:rPr>
          <w:rFonts w:ascii="Times New Roman" w:hAnsi="Times New Roman"/>
          <w:b/>
          <w:sz w:val="24"/>
          <w:szCs w:val="24"/>
        </w:rPr>
      </w:pPr>
      <w:bookmarkStart w:id="181" w:name="_Toc373143705"/>
      <w:bookmarkStart w:id="182" w:name="_Toc372980843"/>
      <w:bookmarkStart w:id="183" w:name="_Toc375579889"/>
      <w:r>
        <w:rPr>
          <w:rFonts w:ascii="Times New Roman" w:hAnsi="Times New Roman"/>
          <w:b/>
          <w:sz w:val="24"/>
          <w:szCs w:val="24"/>
        </w:rPr>
        <w:t>3、对底栖生物的影响评价</w:t>
      </w:r>
      <w:bookmarkEnd w:id="181"/>
      <w:bookmarkEnd w:id="182"/>
      <w:bookmarkEnd w:id="183"/>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本项目不涉及护岸抛石。同时施工所产生的悬浮物也会影响到附近水域底栖动物的呼吸、摄食等生命活动，也直接改变了其栖息环境。经计算，在施工期间，底栖动物的损失量83.5</w:t>
      </w:r>
      <w:r>
        <w:rPr>
          <w:rFonts w:ascii="Times New Roman" w:hAnsi="Times New Roman"/>
          <w:color w:val="000000"/>
          <w:sz w:val="24"/>
          <w:szCs w:val="24"/>
        </w:rPr>
        <w:t>kg。</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由于施工影响范围有限，一段时间之后，施工区域生态效应作用将会逐渐形成新的平衡。</w:t>
      </w:r>
    </w:p>
    <w:p>
      <w:pPr>
        <w:adjustRightInd w:val="0"/>
        <w:snapToGrid w:val="0"/>
        <w:spacing w:line="360" w:lineRule="auto"/>
        <w:ind w:firstLine="482" w:firstLineChars="200"/>
        <w:rPr>
          <w:rFonts w:ascii="Times New Roman" w:hAnsi="Times New Roman"/>
          <w:b/>
          <w:sz w:val="24"/>
          <w:szCs w:val="24"/>
        </w:rPr>
      </w:pPr>
      <w:bookmarkStart w:id="184" w:name="_Toc373143706"/>
      <w:bookmarkStart w:id="185" w:name="_Toc375579890"/>
      <w:bookmarkStart w:id="186" w:name="_Toc372980844"/>
      <w:r>
        <w:rPr>
          <w:rFonts w:ascii="Times New Roman" w:hAnsi="Times New Roman"/>
          <w:b/>
          <w:sz w:val="24"/>
          <w:szCs w:val="24"/>
        </w:rPr>
        <w:t>4、对水生维管束植物的影响评价</w:t>
      </w:r>
      <w:bookmarkEnd w:id="184"/>
      <w:bookmarkEnd w:id="185"/>
      <w:bookmarkEnd w:id="186"/>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工程对水生植被的影响主要是码头施工过程中，钢引桥和墩台永久占地对沿岸湿生植被的直接破坏，此外，施工过程中所产生的粉尘等会附着在水生植被上，对水生植被产生一定影响。由于新堤河段水生植物较少，以挺水植物芦苇和苔草为主，水生维管束植物较少，因此工程对水生维管束植物的影响较小。</w:t>
      </w:r>
    </w:p>
    <w:p>
      <w:pPr>
        <w:adjustRightInd w:val="0"/>
        <w:snapToGrid w:val="0"/>
        <w:spacing w:line="360" w:lineRule="auto"/>
        <w:ind w:firstLine="482" w:firstLineChars="200"/>
        <w:rPr>
          <w:rFonts w:ascii="Times New Roman" w:hAnsi="Times New Roman"/>
          <w:b/>
          <w:sz w:val="24"/>
          <w:szCs w:val="24"/>
        </w:rPr>
      </w:pPr>
      <w:r>
        <w:rPr>
          <w:rFonts w:ascii="Times New Roman" w:hAnsi="Times New Roman"/>
          <w:b/>
          <w:sz w:val="24"/>
          <w:szCs w:val="24"/>
        </w:rPr>
        <w:t>5、对鱼类资源的影响</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rPr>
        <w:t>⑴</w:t>
      </w:r>
      <w:r>
        <w:rPr>
          <w:rFonts w:ascii="Times New Roman" w:hAnsi="Times New Roman"/>
          <w:sz w:val="24"/>
          <w:szCs w:val="24"/>
        </w:rPr>
        <w:t xml:space="preserve"> 施工期对鱼类的影响</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lang w:eastAsia="ja-JP"/>
        </w:rPr>
        <w:t>①</w:t>
      </w:r>
      <w:r>
        <w:rPr>
          <w:rFonts w:ascii="Times New Roman" w:hAnsi="Times New Roman" w:eastAsiaTheme="minorEastAsia"/>
          <w:sz w:val="24"/>
          <w:szCs w:val="24"/>
        </w:rPr>
        <w:t xml:space="preserve"> </w:t>
      </w:r>
      <w:r>
        <w:rPr>
          <w:rFonts w:ascii="Times New Roman" w:hAnsi="Times New Roman"/>
          <w:sz w:val="24"/>
          <w:szCs w:val="24"/>
        </w:rPr>
        <w:t>施工产生的悬浮物对鱼类的影响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长江新螺段白鱀豚国家级自然保护区主要保护对象为长江江豚和白鱀豚，其他保护物种包括中华鲟、胭脂鱼、达氏鲟、白鲟等珍稀、保护种类。新堤作业区散货码头工程河段位于该保护区的实验区，工程施工过程中，码头水下施工活动，将会使岸边一定范围水域悬浮物浓度的增加，影响栖息在该区域鱼类的正常生长。</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研究表明，水下施工产生的悬浮泥沙会对鱼卵、仔稚鱼和幼体会造成伤害，主要表现为影响胚胎发育、堵塞生物的腮部造成窒息死亡，悬浮物沉积造成水体缺氧而导致死亡等，从而导致保护区工程区域江段鱼类数量的减少，尤其对于喜好清洁的流水环境的鱼类，如长吻鮠、铜鱼、胭脂鱼等。由于施工江段河水流速较大，污水被迅速稀释、扩散，不会形成污染带，鱼类也会本能避开浑浊水域，因此施工悬浮物对鱼类的生存无过多不利影响。随着施工期的结束，不利影响也即消失。</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lang w:eastAsia="ja-JP"/>
        </w:rPr>
        <w:t>②</w:t>
      </w:r>
      <w:r>
        <w:rPr>
          <w:rFonts w:ascii="Times New Roman" w:hAnsi="Times New Roman" w:eastAsiaTheme="minorEastAsia"/>
          <w:sz w:val="24"/>
          <w:szCs w:val="24"/>
        </w:rPr>
        <w:t xml:space="preserve"> </w:t>
      </w:r>
      <w:r>
        <w:rPr>
          <w:rFonts w:ascii="Times New Roman" w:hAnsi="Times New Roman"/>
          <w:sz w:val="24"/>
          <w:szCs w:val="24"/>
        </w:rPr>
        <w:t>施工产生的噪声对鱼类的影响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本项目噪声主要包括施工期港区机械设备、施工船舶汽笛等作业时产生的噪声。这些机械运行时在噪声较大，联合作业时叠加影响更加突出。施工期船舶及施工噪声将是重要的水下噪声源。噪声对鱼类的影响主要是造成鱼类回避，或对噪声的适应，因此不会形成大的不利影响。</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lang w:eastAsia="ja-JP"/>
        </w:rPr>
        <w:t>③</w:t>
      </w:r>
      <w:r>
        <w:rPr>
          <w:rFonts w:ascii="Times New Roman" w:hAnsi="Times New Roman" w:eastAsiaTheme="minorEastAsia"/>
          <w:sz w:val="24"/>
          <w:szCs w:val="24"/>
        </w:rPr>
        <w:t xml:space="preserve"> </w:t>
      </w:r>
      <w:r>
        <w:rPr>
          <w:rFonts w:ascii="Times New Roman" w:hAnsi="Times New Roman"/>
          <w:sz w:val="24"/>
          <w:szCs w:val="24"/>
        </w:rPr>
        <w:t>施工对鱼类饵料资源的影响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桩基工程的施工会导致水下施工区域内底栖生物和水生植物的大量死亡，这种情况会造成以虾类等底栖生物为主要食物的鱼类和以水生植物为主要食物的草鱼饵料资源的损失。但是施工影响区域底质以砂石为主，底栖生物和水生植物密度和生物量较低，且施工影响范围有限，因此工程施工对鱼类饵料资源的影响较小。</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lang w:eastAsia="ja-JP"/>
        </w:rPr>
        <w:t>④</w:t>
      </w:r>
      <w:r>
        <w:rPr>
          <w:rFonts w:ascii="Times New Roman" w:hAnsi="Times New Roman" w:eastAsiaTheme="minorEastAsia"/>
          <w:sz w:val="24"/>
          <w:szCs w:val="24"/>
        </w:rPr>
        <w:t xml:space="preserve"> </w:t>
      </w:r>
      <w:r>
        <w:rPr>
          <w:rFonts w:ascii="Times New Roman" w:hAnsi="Times New Roman"/>
          <w:sz w:val="24"/>
          <w:szCs w:val="24"/>
        </w:rPr>
        <w:t>其它施工活动及人类活动的影响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另外在施工期，大量施工人员集中在江段两岸，施工人员业余时间可能存在的捕鱼的非法活动，从而导致施工河段附近鱼类资源的消耗。因此必须加强管理，避免保护区内珍稀特有鱼类的滥捕现象，避免使保护区的鱼类资源受到严重的人为影响。</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rPr>
        <w:t>⑵</w:t>
      </w:r>
      <w:bookmarkStart w:id="187" w:name="_Toc312048938"/>
      <w:bookmarkStart w:id="188" w:name="_Toc302120106"/>
      <w:r>
        <w:rPr>
          <w:rFonts w:ascii="Times New Roman" w:hAnsi="Times New Roman"/>
          <w:sz w:val="24"/>
          <w:szCs w:val="24"/>
        </w:rPr>
        <w:t xml:space="preserve"> 营运期对鱼类的影响</w:t>
      </w:r>
      <w:bookmarkEnd w:id="187"/>
      <w:bookmarkEnd w:id="188"/>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随着近年来长江中下游河段航道条件的逐步改善，航运业得到迅速发展，长江中下游航行船舶数量和船舶规模均大大增加。新堤码头建成后，区域内船舶数量和船运次数必然会显著增加。因此，营运期间航运量增加对保护区鱼类的潜在影响主要表现为以下几个方面：</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lang w:eastAsia="ja-JP"/>
        </w:rPr>
        <w:t>①</w:t>
      </w:r>
      <w:r>
        <w:rPr>
          <w:rFonts w:ascii="Times New Roman" w:hAnsi="Times New Roman" w:eastAsiaTheme="minorEastAsia"/>
          <w:sz w:val="24"/>
          <w:szCs w:val="24"/>
        </w:rPr>
        <w:t xml:space="preserve"> </w:t>
      </w:r>
      <w:r>
        <w:rPr>
          <w:rFonts w:ascii="Times New Roman" w:hAnsi="Times New Roman"/>
          <w:sz w:val="24"/>
          <w:szCs w:val="24"/>
        </w:rPr>
        <w:t>噪音污染对鱼类的影响将增加。</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lang w:eastAsia="ja-JP"/>
        </w:rPr>
        <w:t>②</w:t>
      </w:r>
      <w:r>
        <w:rPr>
          <w:rFonts w:ascii="Times New Roman" w:hAnsi="Times New Roman" w:eastAsiaTheme="minorEastAsia"/>
          <w:sz w:val="24"/>
          <w:szCs w:val="24"/>
        </w:rPr>
        <w:t xml:space="preserve"> </w:t>
      </w:r>
      <w:r>
        <w:rPr>
          <w:rFonts w:ascii="Times New Roman" w:hAnsi="Times New Roman"/>
          <w:sz w:val="24"/>
          <w:szCs w:val="24"/>
        </w:rPr>
        <w:t>鱼类被机械损伤的几率也将增加。航运繁忙增加了保护区鱼类尤其大型鱼类如中华鲟、长江江豚等被机械损伤的几率。</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lang w:eastAsia="ja-JP"/>
        </w:rPr>
        <w:t>③</w:t>
      </w:r>
      <w:r>
        <w:rPr>
          <w:rFonts w:ascii="Times New Roman" w:hAnsi="Times New Roman" w:eastAsiaTheme="minorEastAsia"/>
          <w:sz w:val="24"/>
          <w:szCs w:val="24"/>
        </w:rPr>
        <w:t xml:space="preserve"> </w:t>
      </w:r>
      <w:r>
        <w:rPr>
          <w:rFonts w:ascii="Times New Roman" w:hAnsi="Times New Roman"/>
          <w:sz w:val="24"/>
          <w:szCs w:val="24"/>
        </w:rPr>
        <w:t>船舶废水排放的影响。河道营运期由于船舶舱底含油污水，船舶工人生活污水和船舶洗舱污水若直接排入长江，则会污染该江段；同时船上工作人员生活污水、冲洗废水若直接排放，也会对该江段产生影响，从而对保护区的水质造成破坏。</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lang w:eastAsia="ja-JP"/>
        </w:rPr>
        <w:t>④</w:t>
      </w:r>
      <w:r>
        <w:rPr>
          <w:rFonts w:ascii="Times New Roman" w:hAnsi="Times New Roman" w:eastAsiaTheme="minorEastAsia"/>
          <w:sz w:val="24"/>
          <w:szCs w:val="24"/>
        </w:rPr>
        <w:t xml:space="preserve"> </w:t>
      </w:r>
      <w:r>
        <w:rPr>
          <w:rFonts w:ascii="Times New Roman" w:hAnsi="Times New Roman"/>
          <w:sz w:val="24"/>
          <w:szCs w:val="24"/>
        </w:rPr>
        <w:t>营运期间由于货运量的急剧增加，由此产生的生活污水及其它生活垃圾也大量增加。这些污染物特别是生活污水如果直接排放将可能导致保护区水质的恶化，鱼类等水生生物的生活环境将发生改变。</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lang w:eastAsia="ja-JP"/>
        </w:rPr>
        <w:t>⑤</w:t>
      </w:r>
      <w:r>
        <w:rPr>
          <w:rFonts w:ascii="Times New Roman" w:hAnsi="Times New Roman" w:eastAsiaTheme="minorEastAsia"/>
          <w:sz w:val="24"/>
          <w:szCs w:val="24"/>
        </w:rPr>
        <w:t xml:space="preserve"> </w:t>
      </w:r>
      <w:r>
        <w:rPr>
          <w:rFonts w:ascii="Times New Roman" w:hAnsi="Times New Roman"/>
          <w:sz w:val="24"/>
          <w:szCs w:val="24"/>
        </w:rPr>
        <w:t>块石、碎石、水泥散落事故和船舶舱底油污水事故等风险增加对保护区鱼类的危害将会增加。本码头货种以块石、碎石、水泥、普通件杂为主。工程完工投入运营之后，航运量增加对保护区鱼类的影响是不可避免的。</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lang w:eastAsia="ja-JP"/>
        </w:rPr>
        <w:t>⑥</w:t>
      </w:r>
      <w:r>
        <w:rPr>
          <w:rFonts w:ascii="Times New Roman" w:hAnsi="Times New Roman" w:eastAsiaTheme="minorEastAsia"/>
          <w:sz w:val="24"/>
          <w:szCs w:val="24"/>
        </w:rPr>
        <w:t xml:space="preserve"> </w:t>
      </w:r>
      <w:r>
        <w:rPr>
          <w:rFonts w:ascii="Times New Roman" w:hAnsi="Times New Roman"/>
          <w:sz w:val="24"/>
          <w:szCs w:val="24"/>
        </w:rPr>
        <w:t>运营期夜间船舶的光照，会在一定程度上影响码头附近水域中的鱼类正常栖息环境，对其有驱赶作用。光照节律的变化也可能会影响到亲鱼内分泌、性成熟度和产卵活动，突然的光照改变也会导致鱼类一定程度的应激反应。此外，孵化出的仔鱼对光照具有一定的选择性，项目运营期的夜间照明会改变临近水域的光强度和光节律，进而对仔鱼和繁殖期的鱼类产生一定影响。</w:t>
      </w:r>
    </w:p>
    <w:p>
      <w:pPr>
        <w:pStyle w:val="3"/>
        <w:rPr>
          <w:rFonts w:ascii="Times New Roman" w:hAnsi="Times New Roman" w:eastAsiaTheme="minorEastAsia"/>
          <w:b/>
          <w:color w:val="000000" w:themeColor="text1"/>
          <w14:textFill>
            <w14:solidFill>
              <w14:schemeClr w14:val="tx1"/>
            </w14:solidFill>
          </w14:textFill>
        </w:rPr>
      </w:pPr>
      <w:bookmarkStart w:id="189" w:name="_Toc23983"/>
      <w:r>
        <w:rPr>
          <w:rFonts w:ascii="Times New Roman" w:hAnsi="Times New Roman" w:eastAsiaTheme="minorEastAsia"/>
          <w:b/>
          <w:color w:val="000000" w:themeColor="text1"/>
          <w14:textFill>
            <w14:solidFill>
              <w14:schemeClr w14:val="tx1"/>
            </w14:solidFill>
          </w14:textFill>
        </w:rPr>
        <w:t>环境风险影响评价</w:t>
      </w:r>
      <w:bookmarkEnd w:id="189"/>
    </w:p>
    <w:p>
      <w:pPr>
        <w:pStyle w:val="4"/>
        <w:rPr>
          <w:rFonts w:eastAsiaTheme="minorEastAsia"/>
          <w:color w:val="000000" w:themeColor="text1"/>
          <w14:textFill>
            <w14:solidFill>
              <w14:schemeClr w14:val="tx1"/>
            </w14:solidFill>
          </w14:textFill>
        </w:rPr>
      </w:pPr>
      <w:bookmarkStart w:id="190" w:name="_Toc23429144"/>
      <w:r>
        <w:rPr>
          <w:rFonts w:eastAsiaTheme="minorEastAsia"/>
          <w:color w:val="000000" w:themeColor="text1"/>
          <w14:textFill>
            <w14:solidFill>
              <w14:schemeClr w14:val="tx1"/>
            </w14:solidFill>
          </w14:textFill>
        </w:rPr>
        <w:t>评价依据</w:t>
      </w:r>
      <w:bookmarkEnd w:id="190"/>
    </w:p>
    <w:p>
      <w:pPr>
        <w:pStyle w:val="5"/>
        <w:rPr>
          <w:rFonts w:eastAsiaTheme="minorEastAsia"/>
        </w:rPr>
      </w:pPr>
      <w:r>
        <w:rPr>
          <w:rFonts w:eastAsiaTheme="minorEastAsia"/>
        </w:rPr>
        <w:t>风险调查</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项目运营货种为煤炭，本项目运输物品中无有毒、有害物质，也无可燃、易燃物质。营运期发生风险事故的可能性主要是溢油事故。一方面，船舶在作业或行进时，由于管理疏忽、操作违反规程或失误等原因引起石油类跑、冒、滴、漏事故的可能性是比较大的，这类溢油事故对环境影响相对较小，但也会对水域造成油污染；另一方面，由于船舶本身出现设施损废，或者发生船舶碰撞，有可能使油类溢出造成污染，这类事故产生的环境影响较大。</w:t>
      </w:r>
    </w:p>
    <w:p>
      <w:pPr>
        <w:adjustRightInd w:val="0"/>
        <w:snapToGrid w:val="0"/>
        <w:spacing w:line="360" w:lineRule="auto"/>
        <w:ind w:firstLine="480" w:firstLineChars="200"/>
        <w:rPr>
          <w:rFonts w:ascii="Times New Roman" w:hAnsi="Times New Roman" w:eastAsiaTheme="minorEastAsia"/>
        </w:rPr>
      </w:pPr>
      <w:r>
        <w:rPr>
          <w:rFonts w:ascii="Times New Roman" w:hAnsi="Times New Roman" w:eastAsiaTheme="minorEastAsia"/>
          <w:sz w:val="24"/>
          <w:szCs w:val="24"/>
        </w:rPr>
        <w:t>根据以往事故发生的规律，船舶事故主要发生在港区码头和航道。根据多项事故类型和事故诱因的统计分析，船舶航行事故占各类事故的70%，且90%的船舶航行事故发生于港区或沿岸地区。统计归纳的典型事故诱因参考表6.7-1。</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表6.7-1  典型船舶事故诱因归纳表</w:t>
      </w:r>
    </w:p>
    <w:tbl>
      <w:tblPr>
        <w:tblStyle w:val="71"/>
        <w:tblW w:w="910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678"/>
        <w:gridCol w:w="1480"/>
        <w:gridCol w:w="594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678" w:type="dxa"/>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发生地点</w:t>
            </w:r>
          </w:p>
        </w:tc>
        <w:tc>
          <w:tcPr>
            <w:tcW w:w="1480" w:type="dxa"/>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发生源</w:t>
            </w:r>
          </w:p>
        </w:tc>
        <w:tc>
          <w:tcPr>
            <w:tcW w:w="5942" w:type="dxa"/>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发生原因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78"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航线</w:t>
            </w:r>
          </w:p>
        </w:tc>
        <w:tc>
          <w:tcPr>
            <w:tcW w:w="1480"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船舶</w:t>
            </w:r>
          </w:p>
        </w:tc>
        <w:tc>
          <w:tcPr>
            <w:tcW w:w="5942"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触礁、搁浅、船舶碰撞、恶劣海况、火灾爆炸、危险品泄漏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78"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锚地</w:t>
            </w:r>
          </w:p>
        </w:tc>
        <w:tc>
          <w:tcPr>
            <w:tcW w:w="1480"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船舶</w:t>
            </w:r>
          </w:p>
        </w:tc>
        <w:tc>
          <w:tcPr>
            <w:tcW w:w="5942"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船舶碰撞、火灾爆炸、泄漏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78"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港池</w:t>
            </w:r>
          </w:p>
        </w:tc>
        <w:tc>
          <w:tcPr>
            <w:tcW w:w="1480"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船舶</w:t>
            </w:r>
          </w:p>
        </w:tc>
        <w:tc>
          <w:tcPr>
            <w:tcW w:w="5942"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船舶碰撞、船与码头碰撞、操作失误、火灾爆炸、泄漏</w:t>
            </w:r>
          </w:p>
        </w:tc>
      </w:tr>
    </w:tbl>
    <w:p>
      <w:pPr>
        <w:adjustRightInd w:val="0"/>
        <w:snapToGrid w:val="0"/>
        <w:spacing w:line="360" w:lineRule="auto"/>
        <w:rPr>
          <w:rFonts w:ascii="Times New Roman" w:hAnsi="Times New Roman" w:eastAsiaTheme="minorEastAsia"/>
          <w:sz w:val="24"/>
          <w:szCs w:val="24"/>
        </w:rPr>
      </w:pP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从上表分析发现，码头风险事故发生的主要环节是船舶搁浅、碰撞、或码头桥桩碰撞等突发性事故而导致的漏油、火灾、爆炸等对环境产生的影响。</w:t>
      </w:r>
    </w:p>
    <w:p>
      <w:pPr>
        <w:adjustRightInd w:val="0"/>
        <w:snapToGrid w:val="0"/>
        <w:spacing w:line="360" w:lineRule="auto"/>
        <w:ind w:firstLine="480" w:firstLineChars="200"/>
        <w:rPr>
          <w:rFonts w:ascii="Times New Roman" w:hAnsi="Times New Roman" w:eastAsiaTheme="minorEastAsia"/>
        </w:rPr>
      </w:pPr>
      <w:r>
        <w:rPr>
          <w:rFonts w:ascii="Times New Roman" w:hAnsi="Times New Roman" w:eastAsiaTheme="minorEastAsia"/>
          <w:sz w:val="24"/>
          <w:szCs w:val="24"/>
        </w:rPr>
        <w:t>环境风险识别见表6.7-2。</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表6.7-2  环境风险识别表</w:t>
      </w:r>
    </w:p>
    <w:tbl>
      <w:tblPr>
        <w:tblStyle w:val="71"/>
        <w:tblW w:w="907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828"/>
        <w:gridCol w:w="1418"/>
        <w:gridCol w:w="1289"/>
        <w:gridCol w:w="1262"/>
        <w:gridCol w:w="1276"/>
        <w:gridCol w:w="19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trPr>
        <w:tc>
          <w:tcPr>
            <w:tcW w:w="1828" w:type="dxa"/>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产生环境风险的原因</w:t>
            </w:r>
          </w:p>
        </w:tc>
        <w:tc>
          <w:tcPr>
            <w:tcW w:w="1418" w:type="dxa"/>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环境风险因子</w:t>
            </w:r>
          </w:p>
        </w:tc>
        <w:tc>
          <w:tcPr>
            <w:tcW w:w="3827" w:type="dxa"/>
            <w:gridSpan w:val="3"/>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发生的难易程度</w:t>
            </w:r>
          </w:p>
        </w:tc>
        <w:tc>
          <w:tcPr>
            <w:tcW w:w="1998" w:type="dxa"/>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环境保护目标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trPr>
        <w:tc>
          <w:tcPr>
            <w:tcW w:w="1828" w:type="dxa"/>
            <w:vMerge w:val="continue"/>
            <w:vAlign w:val="center"/>
          </w:tcPr>
          <w:p>
            <w:pPr>
              <w:adjustRightInd w:val="0"/>
              <w:snapToGrid w:val="0"/>
              <w:jc w:val="center"/>
              <w:rPr>
                <w:rFonts w:ascii="Times New Roman" w:hAnsi="Times New Roman" w:eastAsiaTheme="minorEastAsia"/>
                <w:b/>
              </w:rPr>
            </w:pPr>
          </w:p>
        </w:tc>
        <w:tc>
          <w:tcPr>
            <w:tcW w:w="1418" w:type="dxa"/>
            <w:vMerge w:val="continue"/>
            <w:vAlign w:val="center"/>
          </w:tcPr>
          <w:p>
            <w:pPr>
              <w:adjustRightInd w:val="0"/>
              <w:snapToGrid w:val="0"/>
              <w:jc w:val="center"/>
              <w:rPr>
                <w:rFonts w:ascii="Times New Roman" w:hAnsi="Times New Roman" w:eastAsiaTheme="minorEastAsia"/>
                <w:b/>
              </w:rPr>
            </w:pPr>
          </w:p>
        </w:tc>
        <w:tc>
          <w:tcPr>
            <w:tcW w:w="1289" w:type="dxa"/>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易发生</w:t>
            </w:r>
          </w:p>
        </w:tc>
        <w:tc>
          <w:tcPr>
            <w:tcW w:w="1262" w:type="dxa"/>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适度发生</w:t>
            </w:r>
          </w:p>
        </w:tc>
        <w:tc>
          <w:tcPr>
            <w:tcW w:w="1276" w:type="dxa"/>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难发生</w:t>
            </w:r>
          </w:p>
        </w:tc>
        <w:tc>
          <w:tcPr>
            <w:tcW w:w="1998" w:type="dxa"/>
            <w:vMerge w:val="continue"/>
            <w:vAlign w:val="center"/>
          </w:tcPr>
          <w:p>
            <w:pPr>
              <w:adjustRightInd w:val="0"/>
              <w:snapToGrid w:val="0"/>
              <w:jc w:val="center"/>
              <w:rPr>
                <w:rFonts w:ascii="Times New Roman" w:hAnsi="Times New Roman" w:eastAsiaTheme="minorEastAsia"/>
                <w: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828" w:type="dxa"/>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船舶搁浅</w:t>
            </w:r>
          </w:p>
        </w:tc>
        <w:tc>
          <w:tcPr>
            <w:tcW w:w="1418"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船舶溢油</w:t>
            </w:r>
          </w:p>
        </w:tc>
        <w:tc>
          <w:tcPr>
            <w:tcW w:w="1289" w:type="dxa"/>
            <w:vAlign w:val="center"/>
          </w:tcPr>
          <w:p>
            <w:pPr>
              <w:adjustRightInd w:val="0"/>
              <w:snapToGrid w:val="0"/>
              <w:jc w:val="center"/>
              <w:rPr>
                <w:rFonts w:ascii="Times New Roman" w:hAnsi="Times New Roman" w:eastAsiaTheme="minorEastAsia"/>
              </w:rPr>
            </w:pPr>
          </w:p>
        </w:tc>
        <w:tc>
          <w:tcPr>
            <w:tcW w:w="1262"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1276" w:type="dxa"/>
            <w:vAlign w:val="center"/>
          </w:tcPr>
          <w:p>
            <w:pPr>
              <w:adjustRightInd w:val="0"/>
              <w:snapToGrid w:val="0"/>
              <w:jc w:val="center"/>
              <w:rPr>
                <w:rFonts w:ascii="Times New Roman" w:hAnsi="Times New Roman" w:eastAsiaTheme="minorEastAsia"/>
              </w:rPr>
            </w:pPr>
          </w:p>
        </w:tc>
        <w:tc>
          <w:tcPr>
            <w:tcW w:w="1998" w:type="dxa"/>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地表水</w:t>
            </w:r>
          </w:p>
          <w:p>
            <w:pPr>
              <w:adjustRightInd w:val="0"/>
              <w:snapToGrid w:val="0"/>
              <w:jc w:val="center"/>
              <w:rPr>
                <w:rFonts w:ascii="Times New Roman" w:hAnsi="Times New Roman" w:eastAsiaTheme="minorEastAsia"/>
              </w:rPr>
            </w:pPr>
            <w:r>
              <w:rPr>
                <w:rFonts w:ascii="Times New Roman" w:hAnsi="Times New Roman" w:eastAsiaTheme="minorEastAsia"/>
              </w:rPr>
              <w:t>水生生态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828" w:type="dxa"/>
            <w:vMerge w:val="continue"/>
            <w:vAlign w:val="center"/>
          </w:tcPr>
          <w:p>
            <w:pPr>
              <w:adjustRightInd w:val="0"/>
              <w:snapToGrid w:val="0"/>
              <w:jc w:val="center"/>
              <w:rPr>
                <w:rFonts w:ascii="Times New Roman" w:hAnsi="Times New Roman" w:eastAsiaTheme="minorEastAsia"/>
              </w:rPr>
            </w:pPr>
          </w:p>
        </w:tc>
        <w:tc>
          <w:tcPr>
            <w:tcW w:w="1418"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生活污水</w:t>
            </w:r>
          </w:p>
        </w:tc>
        <w:tc>
          <w:tcPr>
            <w:tcW w:w="1289" w:type="dxa"/>
            <w:vAlign w:val="center"/>
          </w:tcPr>
          <w:p>
            <w:pPr>
              <w:adjustRightInd w:val="0"/>
              <w:snapToGrid w:val="0"/>
              <w:jc w:val="center"/>
              <w:rPr>
                <w:rFonts w:ascii="Times New Roman" w:hAnsi="Times New Roman" w:eastAsiaTheme="minorEastAsia"/>
              </w:rPr>
            </w:pPr>
          </w:p>
        </w:tc>
        <w:tc>
          <w:tcPr>
            <w:tcW w:w="1262"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1276" w:type="dxa"/>
            <w:vAlign w:val="center"/>
          </w:tcPr>
          <w:p>
            <w:pPr>
              <w:adjustRightInd w:val="0"/>
              <w:snapToGrid w:val="0"/>
              <w:jc w:val="center"/>
              <w:rPr>
                <w:rFonts w:ascii="Times New Roman" w:hAnsi="Times New Roman" w:eastAsiaTheme="minorEastAsia"/>
              </w:rPr>
            </w:pPr>
          </w:p>
        </w:tc>
        <w:tc>
          <w:tcPr>
            <w:tcW w:w="1998" w:type="dxa"/>
            <w:vMerge w:val="continue"/>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828" w:type="dxa"/>
            <w:vMerge w:val="continue"/>
            <w:vAlign w:val="center"/>
          </w:tcPr>
          <w:p>
            <w:pPr>
              <w:adjustRightInd w:val="0"/>
              <w:snapToGrid w:val="0"/>
              <w:jc w:val="center"/>
              <w:rPr>
                <w:rFonts w:ascii="Times New Roman" w:hAnsi="Times New Roman" w:eastAsiaTheme="minorEastAsia"/>
              </w:rPr>
            </w:pPr>
          </w:p>
        </w:tc>
        <w:tc>
          <w:tcPr>
            <w:tcW w:w="1418"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悬浮物质</w:t>
            </w:r>
          </w:p>
        </w:tc>
        <w:tc>
          <w:tcPr>
            <w:tcW w:w="1289" w:type="dxa"/>
            <w:vAlign w:val="center"/>
          </w:tcPr>
          <w:p>
            <w:pPr>
              <w:adjustRightInd w:val="0"/>
              <w:snapToGrid w:val="0"/>
              <w:jc w:val="center"/>
              <w:rPr>
                <w:rFonts w:ascii="Times New Roman" w:hAnsi="Times New Roman" w:eastAsiaTheme="minorEastAsia"/>
              </w:rPr>
            </w:pPr>
          </w:p>
        </w:tc>
        <w:tc>
          <w:tcPr>
            <w:tcW w:w="1262"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1276" w:type="dxa"/>
            <w:vAlign w:val="center"/>
          </w:tcPr>
          <w:p>
            <w:pPr>
              <w:adjustRightInd w:val="0"/>
              <w:snapToGrid w:val="0"/>
              <w:jc w:val="center"/>
              <w:rPr>
                <w:rFonts w:ascii="Times New Roman" w:hAnsi="Times New Roman" w:eastAsiaTheme="minorEastAsia"/>
              </w:rPr>
            </w:pPr>
          </w:p>
        </w:tc>
        <w:tc>
          <w:tcPr>
            <w:tcW w:w="1998" w:type="dxa"/>
            <w:vMerge w:val="continue"/>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828" w:type="dxa"/>
            <w:vMerge w:val="continue"/>
            <w:vAlign w:val="center"/>
          </w:tcPr>
          <w:p>
            <w:pPr>
              <w:adjustRightInd w:val="0"/>
              <w:snapToGrid w:val="0"/>
              <w:jc w:val="center"/>
              <w:rPr>
                <w:rFonts w:ascii="Times New Roman" w:hAnsi="Times New Roman" w:eastAsiaTheme="minorEastAsia"/>
              </w:rPr>
            </w:pPr>
          </w:p>
        </w:tc>
        <w:tc>
          <w:tcPr>
            <w:tcW w:w="1418"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其他垃圾</w:t>
            </w:r>
          </w:p>
        </w:tc>
        <w:tc>
          <w:tcPr>
            <w:tcW w:w="1289"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1262" w:type="dxa"/>
            <w:vAlign w:val="center"/>
          </w:tcPr>
          <w:p>
            <w:pPr>
              <w:adjustRightInd w:val="0"/>
              <w:snapToGrid w:val="0"/>
              <w:jc w:val="center"/>
              <w:rPr>
                <w:rFonts w:ascii="Times New Roman" w:hAnsi="Times New Roman" w:eastAsiaTheme="minorEastAsia"/>
              </w:rPr>
            </w:pPr>
          </w:p>
        </w:tc>
        <w:tc>
          <w:tcPr>
            <w:tcW w:w="1276" w:type="dxa"/>
            <w:vAlign w:val="center"/>
          </w:tcPr>
          <w:p>
            <w:pPr>
              <w:adjustRightInd w:val="0"/>
              <w:snapToGrid w:val="0"/>
              <w:jc w:val="center"/>
              <w:rPr>
                <w:rFonts w:ascii="Times New Roman" w:hAnsi="Times New Roman" w:eastAsiaTheme="minorEastAsia"/>
              </w:rPr>
            </w:pPr>
          </w:p>
        </w:tc>
        <w:tc>
          <w:tcPr>
            <w:tcW w:w="1998" w:type="dxa"/>
            <w:vMerge w:val="continue"/>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828" w:type="dxa"/>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船舶碰撞</w:t>
            </w:r>
          </w:p>
        </w:tc>
        <w:tc>
          <w:tcPr>
            <w:tcW w:w="1418"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船舶溢油</w:t>
            </w:r>
          </w:p>
        </w:tc>
        <w:tc>
          <w:tcPr>
            <w:tcW w:w="1289"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1262" w:type="dxa"/>
            <w:vAlign w:val="center"/>
          </w:tcPr>
          <w:p>
            <w:pPr>
              <w:adjustRightInd w:val="0"/>
              <w:snapToGrid w:val="0"/>
              <w:jc w:val="center"/>
              <w:rPr>
                <w:rFonts w:ascii="Times New Roman" w:hAnsi="Times New Roman" w:eastAsiaTheme="minorEastAsia"/>
              </w:rPr>
            </w:pPr>
          </w:p>
        </w:tc>
        <w:tc>
          <w:tcPr>
            <w:tcW w:w="1276" w:type="dxa"/>
            <w:vAlign w:val="center"/>
          </w:tcPr>
          <w:p>
            <w:pPr>
              <w:adjustRightInd w:val="0"/>
              <w:snapToGrid w:val="0"/>
              <w:jc w:val="center"/>
              <w:rPr>
                <w:rFonts w:ascii="Times New Roman" w:hAnsi="Times New Roman" w:eastAsiaTheme="minorEastAsia"/>
              </w:rPr>
            </w:pPr>
          </w:p>
        </w:tc>
        <w:tc>
          <w:tcPr>
            <w:tcW w:w="1998" w:type="dxa"/>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环境空气</w:t>
            </w:r>
          </w:p>
          <w:p>
            <w:pPr>
              <w:adjustRightInd w:val="0"/>
              <w:snapToGrid w:val="0"/>
              <w:jc w:val="center"/>
              <w:rPr>
                <w:rFonts w:ascii="Times New Roman" w:hAnsi="Times New Roman" w:eastAsiaTheme="minorEastAsia"/>
              </w:rPr>
            </w:pPr>
            <w:r>
              <w:rPr>
                <w:rFonts w:ascii="Times New Roman" w:hAnsi="Times New Roman" w:eastAsiaTheme="minorEastAsia"/>
              </w:rPr>
              <w:t>地表水</w:t>
            </w:r>
          </w:p>
          <w:p>
            <w:pPr>
              <w:adjustRightInd w:val="0"/>
              <w:snapToGrid w:val="0"/>
              <w:jc w:val="center"/>
              <w:rPr>
                <w:rFonts w:ascii="Times New Roman" w:hAnsi="Times New Roman" w:eastAsiaTheme="minorEastAsia"/>
              </w:rPr>
            </w:pPr>
            <w:r>
              <w:rPr>
                <w:rFonts w:ascii="Times New Roman" w:hAnsi="Times New Roman" w:eastAsiaTheme="minorEastAsia"/>
              </w:rPr>
              <w:t>水生生态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828" w:type="dxa"/>
            <w:vMerge w:val="continue"/>
            <w:vAlign w:val="center"/>
          </w:tcPr>
          <w:p>
            <w:pPr>
              <w:adjustRightInd w:val="0"/>
              <w:snapToGrid w:val="0"/>
              <w:jc w:val="center"/>
              <w:rPr>
                <w:rFonts w:ascii="Times New Roman" w:hAnsi="Times New Roman" w:eastAsiaTheme="minorEastAsia"/>
              </w:rPr>
            </w:pPr>
          </w:p>
        </w:tc>
        <w:tc>
          <w:tcPr>
            <w:tcW w:w="1418"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火灾</w:t>
            </w:r>
          </w:p>
        </w:tc>
        <w:tc>
          <w:tcPr>
            <w:tcW w:w="1289" w:type="dxa"/>
            <w:vAlign w:val="center"/>
          </w:tcPr>
          <w:p>
            <w:pPr>
              <w:adjustRightInd w:val="0"/>
              <w:snapToGrid w:val="0"/>
              <w:jc w:val="center"/>
              <w:rPr>
                <w:rFonts w:ascii="Times New Roman" w:hAnsi="Times New Roman" w:eastAsiaTheme="minorEastAsia"/>
              </w:rPr>
            </w:pPr>
          </w:p>
        </w:tc>
        <w:tc>
          <w:tcPr>
            <w:tcW w:w="1262"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1276" w:type="dxa"/>
            <w:vAlign w:val="center"/>
          </w:tcPr>
          <w:p>
            <w:pPr>
              <w:adjustRightInd w:val="0"/>
              <w:snapToGrid w:val="0"/>
              <w:jc w:val="center"/>
              <w:rPr>
                <w:rFonts w:ascii="Times New Roman" w:hAnsi="Times New Roman" w:eastAsiaTheme="minorEastAsia"/>
              </w:rPr>
            </w:pPr>
          </w:p>
        </w:tc>
        <w:tc>
          <w:tcPr>
            <w:tcW w:w="1998" w:type="dxa"/>
            <w:vMerge w:val="continue"/>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828" w:type="dxa"/>
            <w:vMerge w:val="continue"/>
            <w:vAlign w:val="center"/>
          </w:tcPr>
          <w:p>
            <w:pPr>
              <w:adjustRightInd w:val="0"/>
              <w:snapToGrid w:val="0"/>
              <w:jc w:val="center"/>
              <w:rPr>
                <w:rFonts w:ascii="Times New Roman" w:hAnsi="Times New Roman" w:eastAsiaTheme="minorEastAsia"/>
              </w:rPr>
            </w:pPr>
          </w:p>
        </w:tc>
        <w:tc>
          <w:tcPr>
            <w:tcW w:w="1418"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爆炸</w:t>
            </w:r>
          </w:p>
        </w:tc>
        <w:tc>
          <w:tcPr>
            <w:tcW w:w="1289"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1262" w:type="dxa"/>
            <w:vAlign w:val="center"/>
          </w:tcPr>
          <w:p>
            <w:pPr>
              <w:adjustRightInd w:val="0"/>
              <w:snapToGrid w:val="0"/>
              <w:jc w:val="center"/>
              <w:rPr>
                <w:rFonts w:ascii="Times New Roman" w:hAnsi="Times New Roman" w:eastAsiaTheme="minorEastAsia"/>
              </w:rPr>
            </w:pPr>
          </w:p>
        </w:tc>
        <w:tc>
          <w:tcPr>
            <w:tcW w:w="1276" w:type="dxa"/>
            <w:vAlign w:val="center"/>
          </w:tcPr>
          <w:p>
            <w:pPr>
              <w:adjustRightInd w:val="0"/>
              <w:snapToGrid w:val="0"/>
              <w:jc w:val="center"/>
              <w:rPr>
                <w:rFonts w:ascii="Times New Roman" w:hAnsi="Times New Roman" w:eastAsiaTheme="minorEastAsia"/>
              </w:rPr>
            </w:pPr>
          </w:p>
        </w:tc>
        <w:tc>
          <w:tcPr>
            <w:tcW w:w="1998" w:type="dxa"/>
            <w:vMerge w:val="continue"/>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828" w:type="dxa"/>
            <w:vMerge w:val="continue"/>
            <w:vAlign w:val="center"/>
          </w:tcPr>
          <w:p>
            <w:pPr>
              <w:adjustRightInd w:val="0"/>
              <w:snapToGrid w:val="0"/>
              <w:jc w:val="center"/>
              <w:rPr>
                <w:rFonts w:ascii="Times New Roman" w:hAnsi="Times New Roman" w:eastAsiaTheme="minorEastAsia"/>
              </w:rPr>
            </w:pPr>
          </w:p>
        </w:tc>
        <w:tc>
          <w:tcPr>
            <w:tcW w:w="1418"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生活污水</w:t>
            </w:r>
          </w:p>
        </w:tc>
        <w:tc>
          <w:tcPr>
            <w:tcW w:w="1289"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1262" w:type="dxa"/>
            <w:vAlign w:val="center"/>
          </w:tcPr>
          <w:p>
            <w:pPr>
              <w:adjustRightInd w:val="0"/>
              <w:snapToGrid w:val="0"/>
              <w:jc w:val="center"/>
              <w:rPr>
                <w:rFonts w:ascii="Times New Roman" w:hAnsi="Times New Roman" w:eastAsiaTheme="minorEastAsia"/>
              </w:rPr>
            </w:pPr>
          </w:p>
        </w:tc>
        <w:tc>
          <w:tcPr>
            <w:tcW w:w="1276" w:type="dxa"/>
            <w:vAlign w:val="center"/>
          </w:tcPr>
          <w:p>
            <w:pPr>
              <w:adjustRightInd w:val="0"/>
              <w:snapToGrid w:val="0"/>
              <w:jc w:val="center"/>
              <w:rPr>
                <w:rFonts w:ascii="Times New Roman" w:hAnsi="Times New Roman" w:eastAsiaTheme="minorEastAsia"/>
              </w:rPr>
            </w:pPr>
          </w:p>
        </w:tc>
        <w:tc>
          <w:tcPr>
            <w:tcW w:w="1998" w:type="dxa"/>
            <w:vMerge w:val="continue"/>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828" w:type="dxa"/>
            <w:vMerge w:val="continue"/>
            <w:vAlign w:val="center"/>
          </w:tcPr>
          <w:p>
            <w:pPr>
              <w:adjustRightInd w:val="0"/>
              <w:snapToGrid w:val="0"/>
              <w:jc w:val="center"/>
              <w:rPr>
                <w:rFonts w:ascii="Times New Roman" w:hAnsi="Times New Roman" w:eastAsiaTheme="minorEastAsia"/>
              </w:rPr>
            </w:pPr>
          </w:p>
        </w:tc>
        <w:tc>
          <w:tcPr>
            <w:tcW w:w="1418"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悬浮物质</w:t>
            </w:r>
          </w:p>
        </w:tc>
        <w:tc>
          <w:tcPr>
            <w:tcW w:w="1289"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1262" w:type="dxa"/>
            <w:vAlign w:val="center"/>
          </w:tcPr>
          <w:p>
            <w:pPr>
              <w:adjustRightInd w:val="0"/>
              <w:snapToGrid w:val="0"/>
              <w:jc w:val="center"/>
              <w:rPr>
                <w:rFonts w:ascii="Times New Roman" w:hAnsi="Times New Roman" w:eastAsiaTheme="minorEastAsia"/>
              </w:rPr>
            </w:pPr>
          </w:p>
        </w:tc>
        <w:tc>
          <w:tcPr>
            <w:tcW w:w="1276" w:type="dxa"/>
            <w:vAlign w:val="center"/>
          </w:tcPr>
          <w:p>
            <w:pPr>
              <w:adjustRightInd w:val="0"/>
              <w:snapToGrid w:val="0"/>
              <w:jc w:val="center"/>
              <w:rPr>
                <w:rFonts w:ascii="Times New Roman" w:hAnsi="Times New Roman" w:eastAsiaTheme="minorEastAsia"/>
              </w:rPr>
            </w:pPr>
          </w:p>
        </w:tc>
        <w:tc>
          <w:tcPr>
            <w:tcW w:w="1998" w:type="dxa"/>
            <w:vMerge w:val="continue"/>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828" w:type="dxa"/>
            <w:vMerge w:val="continue"/>
            <w:vAlign w:val="center"/>
          </w:tcPr>
          <w:p>
            <w:pPr>
              <w:adjustRightInd w:val="0"/>
              <w:snapToGrid w:val="0"/>
              <w:jc w:val="center"/>
              <w:rPr>
                <w:rFonts w:ascii="Times New Roman" w:hAnsi="Times New Roman" w:eastAsiaTheme="minorEastAsia"/>
              </w:rPr>
            </w:pPr>
          </w:p>
        </w:tc>
        <w:tc>
          <w:tcPr>
            <w:tcW w:w="1418"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其他垃圾</w:t>
            </w:r>
          </w:p>
        </w:tc>
        <w:tc>
          <w:tcPr>
            <w:tcW w:w="1289"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1262" w:type="dxa"/>
            <w:vAlign w:val="center"/>
          </w:tcPr>
          <w:p>
            <w:pPr>
              <w:adjustRightInd w:val="0"/>
              <w:snapToGrid w:val="0"/>
              <w:jc w:val="center"/>
              <w:rPr>
                <w:rFonts w:ascii="Times New Roman" w:hAnsi="Times New Roman" w:eastAsiaTheme="minorEastAsia"/>
              </w:rPr>
            </w:pPr>
          </w:p>
        </w:tc>
        <w:tc>
          <w:tcPr>
            <w:tcW w:w="1276" w:type="dxa"/>
            <w:vAlign w:val="center"/>
          </w:tcPr>
          <w:p>
            <w:pPr>
              <w:adjustRightInd w:val="0"/>
              <w:snapToGrid w:val="0"/>
              <w:jc w:val="center"/>
              <w:rPr>
                <w:rFonts w:ascii="Times New Roman" w:hAnsi="Times New Roman" w:eastAsiaTheme="minorEastAsia"/>
              </w:rPr>
            </w:pPr>
          </w:p>
        </w:tc>
        <w:tc>
          <w:tcPr>
            <w:tcW w:w="1998" w:type="dxa"/>
            <w:vMerge w:val="continue"/>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828" w:type="dxa"/>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船舶与码头桥桩碰撞</w:t>
            </w:r>
          </w:p>
        </w:tc>
        <w:tc>
          <w:tcPr>
            <w:tcW w:w="1418"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船舶溢油</w:t>
            </w:r>
          </w:p>
        </w:tc>
        <w:tc>
          <w:tcPr>
            <w:tcW w:w="1289" w:type="dxa"/>
            <w:vAlign w:val="center"/>
          </w:tcPr>
          <w:p>
            <w:pPr>
              <w:adjustRightInd w:val="0"/>
              <w:snapToGrid w:val="0"/>
              <w:jc w:val="center"/>
              <w:rPr>
                <w:rFonts w:ascii="Times New Roman" w:hAnsi="Times New Roman" w:eastAsiaTheme="minorEastAsia"/>
              </w:rPr>
            </w:pPr>
          </w:p>
        </w:tc>
        <w:tc>
          <w:tcPr>
            <w:tcW w:w="1262" w:type="dxa"/>
            <w:vAlign w:val="center"/>
          </w:tcPr>
          <w:p>
            <w:pPr>
              <w:adjustRightInd w:val="0"/>
              <w:snapToGrid w:val="0"/>
              <w:jc w:val="center"/>
              <w:rPr>
                <w:rFonts w:ascii="Times New Roman" w:hAnsi="Times New Roman" w:eastAsiaTheme="minorEastAsia"/>
              </w:rPr>
            </w:pPr>
          </w:p>
        </w:tc>
        <w:tc>
          <w:tcPr>
            <w:tcW w:w="1276"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1998" w:type="dxa"/>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环境空气</w:t>
            </w:r>
          </w:p>
          <w:p>
            <w:pPr>
              <w:adjustRightInd w:val="0"/>
              <w:snapToGrid w:val="0"/>
              <w:jc w:val="center"/>
              <w:rPr>
                <w:rFonts w:ascii="Times New Roman" w:hAnsi="Times New Roman" w:eastAsiaTheme="minorEastAsia"/>
              </w:rPr>
            </w:pPr>
            <w:r>
              <w:rPr>
                <w:rFonts w:ascii="Times New Roman" w:hAnsi="Times New Roman" w:eastAsiaTheme="minorEastAsia"/>
              </w:rPr>
              <w:t>地表水</w:t>
            </w:r>
          </w:p>
          <w:p>
            <w:pPr>
              <w:adjustRightInd w:val="0"/>
              <w:snapToGrid w:val="0"/>
              <w:jc w:val="center"/>
              <w:rPr>
                <w:rFonts w:ascii="Times New Roman" w:hAnsi="Times New Roman" w:eastAsiaTheme="minorEastAsia"/>
              </w:rPr>
            </w:pPr>
            <w:r>
              <w:rPr>
                <w:rFonts w:ascii="Times New Roman" w:hAnsi="Times New Roman" w:eastAsiaTheme="minorEastAsia"/>
              </w:rPr>
              <w:t>水生生态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828" w:type="dxa"/>
            <w:vMerge w:val="continue"/>
            <w:vAlign w:val="center"/>
          </w:tcPr>
          <w:p>
            <w:pPr>
              <w:adjustRightInd w:val="0"/>
              <w:snapToGrid w:val="0"/>
              <w:jc w:val="center"/>
              <w:rPr>
                <w:rFonts w:ascii="Times New Roman" w:hAnsi="Times New Roman" w:eastAsiaTheme="minorEastAsia"/>
              </w:rPr>
            </w:pPr>
          </w:p>
        </w:tc>
        <w:tc>
          <w:tcPr>
            <w:tcW w:w="1418"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火灾</w:t>
            </w:r>
          </w:p>
        </w:tc>
        <w:tc>
          <w:tcPr>
            <w:tcW w:w="1289" w:type="dxa"/>
            <w:vAlign w:val="center"/>
          </w:tcPr>
          <w:p>
            <w:pPr>
              <w:adjustRightInd w:val="0"/>
              <w:snapToGrid w:val="0"/>
              <w:jc w:val="center"/>
              <w:rPr>
                <w:rFonts w:ascii="Times New Roman" w:hAnsi="Times New Roman" w:eastAsiaTheme="minorEastAsia"/>
              </w:rPr>
            </w:pPr>
          </w:p>
        </w:tc>
        <w:tc>
          <w:tcPr>
            <w:tcW w:w="1262" w:type="dxa"/>
            <w:vAlign w:val="center"/>
          </w:tcPr>
          <w:p>
            <w:pPr>
              <w:adjustRightInd w:val="0"/>
              <w:snapToGrid w:val="0"/>
              <w:jc w:val="center"/>
              <w:rPr>
                <w:rFonts w:ascii="Times New Roman" w:hAnsi="Times New Roman" w:eastAsiaTheme="minorEastAsia"/>
              </w:rPr>
            </w:pPr>
          </w:p>
        </w:tc>
        <w:tc>
          <w:tcPr>
            <w:tcW w:w="1276"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1998" w:type="dxa"/>
            <w:vMerge w:val="continue"/>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828" w:type="dxa"/>
            <w:vMerge w:val="continue"/>
            <w:vAlign w:val="center"/>
          </w:tcPr>
          <w:p>
            <w:pPr>
              <w:adjustRightInd w:val="0"/>
              <w:snapToGrid w:val="0"/>
              <w:jc w:val="center"/>
              <w:rPr>
                <w:rFonts w:ascii="Times New Roman" w:hAnsi="Times New Roman" w:eastAsiaTheme="minorEastAsia"/>
              </w:rPr>
            </w:pPr>
          </w:p>
        </w:tc>
        <w:tc>
          <w:tcPr>
            <w:tcW w:w="1418"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爆炸</w:t>
            </w:r>
          </w:p>
        </w:tc>
        <w:tc>
          <w:tcPr>
            <w:tcW w:w="1289" w:type="dxa"/>
            <w:vAlign w:val="center"/>
          </w:tcPr>
          <w:p>
            <w:pPr>
              <w:adjustRightInd w:val="0"/>
              <w:snapToGrid w:val="0"/>
              <w:jc w:val="center"/>
              <w:rPr>
                <w:rFonts w:ascii="Times New Roman" w:hAnsi="Times New Roman" w:eastAsiaTheme="minorEastAsia"/>
              </w:rPr>
            </w:pPr>
          </w:p>
        </w:tc>
        <w:tc>
          <w:tcPr>
            <w:tcW w:w="1262" w:type="dxa"/>
            <w:vAlign w:val="center"/>
          </w:tcPr>
          <w:p>
            <w:pPr>
              <w:adjustRightInd w:val="0"/>
              <w:snapToGrid w:val="0"/>
              <w:jc w:val="center"/>
              <w:rPr>
                <w:rFonts w:ascii="Times New Roman" w:hAnsi="Times New Roman" w:eastAsiaTheme="minorEastAsia"/>
              </w:rPr>
            </w:pPr>
          </w:p>
        </w:tc>
        <w:tc>
          <w:tcPr>
            <w:tcW w:w="1276" w:type="dxa"/>
            <w:vAlign w:val="center"/>
          </w:tcPr>
          <w:p>
            <w:pPr>
              <w:adjustRightInd w:val="0"/>
              <w:snapToGrid w:val="0"/>
              <w:jc w:val="center"/>
              <w:rPr>
                <w:rFonts w:ascii="Times New Roman" w:hAnsi="Times New Roman" w:eastAsiaTheme="minorEastAsia"/>
              </w:rPr>
            </w:pPr>
          </w:p>
        </w:tc>
        <w:tc>
          <w:tcPr>
            <w:tcW w:w="1998" w:type="dxa"/>
            <w:vMerge w:val="continue"/>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828" w:type="dxa"/>
            <w:vMerge w:val="continue"/>
            <w:vAlign w:val="center"/>
          </w:tcPr>
          <w:p>
            <w:pPr>
              <w:adjustRightInd w:val="0"/>
              <w:snapToGrid w:val="0"/>
              <w:jc w:val="center"/>
              <w:rPr>
                <w:rFonts w:ascii="Times New Roman" w:hAnsi="Times New Roman" w:eastAsiaTheme="minorEastAsia"/>
              </w:rPr>
            </w:pPr>
          </w:p>
        </w:tc>
        <w:tc>
          <w:tcPr>
            <w:tcW w:w="1418"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生活污水</w:t>
            </w:r>
          </w:p>
        </w:tc>
        <w:tc>
          <w:tcPr>
            <w:tcW w:w="1289"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1262" w:type="dxa"/>
            <w:vAlign w:val="center"/>
          </w:tcPr>
          <w:p>
            <w:pPr>
              <w:adjustRightInd w:val="0"/>
              <w:snapToGrid w:val="0"/>
              <w:jc w:val="center"/>
              <w:rPr>
                <w:rFonts w:ascii="Times New Roman" w:hAnsi="Times New Roman" w:eastAsiaTheme="minorEastAsia"/>
              </w:rPr>
            </w:pPr>
          </w:p>
        </w:tc>
        <w:tc>
          <w:tcPr>
            <w:tcW w:w="1276" w:type="dxa"/>
            <w:vAlign w:val="center"/>
          </w:tcPr>
          <w:p>
            <w:pPr>
              <w:adjustRightInd w:val="0"/>
              <w:snapToGrid w:val="0"/>
              <w:jc w:val="center"/>
              <w:rPr>
                <w:rFonts w:ascii="Times New Roman" w:hAnsi="Times New Roman" w:eastAsiaTheme="minorEastAsia"/>
              </w:rPr>
            </w:pPr>
          </w:p>
        </w:tc>
        <w:tc>
          <w:tcPr>
            <w:tcW w:w="1998" w:type="dxa"/>
            <w:vMerge w:val="continue"/>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828" w:type="dxa"/>
            <w:vMerge w:val="continue"/>
            <w:vAlign w:val="center"/>
          </w:tcPr>
          <w:p>
            <w:pPr>
              <w:adjustRightInd w:val="0"/>
              <w:snapToGrid w:val="0"/>
              <w:jc w:val="center"/>
              <w:rPr>
                <w:rFonts w:ascii="Times New Roman" w:hAnsi="Times New Roman" w:eastAsiaTheme="minorEastAsia"/>
              </w:rPr>
            </w:pPr>
          </w:p>
        </w:tc>
        <w:tc>
          <w:tcPr>
            <w:tcW w:w="1418"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悬浮物质</w:t>
            </w:r>
          </w:p>
        </w:tc>
        <w:tc>
          <w:tcPr>
            <w:tcW w:w="1289"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1262" w:type="dxa"/>
            <w:vAlign w:val="center"/>
          </w:tcPr>
          <w:p>
            <w:pPr>
              <w:adjustRightInd w:val="0"/>
              <w:snapToGrid w:val="0"/>
              <w:jc w:val="center"/>
              <w:rPr>
                <w:rFonts w:ascii="Times New Roman" w:hAnsi="Times New Roman" w:eastAsiaTheme="minorEastAsia"/>
              </w:rPr>
            </w:pPr>
          </w:p>
        </w:tc>
        <w:tc>
          <w:tcPr>
            <w:tcW w:w="1276" w:type="dxa"/>
            <w:vAlign w:val="center"/>
          </w:tcPr>
          <w:p>
            <w:pPr>
              <w:adjustRightInd w:val="0"/>
              <w:snapToGrid w:val="0"/>
              <w:jc w:val="center"/>
              <w:rPr>
                <w:rFonts w:ascii="Times New Roman" w:hAnsi="Times New Roman" w:eastAsiaTheme="minorEastAsia"/>
              </w:rPr>
            </w:pPr>
          </w:p>
        </w:tc>
        <w:tc>
          <w:tcPr>
            <w:tcW w:w="1998" w:type="dxa"/>
            <w:vMerge w:val="continue"/>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828" w:type="dxa"/>
            <w:vMerge w:val="continue"/>
            <w:vAlign w:val="center"/>
          </w:tcPr>
          <w:p>
            <w:pPr>
              <w:adjustRightInd w:val="0"/>
              <w:snapToGrid w:val="0"/>
              <w:jc w:val="center"/>
              <w:rPr>
                <w:rFonts w:ascii="Times New Roman" w:hAnsi="Times New Roman" w:eastAsiaTheme="minorEastAsia"/>
              </w:rPr>
            </w:pPr>
          </w:p>
        </w:tc>
        <w:tc>
          <w:tcPr>
            <w:tcW w:w="1418"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其他垃圾</w:t>
            </w:r>
          </w:p>
        </w:tc>
        <w:tc>
          <w:tcPr>
            <w:tcW w:w="1289"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1262" w:type="dxa"/>
            <w:vAlign w:val="center"/>
          </w:tcPr>
          <w:p>
            <w:pPr>
              <w:adjustRightInd w:val="0"/>
              <w:snapToGrid w:val="0"/>
              <w:jc w:val="center"/>
              <w:rPr>
                <w:rFonts w:ascii="Times New Roman" w:hAnsi="Times New Roman" w:eastAsiaTheme="minorEastAsia"/>
              </w:rPr>
            </w:pPr>
          </w:p>
        </w:tc>
        <w:tc>
          <w:tcPr>
            <w:tcW w:w="1276" w:type="dxa"/>
            <w:vAlign w:val="center"/>
          </w:tcPr>
          <w:p>
            <w:pPr>
              <w:adjustRightInd w:val="0"/>
              <w:snapToGrid w:val="0"/>
              <w:jc w:val="center"/>
              <w:rPr>
                <w:rFonts w:ascii="Times New Roman" w:hAnsi="Times New Roman" w:eastAsiaTheme="minorEastAsia"/>
              </w:rPr>
            </w:pPr>
          </w:p>
        </w:tc>
        <w:tc>
          <w:tcPr>
            <w:tcW w:w="1998" w:type="dxa"/>
            <w:vMerge w:val="continue"/>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828"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污水处理设施故障</w:t>
            </w:r>
          </w:p>
        </w:tc>
        <w:tc>
          <w:tcPr>
            <w:tcW w:w="1418"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污水超标排放</w:t>
            </w:r>
          </w:p>
        </w:tc>
        <w:tc>
          <w:tcPr>
            <w:tcW w:w="1289" w:type="dxa"/>
            <w:vAlign w:val="center"/>
          </w:tcPr>
          <w:p>
            <w:pPr>
              <w:adjustRightInd w:val="0"/>
              <w:snapToGrid w:val="0"/>
              <w:jc w:val="center"/>
              <w:rPr>
                <w:rFonts w:ascii="Times New Roman" w:hAnsi="Times New Roman" w:eastAsiaTheme="minorEastAsia"/>
              </w:rPr>
            </w:pPr>
          </w:p>
        </w:tc>
        <w:tc>
          <w:tcPr>
            <w:tcW w:w="1262"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1276" w:type="dxa"/>
            <w:vAlign w:val="center"/>
          </w:tcPr>
          <w:p>
            <w:pPr>
              <w:adjustRightInd w:val="0"/>
              <w:snapToGrid w:val="0"/>
              <w:jc w:val="center"/>
              <w:rPr>
                <w:rFonts w:ascii="Times New Roman" w:hAnsi="Times New Roman" w:eastAsiaTheme="minorEastAsia"/>
              </w:rPr>
            </w:pPr>
          </w:p>
        </w:tc>
        <w:tc>
          <w:tcPr>
            <w:tcW w:w="1998"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地表水水生生态</w:t>
            </w:r>
          </w:p>
        </w:tc>
      </w:tr>
    </w:tbl>
    <w:p>
      <w:pPr>
        <w:adjustRightInd w:val="0"/>
        <w:snapToGrid w:val="0"/>
        <w:spacing w:line="360" w:lineRule="auto"/>
        <w:rPr>
          <w:rFonts w:ascii="Times New Roman" w:hAnsi="Times New Roman" w:eastAsiaTheme="minorEastAsia"/>
          <w:color w:val="000000" w:themeColor="text1"/>
          <w:sz w:val="24"/>
          <w:szCs w:val="24"/>
          <w14:textFill>
            <w14:solidFill>
              <w14:schemeClr w14:val="tx1"/>
            </w14:solidFill>
          </w14:textFill>
        </w:rPr>
      </w:pPr>
    </w:p>
    <w:p>
      <w:pPr>
        <w:pStyle w:val="5"/>
        <w:rPr>
          <w:rFonts w:eastAsiaTheme="minorEastAsia"/>
        </w:rPr>
      </w:pPr>
      <w:r>
        <w:rPr>
          <w:rFonts w:eastAsiaTheme="minorEastAsia"/>
        </w:rPr>
        <w:t>环境风险潜势初判及环境风险评价工作等级分析</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1、环境风险潜势划分</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根据建设项目涉及的物质和工艺系统的危险性及其所在地的环境敏感程度，结合事故情形下环境影响途径，对建设项目潜在环境危害程度进行概化分析，建设项目环境风险潜势划分表见表6.7-3。</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表6.7-3  建设项目环境风险潜势划分表</w:t>
      </w:r>
    </w:p>
    <w:tbl>
      <w:tblPr>
        <w:tblStyle w:val="71"/>
        <w:tblW w:w="910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162"/>
        <w:gridCol w:w="1734"/>
        <w:gridCol w:w="1734"/>
        <w:gridCol w:w="1733"/>
        <w:gridCol w:w="173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2162" w:type="dxa"/>
            <w:vMerge w:val="restar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环境敏感程度（E）</w:t>
            </w:r>
          </w:p>
        </w:tc>
        <w:tc>
          <w:tcPr>
            <w:tcW w:w="6938" w:type="dxa"/>
            <w:gridSpan w:val="4"/>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危险物质及工艺系统危险性（P）</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2162" w:type="dxa"/>
            <w:vMerge w:val="continue"/>
            <w:vAlign w:val="center"/>
          </w:tcPr>
          <w:p>
            <w:pPr>
              <w:adjustRightInd w:val="0"/>
              <w:snapToGrid w:val="0"/>
              <w:jc w:val="center"/>
              <w:rPr>
                <w:rFonts w:ascii="Times New Roman" w:hAnsi="Times New Roman" w:eastAsiaTheme="minorEastAsia"/>
                <w:b/>
              </w:rPr>
            </w:pPr>
          </w:p>
        </w:tc>
        <w:tc>
          <w:tcPr>
            <w:tcW w:w="1734" w:type="dxa"/>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极高危害（P1）</w:t>
            </w:r>
          </w:p>
        </w:tc>
        <w:tc>
          <w:tcPr>
            <w:tcW w:w="1734" w:type="dxa"/>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高度危害（P2）</w:t>
            </w:r>
          </w:p>
        </w:tc>
        <w:tc>
          <w:tcPr>
            <w:tcW w:w="1733" w:type="dxa"/>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中度危害（P3）</w:t>
            </w:r>
          </w:p>
        </w:tc>
        <w:tc>
          <w:tcPr>
            <w:tcW w:w="1737" w:type="dxa"/>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轻度危害（P4）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62"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环境高度敏感区（E1）</w:t>
            </w:r>
          </w:p>
        </w:tc>
        <w:tc>
          <w:tcPr>
            <w:tcW w:w="1734"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IV</w:t>
            </w:r>
            <w:r>
              <w:rPr>
                <w:rFonts w:ascii="Times New Roman" w:hAnsi="Times New Roman" w:eastAsiaTheme="minorEastAsia"/>
                <w:vertAlign w:val="superscript"/>
              </w:rPr>
              <w:t>+</w:t>
            </w:r>
          </w:p>
        </w:tc>
        <w:tc>
          <w:tcPr>
            <w:tcW w:w="1734"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IV</w:t>
            </w:r>
          </w:p>
        </w:tc>
        <w:tc>
          <w:tcPr>
            <w:tcW w:w="1733"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III</w:t>
            </w:r>
          </w:p>
        </w:tc>
        <w:tc>
          <w:tcPr>
            <w:tcW w:w="1737"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III</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62"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环境中度敏感区（E2）</w:t>
            </w:r>
          </w:p>
        </w:tc>
        <w:tc>
          <w:tcPr>
            <w:tcW w:w="1734"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IV</w:t>
            </w:r>
          </w:p>
        </w:tc>
        <w:tc>
          <w:tcPr>
            <w:tcW w:w="1734"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III</w:t>
            </w:r>
          </w:p>
        </w:tc>
        <w:tc>
          <w:tcPr>
            <w:tcW w:w="1733"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III</w:t>
            </w:r>
          </w:p>
        </w:tc>
        <w:tc>
          <w:tcPr>
            <w:tcW w:w="1737"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II</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62"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环境低度敏感区（E3）</w:t>
            </w:r>
          </w:p>
        </w:tc>
        <w:tc>
          <w:tcPr>
            <w:tcW w:w="1734"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III</w:t>
            </w:r>
          </w:p>
        </w:tc>
        <w:tc>
          <w:tcPr>
            <w:tcW w:w="1734"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III</w:t>
            </w:r>
          </w:p>
        </w:tc>
        <w:tc>
          <w:tcPr>
            <w:tcW w:w="1733"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II</w:t>
            </w:r>
          </w:p>
        </w:tc>
        <w:tc>
          <w:tcPr>
            <w:tcW w:w="1737"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I</w:t>
            </w:r>
          </w:p>
        </w:tc>
      </w:tr>
    </w:tbl>
    <w:p>
      <w:pPr>
        <w:tabs>
          <w:tab w:val="left" w:pos="7288"/>
        </w:tabs>
        <w:rPr>
          <w:rFonts w:ascii="Times New Roman" w:hAnsi="Times New Roman" w:eastAsiaTheme="minorEastAsia"/>
        </w:rPr>
      </w:pPr>
      <w:r>
        <w:rPr>
          <w:rFonts w:ascii="Times New Roman" w:hAnsi="Times New Roman" w:eastAsiaTheme="minorEastAsia"/>
        </w:rPr>
        <w:t>注：IV</w:t>
      </w:r>
      <w:r>
        <w:rPr>
          <w:rFonts w:ascii="Times New Roman" w:hAnsi="Times New Roman" w:eastAsiaTheme="minorEastAsia"/>
          <w:vertAlign w:val="superscript"/>
        </w:rPr>
        <w:t>+</w:t>
      </w:r>
      <w:r>
        <w:rPr>
          <w:rFonts w:ascii="Times New Roman" w:hAnsi="Times New Roman" w:eastAsiaTheme="minorEastAsia"/>
        </w:rPr>
        <w:t>为极高环境风险。</w:t>
      </w:r>
    </w:p>
    <w:p>
      <w:pPr>
        <w:tabs>
          <w:tab w:val="left" w:pos="7288"/>
        </w:tabs>
        <w:rPr>
          <w:rFonts w:ascii="Times New Roman" w:hAnsi="Times New Roman" w:eastAsiaTheme="minorEastAsia"/>
        </w:rPr>
      </w:pP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2、P的分级确定</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计算所涉及的每种危险物质在厂界内的最大存在总量与其在《建设项目环境风险评价技术导则》（HJ169-2018）附录B中对应临界量的比值Q。当只涉及一种危险物质时，计算该物质的总量与其临界量比值，即为Q；当存在多种危险物质时，则按下式计算物质总量与其临界量比值（Q）：</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Q=q</w:t>
      </w:r>
      <w:r>
        <w:rPr>
          <w:rFonts w:ascii="Times New Roman" w:hAnsi="Times New Roman" w:eastAsiaTheme="minorEastAsia"/>
          <w:sz w:val="24"/>
          <w:szCs w:val="24"/>
          <w:vertAlign w:val="subscript"/>
        </w:rPr>
        <w:t>1</w:t>
      </w:r>
      <w:r>
        <w:rPr>
          <w:rFonts w:ascii="Times New Roman" w:hAnsi="Times New Roman" w:eastAsiaTheme="minorEastAsia"/>
          <w:sz w:val="24"/>
          <w:szCs w:val="24"/>
        </w:rPr>
        <w:t>/Q</w:t>
      </w:r>
      <w:r>
        <w:rPr>
          <w:rFonts w:ascii="Times New Roman" w:hAnsi="Times New Roman" w:eastAsiaTheme="minorEastAsia"/>
          <w:sz w:val="24"/>
          <w:szCs w:val="24"/>
          <w:vertAlign w:val="subscript"/>
        </w:rPr>
        <w:t>1</w:t>
      </w:r>
      <w:r>
        <w:rPr>
          <w:rFonts w:ascii="Times New Roman" w:hAnsi="Times New Roman" w:eastAsiaTheme="minorEastAsia"/>
          <w:sz w:val="24"/>
          <w:szCs w:val="24"/>
        </w:rPr>
        <w:t>+q</w:t>
      </w:r>
      <w:r>
        <w:rPr>
          <w:rFonts w:ascii="Times New Roman" w:hAnsi="Times New Roman" w:eastAsiaTheme="minorEastAsia"/>
          <w:sz w:val="24"/>
          <w:szCs w:val="24"/>
          <w:vertAlign w:val="subscript"/>
        </w:rPr>
        <w:t>2</w:t>
      </w:r>
      <w:r>
        <w:rPr>
          <w:rFonts w:ascii="Times New Roman" w:hAnsi="Times New Roman" w:eastAsiaTheme="minorEastAsia"/>
          <w:sz w:val="24"/>
          <w:szCs w:val="24"/>
        </w:rPr>
        <w:t>/Q</w:t>
      </w:r>
      <w:r>
        <w:rPr>
          <w:rFonts w:ascii="Times New Roman" w:hAnsi="Times New Roman" w:eastAsiaTheme="minorEastAsia"/>
          <w:sz w:val="24"/>
          <w:szCs w:val="24"/>
          <w:vertAlign w:val="subscript"/>
        </w:rPr>
        <w:t>2</w:t>
      </w:r>
      <w:r>
        <w:rPr>
          <w:rFonts w:ascii="Times New Roman" w:hAnsi="Times New Roman" w:eastAsiaTheme="minorEastAsia"/>
          <w:sz w:val="24"/>
          <w:szCs w:val="24"/>
        </w:rPr>
        <w:t>+……+q</w:t>
      </w:r>
      <w:r>
        <w:rPr>
          <w:rFonts w:ascii="Times New Roman" w:hAnsi="Times New Roman" w:eastAsiaTheme="minorEastAsia"/>
          <w:sz w:val="24"/>
          <w:szCs w:val="24"/>
          <w:vertAlign w:val="subscript"/>
        </w:rPr>
        <w:t>n</w:t>
      </w:r>
      <w:r>
        <w:rPr>
          <w:rFonts w:ascii="Times New Roman" w:hAnsi="Times New Roman" w:eastAsiaTheme="minorEastAsia"/>
          <w:sz w:val="24"/>
          <w:szCs w:val="24"/>
        </w:rPr>
        <w:t>/Q</w:t>
      </w:r>
      <w:r>
        <w:rPr>
          <w:rFonts w:ascii="Times New Roman" w:hAnsi="Times New Roman" w:eastAsiaTheme="minorEastAsia"/>
          <w:sz w:val="24"/>
          <w:szCs w:val="24"/>
          <w:vertAlign w:val="subscript"/>
        </w:rPr>
        <w:t>n</w:t>
      </w:r>
      <w:r>
        <w:rPr>
          <w:rFonts w:ascii="Times New Roman" w:hAnsi="Times New Roman" w:eastAsiaTheme="minorEastAsia"/>
          <w:sz w:val="24"/>
          <w:szCs w:val="24"/>
        </w:rPr>
        <w:t>式中：q</w:t>
      </w:r>
      <w:r>
        <w:rPr>
          <w:rFonts w:ascii="Times New Roman" w:hAnsi="Times New Roman" w:eastAsiaTheme="minorEastAsia"/>
          <w:sz w:val="24"/>
          <w:szCs w:val="24"/>
          <w:vertAlign w:val="subscript"/>
        </w:rPr>
        <w:t>1</w:t>
      </w:r>
      <w:r>
        <w:rPr>
          <w:rFonts w:ascii="Times New Roman" w:hAnsi="Times New Roman" w:eastAsiaTheme="minorEastAsia"/>
          <w:sz w:val="24"/>
          <w:szCs w:val="24"/>
        </w:rPr>
        <w:t>，q</w:t>
      </w:r>
      <w:r>
        <w:rPr>
          <w:rFonts w:ascii="Times New Roman" w:hAnsi="Times New Roman" w:eastAsiaTheme="minorEastAsia"/>
          <w:sz w:val="24"/>
          <w:szCs w:val="24"/>
          <w:vertAlign w:val="subscript"/>
        </w:rPr>
        <w:t>2</w:t>
      </w:r>
      <w:r>
        <w:rPr>
          <w:rFonts w:ascii="Times New Roman" w:hAnsi="Times New Roman" w:eastAsiaTheme="minorEastAsia"/>
          <w:sz w:val="24"/>
          <w:szCs w:val="24"/>
        </w:rPr>
        <w:t>，…，q</w:t>
      </w:r>
      <w:r>
        <w:rPr>
          <w:rFonts w:ascii="Times New Roman" w:hAnsi="Times New Roman" w:eastAsiaTheme="minorEastAsia"/>
          <w:sz w:val="24"/>
          <w:szCs w:val="24"/>
          <w:vertAlign w:val="subscript"/>
        </w:rPr>
        <w:t>n</w:t>
      </w:r>
      <w:r>
        <w:rPr>
          <w:rFonts w:ascii="Times New Roman" w:hAnsi="Times New Roman" w:eastAsiaTheme="minorEastAsia"/>
          <w:sz w:val="24"/>
          <w:szCs w:val="24"/>
        </w:rPr>
        <w:t>—每种危险物质的最大存在总量，t；Q</w:t>
      </w:r>
      <w:r>
        <w:rPr>
          <w:rFonts w:ascii="Times New Roman" w:hAnsi="Times New Roman" w:eastAsiaTheme="minorEastAsia"/>
          <w:sz w:val="24"/>
          <w:szCs w:val="24"/>
          <w:vertAlign w:val="subscript"/>
        </w:rPr>
        <w:t>1</w:t>
      </w:r>
      <w:r>
        <w:rPr>
          <w:rFonts w:ascii="Times New Roman" w:hAnsi="Times New Roman" w:eastAsiaTheme="minorEastAsia"/>
          <w:sz w:val="24"/>
          <w:szCs w:val="24"/>
        </w:rPr>
        <w:t>，Q</w:t>
      </w:r>
      <w:r>
        <w:rPr>
          <w:rFonts w:ascii="Times New Roman" w:hAnsi="Times New Roman" w:eastAsiaTheme="minorEastAsia"/>
          <w:sz w:val="24"/>
          <w:szCs w:val="24"/>
          <w:vertAlign w:val="subscript"/>
        </w:rPr>
        <w:t>2</w:t>
      </w:r>
      <w:r>
        <w:rPr>
          <w:rFonts w:ascii="Times New Roman" w:hAnsi="Times New Roman" w:eastAsiaTheme="minorEastAsia"/>
          <w:sz w:val="24"/>
          <w:szCs w:val="24"/>
        </w:rPr>
        <w:t>，…，Q</w:t>
      </w:r>
      <w:r>
        <w:rPr>
          <w:rFonts w:ascii="Times New Roman" w:hAnsi="Times New Roman" w:eastAsiaTheme="minorEastAsia"/>
          <w:sz w:val="24"/>
          <w:szCs w:val="24"/>
          <w:vertAlign w:val="subscript"/>
        </w:rPr>
        <w:t>n</w:t>
      </w:r>
      <w:r>
        <w:rPr>
          <w:rFonts w:ascii="Times New Roman" w:hAnsi="Times New Roman" w:eastAsiaTheme="minorEastAsia"/>
          <w:sz w:val="24"/>
          <w:szCs w:val="24"/>
        </w:rPr>
        <w:t>—每种危险物质的临界量，t。</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当Q＜1时，该项目环境风险潜势为I。当Q≥1时，将Q值划分为：</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1≤Q＜10；</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sz w:val="24"/>
          <w:szCs w:val="24"/>
        </w:rPr>
        <w:t xml:space="preserve"> 10≤Q＜100；</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⑶</w:t>
      </w:r>
      <w:r>
        <w:rPr>
          <w:rFonts w:ascii="Times New Roman" w:hAnsi="Times New Roman" w:eastAsiaTheme="minorEastAsia"/>
          <w:sz w:val="24"/>
          <w:szCs w:val="24"/>
        </w:rPr>
        <w:t xml:space="preserve"> Q≥100。</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根据《建设项目环境风险评价技术导则》和GB18218-2018《危险化学品重大危险源辨识》（HJ169-2018），长期或临时生产、加工、搬运、使用或储存危险物质，且危险物质的数量等于或超过临界量的单元均为重大危险源。</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项目运营货种为煤炭，本项目运输物品中无有毒、有害物质，也无可燃、易燃物质。经过危险物质识别和生产过程分析，结合《危险化学品重大危险源辨识》（GB18218-2018）和《危险货物品名表》（GB12268-2012），本风险分析以柴油为例作为本项目的主要重大危险源辨识相关物质。结合《水运工程环境保护设计规范》（JTS149-2018）中船舶吨位估算，柴油最大储存量为10吨。</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表6.7-4  本项目主要危险性物质一览表</w:t>
      </w:r>
    </w:p>
    <w:tbl>
      <w:tblPr>
        <w:tblStyle w:val="71"/>
        <w:tblW w:w="910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640"/>
        <w:gridCol w:w="1836"/>
        <w:gridCol w:w="1643"/>
        <w:gridCol w:w="2999"/>
        <w:gridCol w:w="98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1640" w:type="dxa"/>
            <w:tcBorders>
              <w:top w:val="single" w:color="000000" w:sz="12" w:space="0"/>
              <w:bottom w:val="single" w:color="000000" w:sz="4" w:space="0"/>
              <w:right w:val="single" w:color="000000" w:sz="4" w:space="0"/>
            </w:tcBorders>
            <w:tcMar>
              <w:left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名称</w:t>
            </w:r>
          </w:p>
        </w:tc>
        <w:tc>
          <w:tcPr>
            <w:tcW w:w="1836" w:type="dxa"/>
            <w:tcBorders>
              <w:top w:val="single" w:color="000000" w:sz="12" w:space="0"/>
              <w:left w:val="single" w:color="000000" w:sz="4" w:space="0"/>
              <w:bottom w:val="single" w:color="000000" w:sz="4" w:space="0"/>
              <w:right w:val="single" w:color="000000" w:sz="4" w:space="0"/>
            </w:tcBorders>
            <w:tcMar>
              <w:left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危险化学物质类别</w:t>
            </w:r>
          </w:p>
        </w:tc>
        <w:tc>
          <w:tcPr>
            <w:tcW w:w="1643" w:type="dxa"/>
            <w:tcBorders>
              <w:top w:val="single" w:color="000000" w:sz="12" w:space="0"/>
              <w:left w:val="single" w:color="000000" w:sz="4" w:space="0"/>
              <w:bottom w:val="single" w:color="000000" w:sz="4" w:space="0"/>
              <w:right w:val="single" w:color="000000" w:sz="4" w:space="0"/>
            </w:tcBorders>
            <w:tcMar>
              <w:left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最大存储量（t）</w:t>
            </w:r>
          </w:p>
        </w:tc>
        <w:tc>
          <w:tcPr>
            <w:tcW w:w="2999" w:type="dxa"/>
            <w:tcBorders>
              <w:top w:val="single" w:color="000000" w:sz="12" w:space="0"/>
              <w:left w:val="single" w:color="000000" w:sz="4" w:space="0"/>
              <w:bottom w:val="single" w:color="000000" w:sz="4" w:space="0"/>
              <w:right w:val="single" w:color="000000" w:sz="4" w:space="0"/>
            </w:tcBorders>
            <w:tcMar>
              <w:left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HJ169-2018规定的临界值（t）</w:t>
            </w:r>
          </w:p>
        </w:tc>
        <w:tc>
          <w:tcPr>
            <w:tcW w:w="982" w:type="dxa"/>
            <w:tcBorders>
              <w:top w:val="single" w:color="000000" w:sz="12" w:space="0"/>
              <w:left w:val="single" w:color="000000" w:sz="4" w:space="0"/>
              <w:bottom w:val="single" w:color="000000" w:sz="4" w:space="0"/>
            </w:tcBorders>
            <w:tcMar>
              <w:left w:w="0" w:type="dxa"/>
              <w:right w:w="0" w:type="dxa"/>
            </w:tcMar>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Q</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640" w:type="dxa"/>
            <w:tcBorders>
              <w:top w:val="single" w:color="000000" w:sz="4" w:space="0"/>
              <w:bottom w:val="single" w:color="000000" w:sz="4" w:space="0"/>
              <w:right w:val="single" w:color="000000" w:sz="4" w:space="0"/>
            </w:tcBorders>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柴油</w:t>
            </w:r>
          </w:p>
        </w:tc>
        <w:tc>
          <w:tcPr>
            <w:tcW w:w="1836"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易燃</w:t>
            </w:r>
          </w:p>
        </w:tc>
        <w:tc>
          <w:tcPr>
            <w:tcW w:w="1643"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10</w:t>
            </w:r>
          </w:p>
        </w:tc>
        <w:tc>
          <w:tcPr>
            <w:tcW w:w="2999"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200</w:t>
            </w:r>
          </w:p>
        </w:tc>
        <w:tc>
          <w:tcPr>
            <w:tcW w:w="982" w:type="dxa"/>
            <w:tcBorders>
              <w:top w:val="single" w:color="000000" w:sz="4" w:space="0"/>
              <w:left w:val="single" w:color="000000" w:sz="4" w:space="0"/>
              <w:bottom w:val="single" w:color="000000" w:sz="4" w:space="0"/>
            </w:tcBorders>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0.05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118" w:type="dxa"/>
            <w:gridSpan w:val="4"/>
            <w:tcBorders>
              <w:top w:val="single" w:color="000000" w:sz="4" w:space="0"/>
              <w:bottom w:val="single" w:color="000000" w:sz="12" w:space="0"/>
              <w:right w:val="single" w:color="000000" w:sz="4" w:space="0"/>
            </w:tcBorders>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合计</w:t>
            </w:r>
          </w:p>
        </w:tc>
        <w:tc>
          <w:tcPr>
            <w:tcW w:w="982" w:type="dxa"/>
            <w:tcBorders>
              <w:top w:val="single" w:color="000000" w:sz="4" w:space="0"/>
              <w:left w:val="single" w:color="000000" w:sz="4" w:space="0"/>
              <w:bottom w:val="single" w:color="000000" w:sz="12" w:space="0"/>
            </w:tcBorders>
            <w:tcMar>
              <w:left w:w="0" w:type="dxa"/>
              <w:right w:w="0" w:type="dxa"/>
            </w:tcMar>
            <w:vAlign w:val="center"/>
          </w:tcPr>
          <w:p>
            <w:pPr>
              <w:adjustRightInd w:val="0"/>
              <w:snapToGrid w:val="0"/>
              <w:jc w:val="center"/>
              <w:rPr>
                <w:rFonts w:ascii="Times New Roman" w:hAnsi="Times New Roman" w:eastAsiaTheme="minorEastAsia"/>
              </w:rPr>
            </w:pPr>
            <w:r>
              <w:rPr>
                <w:rFonts w:ascii="Times New Roman" w:hAnsi="Times New Roman" w:eastAsiaTheme="minorEastAsia"/>
              </w:rPr>
              <w:t>0.05</w:t>
            </w:r>
          </w:p>
        </w:tc>
      </w:tr>
    </w:tbl>
    <w:p>
      <w:pPr>
        <w:adjustRightInd w:val="0"/>
        <w:snapToGrid w:val="0"/>
        <w:spacing w:line="360" w:lineRule="auto"/>
        <w:rPr>
          <w:rFonts w:ascii="Times New Roman" w:hAnsi="Times New Roman" w:eastAsiaTheme="minorEastAsia"/>
          <w:sz w:val="24"/>
          <w:szCs w:val="24"/>
        </w:rPr>
      </w:pP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3、环境风险潜势判断</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项目Q值小于1，根据HJ169-2018《建设项目环境风险评价技术导则》，Q小于1时，项目环境风险潜势为</w:t>
      </w:r>
      <w:r>
        <w:rPr>
          <w:rFonts w:hint="eastAsia" w:ascii="宋体" w:hAnsi="宋体" w:cs="宋体"/>
          <w:sz w:val="24"/>
          <w:szCs w:val="24"/>
        </w:rPr>
        <w:t>Ⅰ</w:t>
      </w:r>
      <w:r>
        <w:rPr>
          <w:rFonts w:ascii="Times New Roman" w:hAnsi="Times New Roman" w:eastAsiaTheme="minorEastAsia"/>
          <w:sz w:val="24"/>
          <w:szCs w:val="24"/>
        </w:rPr>
        <w:t>，环境风险评价工作分级规定（表6.7-5），确定环境风险评价工作等级为简单分析。</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表6.7-5  环境风险评价工作等级判定一览表</w:t>
      </w:r>
    </w:p>
    <w:tbl>
      <w:tblPr>
        <w:tblStyle w:val="71"/>
        <w:tblW w:w="910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827"/>
        <w:gridCol w:w="1817"/>
        <w:gridCol w:w="1817"/>
        <w:gridCol w:w="1822"/>
        <w:gridCol w:w="181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1827" w:type="dxa"/>
            <w:vAlign w:val="center"/>
          </w:tcPr>
          <w:p>
            <w:pPr>
              <w:jc w:val="center"/>
              <w:rPr>
                <w:rFonts w:ascii="Times New Roman" w:hAnsi="Times New Roman" w:eastAsiaTheme="minorEastAsia"/>
                <w:b/>
              </w:rPr>
            </w:pPr>
            <w:r>
              <w:rPr>
                <w:rFonts w:ascii="Times New Roman" w:hAnsi="Times New Roman" w:eastAsiaTheme="minorEastAsia"/>
                <w:b/>
              </w:rPr>
              <w:t>环境风险潜势</w:t>
            </w:r>
          </w:p>
        </w:tc>
        <w:tc>
          <w:tcPr>
            <w:tcW w:w="1817" w:type="dxa"/>
            <w:vAlign w:val="center"/>
          </w:tcPr>
          <w:p>
            <w:pPr>
              <w:jc w:val="center"/>
              <w:rPr>
                <w:rFonts w:ascii="Times New Roman" w:hAnsi="Times New Roman" w:eastAsiaTheme="minorEastAsia"/>
                <w:b/>
              </w:rPr>
            </w:pPr>
            <w:r>
              <w:rPr>
                <w:rFonts w:hint="eastAsia" w:ascii="宋体" w:hAnsi="宋体" w:cs="宋体"/>
                <w:b/>
              </w:rPr>
              <w:t>Ⅳ</w:t>
            </w:r>
            <w:r>
              <w:rPr>
                <w:rFonts w:ascii="Times New Roman" w:hAnsi="Times New Roman" w:eastAsiaTheme="minorEastAsia"/>
                <w:b/>
              </w:rPr>
              <w:t>、</w:t>
            </w:r>
            <w:r>
              <w:rPr>
                <w:rFonts w:hint="eastAsia" w:ascii="宋体" w:hAnsi="宋体" w:cs="宋体"/>
                <w:b/>
              </w:rPr>
              <w:t>Ⅳ</w:t>
            </w:r>
            <w:r>
              <w:rPr>
                <w:rFonts w:ascii="Times New Roman" w:hAnsi="Times New Roman" w:eastAsiaTheme="minorEastAsia"/>
                <w:b/>
                <w:vertAlign w:val="superscript"/>
              </w:rPr>
              <w:t>+</w:t>
            </w:r>
          </w:p>
        </w:tc>
        <w:tc>
          <w:tcPr>
            <w:tcW w:w="1817" w:type="dxa"/>
            <w:vAlign w:val="center"/>
          </w:tcPr>
          <w:p>
            <w:pPr>
              <w:jc w:val="center"/>
              <w:rPr>
                <w:rFonts w:ascii="Times New Roman" w:hAnsi="Times New Roman" w:eastAsiaTheme="minorEastAsia"/>
                <w:b/>
              </w:rPr>
            </w:pPr>
            <w:r>
              <w:rPr>
                <w:rFonts w:hint="eastAsia" w:ascii="宋体" w:hAnsi="宋体" w:cs="宋体"/>
                <w:b/>
              </w:rPr>
              <w:t>Ⅲ</w:t>
            </w:r>
          </w:p>
        </w:tc>
        <w:tc>
          <w:tcPr>
            <w:tcW w:w="1822" w:type="dxa"/>
            <w:vAlign w:val="center"/>
          </w:tcPr>
          <w:p>
            <w:pPr>
              <w:jc w:val="center"/>
              <w:rPr>
                <w:rFonts w:ascii="Times New Roman" w:hAnsi="Times New Roman" w:eastAsiaTheme="minorEastAsia"/>
                <w:b/>
              </w:rPr>
            </w:pPr>
            <w:r>
              <w:rPr>
                <w:rFonts w:hint="eastAsia" w:ascii="宋体" w:hAnsi="宋体" w:cs="宋体"/>
                <w:b/>
              </w:rPr>
              <w:t>Ⅱ</w:t>
            </w:r>
          </w:p>
        </w:tc>
        <w:tc>
          <w:tcPr>
            <w:tcW w:w="1817" w:type="dxa"/>
            <w:vAlign w:val="center"/>
          </w:tcPr>
          <w:p>
            <w:pPr>
              <w:jc w:val="center"/>
              <w:rPr>
                <w:rFonts w:ascii="Times New Roman" w:hAnsi="Times New Roman" w:eastAsiaTheme="minorEastAsia"/>
                <w:b/>
              </w:rPr>
            </w:pPr>
            <w:r>
              <w:rPr>
                <w:rFonts w:hint="eastAsia" w:ascii="宋体" w:hAnsi="宋体" w:cs="宋体"/>
                <w:b/>
              </w:rPr>
              <w:t>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1827" w:type="dxa"/>
            <w:vAlign w:val="center"/>
          </w:tcPr>
          <w:p>
            <w:pPr>
              <w:jc w:val="center"/>
              <w:rPr>
                <w:rFonts w:ascii="Times New Roman" w:hAnsi="Times New Roman" w:eastAsiaTheme="minorEastAsia"/>
              </w:rPr>
            </w:pPr>
            <w:r>
              <w:rPr>
                <w:rFonts w:ascii="Times New Roman" w:hAnsi="Times New Roman" w:eastAsiaTheme="minorEastAsia"/>
              </w:rPr>
              <w:t>评价工作等级</w:t>
            </w:r>
          </w:p>
        </w:tc>
        <w:tc>
          <w:tcPr>
            <w:tcW w:w="1817" w:type="dxa"/>
            <w:vAlign w:val="center"/>
          </w:tcPr>
          <w:p>
            <w:pPr>
              <w:jc w:val="center"/>
              <w:rPr>
                <w:rFonts w:ascii="Times New Roman" w:hAnsi="Times New Roman" w:eastAsiaTheme="minorEastAsia"/>
              </w:rPr>
            </w:pPr>
            <w:r>
              <w:rPr>
                <w:rFonts w:ascii="Times New Roman" w:hAnsi="Times New Roman" w:eastAsiaTheme="minorEastAsia"/>
              </w:rPr>
              <w:t>一</w:t>
            </w:r>
          </w:p>
        </w:tc>
        <w:tc>
          <w:tcPr>
            <w:tcW w:w="1817" w:type="dxa"/>
            <w:vAlign w:val="center"/>
          </w:tcPr>
          <w:p>
            <w:pPr>
              <w:jc w:val="center"/>
              <w:rPr>
                <w:rFonts w:ascii="Times New Roman" w:hAnsi="Times New Roman" w:eastAsiaTheme="minorEastAsia"/>
              </w:rPr>
            </w:pPr>
            <w:r>
              <w:rPr>
                <w:rFonts w:ascii="Times New Roman" w:hAnsi="Times New Roman" w:eastAsiaTheme="minorEastAsia"/>
              </w:rPr>
              <w:t>二</w:t>
            </w:r>
          </w:p>
        </w:tc>
        <w:tc>
          <w:tcPr>
            <w:tcW w:w="1822" w:type="dxa"/>
            <w:vAlign w:val="center"/>
          </w:tcPr>
          <w:p>
            <w:pPr>
              <w:jc w:val="center"/>
              <w:rPr>
                <w:rFonts w:ascii="Times New Roman" w:hAnsi="Times New Roman" w:eastAsiaTheme="minorEastAsia"/>
              </w:rPr>
            </w:pPr>
            <w:r>
              <w:rPr>
                <w:rFonts w:ascii="Times New Roman" w:hAnsi="Times New Roman" w:eastAsiaTheme="minorEastAsia"/>
              </w:rPr>
              <w:t>三</w:t>
            </w:r>
          </w:p>
        </w:tc>
        <w:tc>
          <w:tcPr>
            <w:tcW w:w="1817" w:type="dxa"/>
            <w:shd w:val="clear" w:color="auto" w:fill="D8D8D8" w:themeFill="background1" w:themeFillShade="D9"/>
            <w:vAlign w:val="center"/>
          </w:tcPr>
          <w:p>
            <w:pPr>
              <w:jc w:val="center"/>
              <w:rPr>
                <w:rFonts w:ascii="Times New Roman" w:hAnsi="Times New Roman" w:eastAsiaTheme="minorEastAsia"/>
              </w:rPr>
            </w:pPr>
            <w:r>
              <w:rPr>
                <w:rFonts w:ascii="Times New Roman" w:hAnsi="Times New Roman" w:eastAsiaTheme="minorEastAsia"/>
              </w:rPr>
              <w:t>简单分析</w:t>
            </w:r>
          </w:p>
        </w:tc>
      </w:tr>
    </w:tbl>
    <w:p>
      <w:pPr>
        <w:adjustRightInd w:val="0"/>
        <w:snapToGrid w:val="0"/>
        <w:spacing w:line="360" w:lineRule="auto"/>
        <w:rPr>
          <w:rFonts w:ascii="Times New Roman" w:hAnsi="Times New Roman" w:eastAsiaTheme="minorEastAsia"/>
          <w:sz w:val="24"/>
          <w:szCs w:val="24"/>
        </w:rPr>
      </w:pPr>
    </w:p>
    <w:p>
      <w:pPr>
        <w:pStyle w:val="4"/>
        <w:rPr>
          <w:rFonts w:eastAsiaTheme="minorEastAsia"/>
          <w:color w:val="000000" w:themeColor="text1"/>
          <w14:textFill>
            <w14:solidFill>
              <w14:schemeClr w14:val="tx1"/>
            </w14:solidFill>
          </w14:textFill>
        </w:rPr>
      </w:pPr>
      <w:bookmarkStart w:id="191" w:name="_Toc23429145"/>
      <w:r>
        <w:rPr>
          <w:rFonts w:eastAsiaTheme="minorEastAsia"/>
          <w:color w:val="000000" w:themeColor="text1"/>
          <w14:textFill>
            <w14:solidFill>
              <w14:schemeClr w14:val="tx1"/>
            </w14:solidFill>
          </w14:textFill>
        </w:rPr>
        <w:t>环境敏感目标概况</w:t>
      </w:r>
      <w:bookmarkEnd w:id="191"/>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本项目主要环境敏感目标分布情况详见表2.7-5。</w:t>
      </w:r>
    </w:p>
    <w:p>
      <w:pPr>
        <w:pStyle w:val="4"/>
        <w:rPr>
          <w:rFonts w:eastAsiaTheme="minorEastAsia"/>
          <w:color w:val="000000" w:themeColor="text1"/>
          <w14:textFill>
            <w14:solidFill>
              <w14:schemeClr w14:val="tx1"/>
            </w14:solidFill>
          </w14:textFill>
        </w:rPr>
      </w:pPr>
      <w:bookmarkStart w:id="192" w:name="_Toc23429146"/>
      <w:r>
        <w:rPr>
          <w:rFonts w:eastAsiaTheme="minorEastAsia"/>
          <w:color w:val="000000" w:themeColor="text1"/>
          <w14:textFill>
            <w14:solidFill>
              <w14:schemeClr w14:val="tx1"/>
            </w14:solidFill>
          </w14:textFill>
        </w:rPr>
        <w:t>环境风险识别</w:t>
      </w:r>
      <w:bookmarkEnd w:id="192"/>
    </w:p>
    <w:p>
      <w:pPr>
        <w:pStyle w:val="5"/>
        <w:rPr>
          <w:rFonts w:eastAsiaTheme="minorEastAsia"/>
        </w:rPr>
      </w:pPr>
      <w:r>
        <w:rPr>
          <w:rFonts w:eastAsiaTheme="minorEastAsia"/>
        </w:rPr>
        <w:t>主要危险物质及分布情况</w:t>
      </w:r>
    </w:p>
    <w:p>
      <w:pPr>
        <w:adjustRightInd w:val="0"/>
        <w:snapToGrid w:val="0"/>
        <w:spacing w:line="360" w:lineRule="auto"/>
        <w:ind w:firstLine="482" w:firstLineChars="200"/>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1、物质危险性识别</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sz w:val="24"/>
          <w:szCs w:val="24"/>
        </w:rPr>
        <w:t>本项目运营货种为煤炭，运输物品中无有毒、有害物质，也无可燃、易燃物质。根据《建设项目环境风险评价技术导则》（HJ/T169-2018）附录B，本项目存在危险性的主要物质为柴油。本次评价主要物质的理化性质及其危险、危害特性见表6.7-6。</w:t>
      </w:r>
    </w:p>
    <w:p>
      <w:pPr>
        <w:pStyle w:val="6"/>
        <w:spacing w:line="240" w:lineRule="auto"/>
        <w:ind w:firstLine="0" w:firstLineChars="0"/>
        <w:jc w:val="center"/>
        <w:rPr>
          <w:rFonts w:cs="Times New Roman" w:eastAsiaTheme="minorEastAsia"/>
          <w:b/>
          <w:color w:val="000000" w:themeColor="text1"/>
          <w:szCs w:val="24"/>
          <w14:textFill>
            <w14:solidFill>
              <w14:schemeClr w14:val="tx1"/>
            </w14:solidFill>
          </w14:textFill>
        </w:rPr>
      </w:pPr>
      <w:r>
        <w:rPr>
          <w:rFonts w:cs="Times New Roman" w:eastAsiaTheme="minorEastAsia"/>
          <w:b/>
          <w:color w:val="000000" w:themeColor="text1"/>
          <w:szCs w:val="24"/>
          <w14:textFill>
            <w14:solidFill>
              <w14:schemeClr w14:val="tx1"/>
            </w14:solidFill>
          </w14:textFill>
        </w:rPr>
        <w:t>表6.7-6  柴油的理化性质及危险特性表</w:t>
      </w:r>
    </w:p>
    <w:tbl>
      <w:tblPr>
        <w:tblStyle w:val="7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29"/>
        <w:gridCol w:w="485"/>
        <w:gridCol w:w="466"/>
        <w:gridCol w:w="104"/>
        <w:gridCol w:w="166"/>
        <w:gridCol w:w="662"/>
        <w:gridCol w:w="34"/>
        <w:gridCol w:w="534"/>
        <w:gridCol w:w="393"/>
        <w:gridCol w:w="839"/>
        <w:gridCol w:w="1100"/>
        <w:gridCol w:w="388"/>
        <w:gridCol w:w="569"/>
        <w:gridCol w:w="78"/>
        <w:gridCol w:w="767"/>
        <w:gridCol w:w="302"/>
        <w:gridCol w:w="122"/>
        <w:gridCol w:w="10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restart"/>
            <w:vAlign w:val="center"/>
          </w:tcPr>
          <w:p>
            <w:pPr>
              <w:pStyle w:val="6"/>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标识</w:t>
            </w:r>
          </w:p>
        </w:tc>
        <w:tc>
          <w:tcPr>
            <w:tcW w:w="1221" w:type="dxa"/>
            <w:gridSpan w:val="4"/>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中文名</w:t>
            </w:r>
          </w:p>
        </w:tc>
        <w:tc>
          <w:tcPr>
            <w:tcW w:w="1230" w:type="dxa"/>
            <w:gridSpan w:val="3"/>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柴油</w:t>
            </w:r>
          </w:p>
        </w:tc>
        <w:tc>
          <w:tcPr>
            <w:tcW w:w="1232" w:type="dxa"/>
            <w:gridSpan w:val="2"/>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英文名</w:t>
            </w:r>
          </w:p>
        </w:tc>
        <w:tc>
          <w:tcPr>
            <w:tcW w:w="1488" w:type="dxa"/>
            <w:gridSpan w:val="2"/>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Diesel oil；Diesel fuel</w:t>
            </w:r>
          </w:p>
        </w:tc>
        <w:tc>
          <w:tcPr>
            <w:tcW w:w="1414" w:type="dxa"/>
            <w:gridSpan w:val="3"/>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危险货物编号</w:t>
            </w:r>
          </w:p>
        </w:tc>
        <w:tc>
          <w:tcPr>
            <w:tcW w:w="1426" w:type="dxa"/>
            <w:gridSpan w:val="3"/>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continue"/>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p>
        </w:tc>
        <w:tc>
          <w:tcPr>
            <w:tcW w:w="951" w:type="dxa"/>
            <w:gridSpan w:val="2"/>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分子式</w:t>
            </w:r>
          </w:p>
        </w:tc>
        <w:tc>
          <w:tcPr>
            <w:tcW w:w="932" w:type="dxa"/>
            <w:gridSpan w:val="3"/>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p>
        </w:tc>
        <w:tc>
          <w:tcPr>
            <w:tcW w:w="961" w:type="dxa"/>
            <w:gridSpan w:val="3"/>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分子量</w:t>
            </w:r>
          </w:p>
        </w:tc>
        <w:tc>
          <w:tcPr>
            <w:tcW w:w="839" w:type="dxa"/>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p>
        </w:tc>
        <w:tc>
          <w:tcPr>
            <w:tcW w:w="1100" w:type="dxa"/>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UN编号</w:t>
            </w:r>
          </w:p>
        </w:tc>
        <w:tc>
          <w:tcPr>
            <w:tcW w:w="957" w:type="dxa"/>
            <w:gridSpan w:val="2"/>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p>
        </w:tc>
        <w:tc>
          <w:tcPr>
            <w:tcW w:w="1147" w:type="dxa"/>
            <w:gridSpan w:val="3"/>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CAS编号</w:t>
            </w:r>
          </w:p>
        </w:tc>
        <w:tc>
          <w:tcPr>
            <w:tcW w:w="1124" w:type="dxa"/>
            <w:gridSpan w:val="2"/>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68334-30-5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continue"/>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p>
        </w:tc>
        <w:tc>
          <w:tcPr>
            <w:tcW w:w="951" w:type="dxa"/>
            <w:gridSpan w:val="2"/>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危险类别</w:t>
            </w:r>
          </w:p>
        </w:tc>
        <w:tc>
          <w:tcPr>
            <w:tcW w:w="7060" w:type="dxa"/>
            <w:gridSpan w:val="15"/>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第3.1类 低闪点易燃液体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restart"/>
            <w:vAlign w:val="center"/>
          </w:tcPr>
          <w:p>
            <w:pPr>
              <w:pStyle w:val="6"/>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理化性质</w:t>
            </w:r>
          </w:p>
        </w:tc>
        <w:tc>
          <w:tcPr>
            <w:tcW w:w="1055" w:type="dxa"/>
            <w:gridSpan w:val="3"/>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性状</w:t>
            </w:r>
          </w:p>
        </w:tc>
        <w:tc>
          <w:tcPr>
            <w:tcW w:w="6956" w:type="dxa"/>
            <w:gridSpan w:val="14"/>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稍有粘性的棕色液体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continue"/>
            <w:vAlign w:val="center"/>
          </w:tcPr>
          <w:p>
            <w:pPr>
              <w:pStyle w:val="6"/>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917" w:type="dxa"/>
            <w:gridSpan w:val="6"/>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熔点（</w:t>
            </w:r>
            <w:r>
              <w:rPr>
                <w:rFonts w:hint="eastAsia" w:ascii="宋体" w:hAnsi="宋体" w:cs="宋体"/>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t>）</w:t>
            </w:r>
          </w:p>
        </w:tc>
        <w:tc>
          <w:tcPr>
            <w:tcW w:w="1766" w:type="dxa"/>
            <w:gridSpan w:val="3"/>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-18</w:t>
            </w:r>
          </w:p>
        </w:tc>
        <w:tc>
          <w:tcPr>
            <w:tcW w:w="2135" w:type="dxa"/>
            <w:gridSpan w:val="4"/>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临界压力（Mpa）</w:t>
            </w:r>
          </w:p>
        </w:tc>
        <w:tc>
          <w:tcPr>
            <w:tcW w:w="2193" w:type="dxa"/>
            <w:gridSpan w:val="4"/>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continue"/>
            <w:vAlign w:val="center"/>
          </w:tcPr>
          <w:p>
            <w:pPr>
              <w:pStyle w:val="6"/>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917" w:type="dxa"/>
            <w:gridSpan w:val="6"/>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沸点（</w:t>
            </w:r>
            <w:r>
              <w:rPr>
                <w:rFonts w:hint="eastAsia" w:ascii="宋体" w:hAnsi="宋体" w:cs="宋体"/>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t>）</w:t>
            </w:r>
          </w:p>
        </w:tc>
        <w:tc>
          <w:tcPr>
            <w:tcW w:w="1766" w:type="dxa"/>
            <w:gridSpan w:val="3"/>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282~338</w:t>
            </w:r>
          </w:p>
        </w:tc>
        <w:tc>
          <w:tcPr>
            <w:tcW w:w="2135" w:type="dxa"/>
            <w:gridSpan w:val="4"/>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相对密度（水=1）</w:t>
            </w:r>
          </w:p>
        </w:tc>
        <w:tc>
          <w:tcPr>
            <w:tcW w:w="2193" w:type="dxa"/>
            <w:gridSpan w:val="4"/>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0.87~0.9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continue"/>
            <w:vAlign w:val="center"/>
          </w:tcPr>
          <w:p>
            <w:pPr>
              <w:pStyle w:val="6"/>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917" w:type="dxa"/>
            <w:gridSpan w:val="6"/>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饱和蒸汽压（kpa）</w:t>
            </w:r>
          </w:p>
        </w:tc>
        <w:tc>
          <w:tcPr>
            <w:tcW w:w="1766" w:type="dxa"/>
            <w:gridSpan w:val="3"/>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无资料</w:t>
            </w:r>
          </w:p>
        </w:tc>
        <w:tc>
          <w:tcPr>
            <w:tcW w:w="2135" w:type="dxa"/>
            <w:gridSpan w:val="4"/>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相对密度（空气=1）</w:t>
            </w:r>
          </w:p>
        </w:tc>
        <w:tc>
          <w:tcPr>
            <w:tcW w:w="2193" w:type="dxa"/>
            <w:gridSpan w:val="4"/>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continue"/>
            <w:vAlign w:val="center"/>
          </w:tcPr>
          <w:p>
            <w:pPr>
              <w:pStyle w:val="6"/>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917" w:type="dxa"/>
            <w:gridSpan w:val="6"/>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临界温度（</w:t>
            </w:r>
            <w:r>
              <w:rPr>
                <w:rFonts w:hint="eastAsia" w:ascii="宋体" w:hAnsi="宋体" w:cs="宋体"/>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t>）</w:t>
            </w:r>
          </w:p>
        </w:tc>
        <w:tc>
          <w:tcPr>
            <w:tcW w:w="1766" w:type="dxa"/>
            <w:gridSpan w:val="3"/>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p>
        </w:tc>
        <w:tc>
          <w:tcPr>
            <w:tcW w:w="2135" w:type="dxa"/>
            <w:gridSpan w:val="4"/>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燃烧热（KJ▪mol</w:t>
            </w:r>
            <w:r>
              <w:rPr>
                <w:rFonts w:cs="Times New Roman"/>
                <w:color w:val="000000" w:themeColor="text1"/>
                <w:sz w:val="21"/>
                <w:szCs w:val="21"/>
                <w:vertAlign w:val="superscript"/>
                <w14:textFill>
                  <w14:solidFill>
                    <w14:schemeClr w14:val="tx1"/>
                  </w14:solidFill>
                </w14:textFill>
              </w:rPr>
              <w:t>-1</w:t>
            </w:r>
            <w:r>
              <w:rPr>
                <w:rFonts w:cs="Times New Roman"/>
                <w:color w:val="000000" w:themeColor="text1"/>
                <w:sz w:val="21"/>
                <w:szCs w:val="21"/>
                <w14:textFill>
                  <w14:solidFill>
                    <w14:schemeClr w14:val="tx1"/>
                  </w14:solidFill>
                </w14:textFill>
              </w:rPr>
              <w:t>）</w:t>
            </w:r>
          </w:p>
        </w:tc>
        <w:tc>
          <w:tcPr>
            <w:tcW w:w="2193" w:type="dxa"/>
            <w:gridSpan w:val="4"/>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continue"/>
            <w:vAlign w:val="center"/>
          </w:tcPr>
          <w:p>
            <w:pPr>
              <w:pStyle w:val="6"/>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3683" w:type="dxa"/>
            <w:gridSpan w:val="9"/>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溶解性</w:t>
            </w:r>
          </w:p>
        </w:tc>
        <w:tc>
          <w:tcPr>
            <w:tcW w:w="4328" w:type="dxa"/>
            <w:gridSpan w:val="8"/>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不溶于水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restart"/>
            <w:vAlign w:val="center"/>
          </w:tcPr>
          <w:p>
            <w:pPr>
              <w:pStyle w:val="6"/>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燃烧爆炸危险性</w:t>
            </w:r>
          </w:p>
        </w:tc>
        <w:tc>
          <w:tcPr>
            <w:tcW w:w="1917" w:type="dxa"/>
            <w:gridSpan w:val="6"/>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燃烧性</w:t>
            </w:r>
          </w:p>
        </w:tc>
        <w:tc>
          <w:tcPr>
            <w:tcW w:w="1766" w:type="dxa"/>
            <w:gridSpan w:val="3"/>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可燃</w:t>
            </w:r>
          </w:p>
        </w:tc>
        <w:tc>
          <w:tcPr>
            <w:tcW w:w="2135" w:type="dxa"/>
            <w:gridSpan w:val="4"/>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闪点（</w:t>
            </w:r>
            <w:r>
              <w:rPr>
                <w:rFonts w:hint="eastAsia" w:ascii="宋体" w:hAnsi="宋体" w:cs="宋体"/>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t>）</w:t>
            </w:r>
          </w:p>
        </w:tc>
        <w:tc>
          <w:tcPr>
            <w:tcW w:w="2193" w:type="dxa"/>
            <w:gridSpan w:val="4"/>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continue"/>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p>
        </w:tc>
        <w:tc>
          <w:tcPr>
            <w:tcW w:w="1917" w:type="dxa"/>
            <w:gridSpan w:val="6"/>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爆炸极限（%）</w:t>
            </w:r>
          </w:p>
        </w:tc>
        <w:tc>
          <w:tcPr>
            <w:tcW w:w="1766" w:type="dxa"/>
            <w:gridSpan w:val="3"/>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0.7~5.0</w:t>
            </w:r>
          </w:p>
        </w:tc>
        <w:tc>
          <w:tcPr>
            <w:tcW w:w="2135" w:type="dxa"/>
            <w:gridSpan w:val="4"/>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最小点火能（MJ）</w:t>
            </w:r>
          </w:p>
        </w:tc>
        <w:tc>
          <w:tcPr>
            <w:tcW w:w="2193" w:type="dxa"/>
            <w:gridSpan w:val="4"/>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continue"/>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p>
        </w:tc>
        <w:tc>
          <w:tcPr>
            <w:tcW w:w="1917" w:type="dxa"/>
            <w:gridSpan w:val="6"/>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引燃温度（</w:t>
            </w:r>
            <w:r>
              <w:rPr>
                <w:rFonts w:hint="eastAsia" w:ascii="宋体" w:hAnsi="宋体" w:cs="宋体"/>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t>）</w:t>
            </w:r>
          </w:p>
        </w:tc>
        <w:tc>
          <w:tcPr>
            <w:tcW w:w="1766" w:type="dxa"/>
            <w:gridSpan w:val="3"/>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p>
        </w:tc>
        <w:tc>
          <w:tcPr>
            <w:tcW w:w="2135" w:type="dxa"/>
            <w:gridSpan w:val="4"/>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最大爆炸压力（Mpa）</w:t>
            </w:r>
          </w:p>
        </w:tc>
        <w:tc>
          <w:tcPr>
            <w:tcW w:w="2193" w:type="dxa"/>
            <w:gridSpan w:val="4"/>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continue"/>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p>
        </w:tc>
        <w:tc>
          <w:tcPr>
            <w:tcW w:w="3683" w:type="dxa"/>
            <w:gridSpan w:val="9"/>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危险特性</w:t>
            </w:r>
          </w:p>
        </w:tc>
        <w:tc>
          <w:tcPr>
            <w:tcW w:w="4328" w:type="dxa"/>
            <w:gridSpan w:val="8"/>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遇明火、高热或与氧化剂接触,有引起燃烧爆炸的危险。若遇高热，容器内压增大，有开裂和爆炸的危险。对环境有危害,对水体和大气可造成污染。本品易燃，具刺激性。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continue"/>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p>
        </w:tc>
        <w:tc>
          <w:tcPr>
            <w:tcW w:w="3683" w:type="dxa"/>
            <w:gridSpan w:val="9"/>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灭火方法</w:t>
            </w:r>
          </w:p>
        </w:tc>
        <w:tc>
          <w:tcPr>
            <w:tcW w:w="4328" w:type="dxa"/>
            <w:gridSpan w:val="8"/>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消防人员须佩戴防毒面具、穿全身消防服，在上风向灭火。尽可能将容器从火场移至空旷处。喷水保持火场容器冷却，直至灭火结束。处在火场中的容器若已变色或从安全泄压装置中产生声音，必须马上撤离。</w:t>
            </w:r>
          </w:p>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灭火剂：雾状水、泡沫、干粉、二氧化碳、砂土。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continue"/>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p>
        </w:tc>
        <w:tc>
          <w:tcPr>
            <w:tcW w:w="1917" w:type="dxa"/>
            <w:gridSpan w:val="6"/>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禁忌物</w:t>
            </w:r>
          </w:p>
        </w:tc>
        <w:tc>
          <w:tcPr>
            <w:tcW w:w="1766" w:type="dxa"/>
            <w:gridSpan w:val="3"/>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氧化剂</w:t>
            </w:r>
          </w:p>
        </w:tc>
        <w:tc>
          <w:tcPr>
            <w:tcW w:w="2135" w:type="dxa"/>
            <w:gridSpan w:val="4"/>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稳定性</w:t>
            </w:r>
          </w:p>
        </w:tc>
        <w:tc>
          <w:tcPr>
            <w:tcW w:w="2193" w:type="dxa"/>
            <w:gridSpan w:val="4"/>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continue"/>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p>
        </w:tc>
        <w:tc>
          <w:tcPr>
            <w:tcW w:w="1917" w:type="dxa"/>
            <w:gridSpan w:val="6"/>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燃烧产物</w:t>
            </w:r>
          </w:p>
        </w:tc>
        <w:tc>
          <w:tcPr>
            <w:tcW w:w="1766" w:type="dxa"/>
            <w:gridSpan w:val="3"/>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一氧化碳、二氧化碳</w:t>
            </w:r>
          </w:p>
        </w:tc>
        <w:tc>
          <w:tcPr>
            <w:tcW w:w="2135" w:type="dxa"/>
            <w:gridSpan w:val="4"/>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聚合危害</w:t>
            </w:r>
          </w:p>
        </w:tc>
        <w:tc>
          <w:tcPr>
            <w:tcW w:w="2193" w:type="dxa"/>
            <w:gridSpan w:val="4"/>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不聚合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restart"/>
            <w:vAlign w:val="center"/>
          </w:tcPr>
          <w:p>
            <w:pPr>
              <w:pStyle w:val="6"/>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毒性及健康危害</w:t>
            </w:r>
          </w:p>
        </w:tc>
        <w:tc>
          <w:tcPr>
            <w:tcW w:w="1917" w:type="dxa"/>
            <w:gridSpan w:val="6"/>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急性毒性</w:t>
            </w:r>
          </w:p>
        </w:tc>
        <w:tc>
          <w:tcPr>
            <w:tcW w:w="1766" w:type="dxa"/>
            <w:gridSpan w:val="3"/>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LD50（mg/kg，小鼠经口）</w:t>
            </w:r>
          </w:p>
        </w:tc>
        <w:tc>
          <w:tcPr>
            <w:tcW w:w="2135" w:type="dxa"/>
            <w:gridSpan w:val="4"/>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无资料</w:t>
            </w:r>
          </w:p>
        </w:tc>
        <w:tc>
          <w:tcPr>
            <w:tcW w:w="1191" w:type="dxa"/>
            <w:gridSpan w:val="3"/>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LD50（mg/kg，小鼠吸入）</w:t>
            </w:r>
          </w:p>
        </w:tc>
        <w:tc>
          <w:tcPr>
            <w:tcW w:w="1002" w:type="dxa"/>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无资料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Merge w:val="continue"/>
            <w:vAlign w:val="center"/>
          </w:tcPr>
          <w:p>
            <w:pPr>
              <w:pStyle w:val="6"/>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485" w:type="dxa"/>
            <w:vAlign w:val="center"/>
          </w:tcPr>
          <w:p>
            <w:pPr>
              <w:pStyle w:val="6"/>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健康危害</w:t>
            </w:r>
          </w:p>
        </w:tc>
        <w:tc>
          <w:tcPr>
            <w:tcW w:w="7526" w:type="dxa"/>
            <w:gridSpan w:val="16"/>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侵入途径:吸如、食入；</w:t>
            </w:r>
          </w:p>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皮肤接触可为主要吸收途径，可致急性肾脏损害。柴油可引起接触性皮炎、油性痤疮。吸入其雾滴或液体呛入可引起吸入性肺炎。能经胎盘进入胎儿血中。柴油废气可引起眼、鼻刺激症状，头晕及头痛。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Align w:val="center"/>
          </w:tcPr>
          <w:p>
            <w:pPr>
              <w:pStyle w:val="6"/>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急救</w:t>
            </w:r>
          </w:p>
        </w:tc>
        <w:tc>
          <w:tcPr>
            <w:tcW w:w="8011" w:type="dxa"/>
            <w:gridSpan w:val="17"/>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皮肤接触：立即脱去被污染的衣着，用大量清水冲洗；</w:t>
            </w:r>
          </w:p>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眼睛接触：立即提起眼睑，用大量流动清水或生理盐水彻底冲洗至少15分钟，就医；</w:t>
            </w:r>
          </w:p>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吸入：迅速脱离现场至空气新鲜处，保持呼吸道通畅，如呼吸困难，给输氧；如呼吸停止，立即进行人工呼吸，就医；</w:t>
            </w:r>
          </w:p>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食入：饮足量温水，催吐，就医。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Align w:val="center"/>
          </w:tcPr>
          <w:p>
            <w:pPr>
              <w:pStyle w:val="6"/>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防护</w:t>
            </w:r>
          </w:p>
        </w:tc>
        <w:tc>
          <w:tcPr>
            <w:tcW w:w="8011" w:type="dxa"/>
            <w:gridSpan w:val="17"/>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工程控制：密闭操作，注意通风；</w:t>
            </w:r>
          </w:p>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呼吸系统防护：空气中浓度超标时，建议佩戴自吸过滤式防毒面具（半面罩）。紧急事态抢救或撤离时，应该佩戴空气呼吸器；</w:t>
            </w:r>
          </w:p>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眼睛防护：戴化学安全防护眼镜；</w:t>
            </w:r>
          </w:p>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身体防护：穿一般作业防护服；</w:t>
            </w:r>
          </w:p>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手防护：戴橡胶耐油手套；</w:t>
            </w:r>
          </w:p>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其他：工作现场严禁吸烟。避免长期反复接触。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Align w:val="center"/>
          </w:tcPr>
          <w:p>
            <w:pPr>
              <w:pStyle w:val="6"/>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泄漏处理</w:t>
            </w:r>
          </w:p>
        </w:tc>
        <w:tc>
          <w:tcPr>
            <w:tcW w:w="8011" w:type="dxa"/>
            <w:gridSpan w:val="17"/>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迅速撤离泄漏污染区人员至安全区，并进行隔离，严格限制出入。切断火源。建议应急处理人员戴自给正压式呼吸器，穿一般作业工作服。尽可能切断泄漏源。防止流入下水道、排洪沟等限制性空间。</w:t>
            </w:r>
          </w:p>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小量泄漏：用活性炭或其它惰性材料吸收。</w:t>
            </w:r>
          </w:p>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大量泄漏：构筑围堤或挖坑收容。用泵转移至槽车或专用收集器内，回收或运至废物处理场所处置。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29" w:type="dxa"/>
            <w:vAlign w:val="center"/>
          </w:tcPr>
          <w:p>
            <w:pPr>
              <w:pStyle w:val="6"/>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储运</w:t>
            </w:r>
          </w:p>
        </w:tc>
        <w:tc>
          <w:tcPr>
            <w:tcW w:w="8011" w:type="dxa"/>
            <w:gridSpan w:val="17"/>
            <w:vAlign w:val="center"/>
          </w:tcPr>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储存于阴凉、通风的库房。远离火种、热源。应与氧化剂、卤素分开存放，切忌混储。采用防爆型照明、通风设施。禁止使用易产生火花的机械设备和工具。储区应备有泄漏应急处理设备和合适的收容材料。</w:t>
            </w:r>
          </w:p>
          <w:p>
            <w:pPr>
              <w:pStyle w:val="6"/>
              <w:spacing w:line="240" w:lineRule="auto"/>
              <w:ind w:firstLine="0" w:firstLineChars="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运输前应先检查包装容器是否完整、密封，运输过程中要确保容器不泄漏、不倒塌、不坠落、不损坏。运输时运输车辆应配备相应品种和数量的消防器材及泄漏应急处理设备。夏季最好早晚运输。运输时所用的槽（罐）车应有接地链，槽内可设孔隔板以减少震荡产生静电。严禁与氧化剂、卤素、食用化学品等混装混运。运输途中应防曝晒、雨淋，防高温。中途停留时应远离火种、热源、高温区。装运该物品的车辆排气管必须配备阻火装置，禁止使用易产生火花的机械设备和工具装卸。运输车船必须彻底清洗、消毒,否则不得装运其它物品。船运时，配装位置应远离卧室、厨房，并与机舱、电源、火源等部位隔离。公路运输时要按规定路线行驶。</w:t>
            </w:r>
          </w:p>
        </w:tc>
      </w:tr>
    </w:tbl>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p>
    <w:p>
      <w:pPr>
        <w:adjustRightInd w:val="0"/>
        <w:snapToGrid w:val="0"/>
        <w:spacing w:line="360" w:lineRule="auto"/>
        <w:ind w:firstLine="482" w:firstLineChars="200"/>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2、生产系统危险性识别</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sz w:val="24"/>
          <w:szCs w:val="24"/>
        </w:rPr>
        <w:t>本项目运营货种为煤炭，液体主要为船舶本身动力所用的燃料油，由于船舶本身出现设施损废，或者发生船舶碰撞，有可能使油类溢出造成污染。</w:t>
      </w:r>
    </w:p>
    <w:p>
      <w:pPr>
        <w:pStyle w:val="5"/>
        <w:rPr>
          <w:rFonts w:eastAsiaTheme="minorEastAsia"/>
        </w:rPr>
      </w:pPr>
      <w:r>
        <w:rPr>
          <w:rFonts w:eastAsiaTheme="minorEastAsia"/>
        </w:rPr>
        <w:t>环境影响途径</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sz w:val="24"/>
          <w:szCs w:val="24"/>
        </w:rPr>
        <w:t>根据项目物质危险性识别和生产系统危险性识别，本项目危险物质在事故情形下对环境的影响途径主要是燃料油发生火灾情形下通过大气对周围环境以及敏感目标产生影响。</w:t>
      </w:r>
    </w:p>
    <w:p>
      <w:pPr>
        <w:pStyle w:val="4"/>
        <w:rPr>
          <w:rFonts w:eastAsiaTheme="minorEastAsia"/>
          <w:color w:val="000000" w:themeColor="text1"/>
          <w14:textFill>
            <w14:solidFill>
              <w14:schemeClr w14:val="tx1"/>
            </w14:solidFill>
          </w14:textFill>
        </w:rPr>
      </w:pPr>
      <w:bookmarkStart w:id="193" w:name="_Toc23429147"/>
      <w:r>
        <w:rPr>
          <w:rFonts w:eastAsiaTheme="minorEastAsia"/>
          <w:color w:val="000000" w:themeColor="text1"/>
          <w14:textFill>
            <w14:solidFill>
              <w14:schemeClr w14:val="tx1"/>
            </w14:solidFill>
          </w14:textFill>
        </w:rPr>
        <w:t>环境风险事故情形分析</w:t>
      </w:r>
      <w:bookmarkEnd w:id="193"/>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sz w:val="24"/>
          <w:szCs w:val="24"/>
        </w:rPr>
        <w:t>本项目涉及的化学品类型主要为油品类，水域风险主要为码头船舶本身出现设施损废，或者发生船舶碰撞发生水域溢油风险。因此，结合项目特点，本次评价重点评价水域溢油风险评价。</w:t>
      </w:r>
    </w:p>
    <w:p>
      <w:pPr>
        <w:pStyle w:val="4"/>
        <w:rPr>
          <w:rFonts w:eastAsiaTheme="minorEastAsia"/>
          <w:color w:val="000000" w:themeColor="text1"/>
          <w14:textFill>
            <w14:solidFill>
              <w14:schemeClr w14:val="tx1"/>
            </w14:solidFill>
          </w14:textFill>
        </w:rPr>
      </w:pPr>
      <w:bookmarkStart w:id="194" w:name="_Toc23429148"/>
      <w:r>
        <w:rPr>
          <w:rFonts w:eastAsiaTheme="minorEastAsia"/>
          <w:color w:val="000000" w:themeColor="text1"/>
          <w14:textFill>
            <w14:solidFill>
              <w14:schemeClr w14:val="tx1"/>
            </w14:solidFill>
          </w14:textFill>
        </w:rPr>
        <w:t>风险识别</w:t>
      </w:r>
      <w:bookmarkEnd w:id="194"/>
    </w:p>
    <w:p>
      <w:pPr>
        <w:pStyle w:val="5"/>
        <w:rPr>
          <w:rFonts w:eastAsiaTheme="minorEastAsia"/>
        </w:rPr>
      </w:pPr>
      <w:r>
        <w:rPr>
          <w:rFonts w:eastAsiaTheme="minorEastAsia"/>
        </w:rPr>
        <w:t>物质危险性识别</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本项目涉及到的主要危险化学品物质危险性及包装类别见表6.7-7。</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表6.7-7  本项目涉及的主要危险化学品危险性类别及包装类别一览表</w:t>
      </w:r>
    </w:p>
    <w:tbl>
      <w:tblPr>
        <w:tblStyle w:val="71"/>
        <w:tblW w:w="91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98"/>
        <w:gridCol w:w="2286"/>
        <w:gridCol w:w="2137"/>
        <w:gridCol w:w="1713"/>
        <w:gridCol w:w="1285"/>
        <w:gridCol w:w="9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8" w:type="dxa"/>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编号</w:t>
            </w:r>
          </w:p>
        </w:tc>
        <w:tc>
          <w:tcPr>
            <w:tcW w:w="2286" w:type="dxa"/>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名称和说明</w:t>
            </w:r>
          </w:p>
        </w:tc>
        <w:tc>
          <w:tcPr>
            <w:tcW w:w="2137" w:type="dxa"/>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类别和项别</w:t>
            </w:r>
          </w:p>
        </w:tc>
        <w:tc>
          <w:tcPr>
            <w:tcW w:w="1713" w:type="dxa"/>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次要危险性</w:t>
            </w:r>
          </w:p>
        </w:tc>
        <w:tc>
          <w:tcPr>
            <w:tcW w:w="1285" w:type="dxa"/>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包装类别</w:t>
            </w:r>
          </w:p>
        </w:tc>
        <w:tc>
          <w:tcPr>
            <w:tcW w:w="981" w:type="dxa"/>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CN号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8"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w:t>
            </w:r>
          </w:p>
        </w:tc>
        <w:tc>
          <w:tcPr>
            <w:tcW w:w="2286"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柴油</w:t>
            </w:r>
          </w:p>
        </w:tc>
        <w:tc>
          <w:tcPr>
            <w:tcW w:w="2137"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3易燃液体</w:t>
            </w:r>
          </w:p>
        </w:tc>
        <w:tc>
          <w:tcPr>
            <w:tcW w:w="1713"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1285" w:type="dxa"/>
            <w:vAlign w:val="center"/>
          </w:tcPr>
          <w:p>
            <w:pPr>
              <w:adjustRightInd w:val="0"/>
              <w:snapToGrid w:val="0"/>
              <w:jc w:val="center"/>
              <w:rPr>
                <w:rFonts w:ascii="Times New Roman" w:hAnsi="Times New Roman" w:eastAsiaTheme="minorEastAsia"/>
              </w:rPr>
            </w:pPr>
            <w:r>
              <w:rPr>
                <w:rFonts w:hint="eastAsia" w:ascii="宋体" w:hAnsi="宋体" w:cs="宋体"/>
              </w:rPr>
              <w:t>Ⅲ</w:t>
            </w:r>
          </w:p>
        </w:tc>
        <w:tc>
          <w:tcPr>
            <w:tcW w:w="981"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r>
    </w:tbl>
    <w:p>
      <w:pPr>
        <w:rPr>
          <w:rFonts w:ascii="Times New Roman" w:hAnsi="Times New Roman" w:eastAsiaTheme="minorEastAsia"/>
        </w:rPr>
      </w:pPr>
      <w:r>
        <w:rPr>
          <w:rFonts w:ascii="Times New Roman" w:hAnsi="Times New Roman" w:eastAsiaTheme="minorEastAsia"/>
        </w:rPr>
        <w:t>注：I类包装：具有高度危险性的物质；II类包装：具有中等危险性的物质；III类包装；具有轻度危险性的物质。</w:t>
      </w:r>
    </w:p>
    <w:p>
      <w:pPr>
        <w:rPr>
          <w:rFonts w:ascii="Times New Roman" w:hAnsi="Times New Roman" w:eastAsiaTheme="minorEastAsia"/>
        </w:rPr>
      </w:pP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sz w:val="24"/>
          <w:szCs w:val="24"/>
        </w:rPr>
        <w:t>对照《建设项目环境风险评价技术导则》（HJ169-2018）附录A表1物质危险性标准和《化学品分类、警示标签和警示性说明安全规范急性毒性》（GB20592-2006），拟建项目化学品不属于以上标准范围内的毒性物质，涉及到的风险物质主要为易燃性物质。</w:t>
      </w:r>
    </w:p>
    <w:p>
      <w:pPr>
        <w:pStyle w:val="5"/>
        <w:rPr>
          <w:rFonts w:eastAsiaTheme="minorEastAsia"/>
        </w:rPr>
      </w:pPr>
      <w:r>
        <w:rPr>
          <w:rFonts w:eastAsiaTheme="minorEastAsia"/>
        </w:rPr>
        <w:t>风险类型识别</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本项目可能产生的主要风险见表6.7-8。</w:t>
      </w:r>
    </w:p>
    <w:p>
      <w:pPr>
        <w:adjustRightInd w:val="0"/>
        <w:snapToGrid w:val="0"/>
        <w:spacing w:line="276" w:lineRule="auto"/>
        <w:jc w:val="center"/>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表6.7-8  本项目风险类型一览表</w:t>
      </w:r>
    </w:p>
    <w:tbl>
      <w:tblPr>
        <w:tblStyle w:val="71"/>
        <w:tblW w:w="910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49"/>
        <w:gridCol w:w="2825"/>
        <w:gridCol w:w="2599"/>
        <w:gridCol w:w="30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649"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序号</w:t>
            </w:r>
          </w:p>
        </w:tc>
        <w:tc>
          <w:tcPr>
            <w:tcW w:w="2825"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危害类型</w:t>
            </w:r>
          </w:p>
        </w:tc>
        <w:tc>
          <w:tcPr>
            <w:tcW w:w="2599"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涉及原材料</w:t>
            </w:r>
          </w:p>
        </w:tc>
        <w:tc>
          <w:tcPr>
            <w:tcW w:w="3027"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数目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49"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w:t>
            </w:r>
          </w:p>
        </w:tc>
        <w:tc>
          <w:tcPr>
            <w:tcW w:w="2825"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火灾、泄漏（含船舶溢油）</w:t>
            </w:r>
          </w:p>
        </w:tc>
        <w:tc>
          <w:tcPr>
            <w:tcW w:w="2599"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柴油等</w:t>
            </w:r>
          </w:p>
        </w:tc>
        <w:tc>
          <w:tcPr>
            <w:tcW w:w="3027"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多种</w:t>
            </w:r>
          </w:p>
        </w:tc>
      </w:tr>
    </w:tbl>
    <w:p>
      <w:pPr>
        <w:adjustRightInd w:val="0"/>
        <w:snapToGrid w:val="0"/>
        <w:spacing w:line="360" w:lineRule="auto"/>
        <w:rPr>
          <w:rFonts w:ascii="Times New Roman" w:hAnsi="Times New Roman" w:eastAsiaTheme="minorEastAsia"/>
          <w:color w:val="000000" w:themeColor="text1"/>
          <w:sz w:val="24"/>
          <w:szCs w:val="24"/>
          <w14:textFill>
            <w14:solidFill>
              <w14:schemeClr w14:val="tx1"/>
            </w14:solidFill>
          </w14:textFill>
        </w:rPr>
      </w:pPr>
      <w:bookmarkStart w:id="195" w:name="_Toc246093544"/>
      <w:bookmarkStart w:id="196" w:name="_Toc283374725"/>
      <w:bookmarkStart w:id="197" w:name="_Toc263851341"/>
      <w:bookmarkStart w:id="198" w:name="_Toc217208125"/>
      <w:bookmarkStart w:id="199" w:name="_Toc247186195"/>
      <w:bookmarkStart w:id="200" w:name="_Toc320800900"/>
      <w:bookmarkStart w:id="201" w:name="_Toc353885898"/>
    </w:p>
    <w:p>
      <w:pPr>
        <w:pStyle w:val="4"/>
        <w:rPr>
          <w:rFonts w:eastAsiaTheme="minorEastAsia"/>
          <w:color w:val="000000" w:themeColor="text1"/>
          <w14:textFill>
            <w14:solidFill>
              <w14:schemeClr w14:val="tx1"/>
            </w14:solidFill>
          </w14:textFill>
        </w:rPr>
      </w:pPr>
      <w:bookmarkStart w:id="202" w:name="_Toc23429149"/>
      <w:r>
        <w:rPr>
          <w:rFonts w:eastAsiaTheme="minorEastAsia"/>
          <w:color w:val="000000" w:themeColor="text1"/>
          <w14:textFill>
            <w14:solidFill>
              <w14:schemeClr w14:val="tx1"/>
            </w14:solidFill>
          </w14:textFill>
        </w:rPr>
        <w:t>事故成因调查分析</w:t>
      </w:r>
      <w:bookmarkEnd w:id="202"/>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物料泄漏事故常常属于一般性的事故，碰船溢油事故原因主要包括：</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违章航行、操作不当；</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sz w:val="24"/>
          <w:szCs w:val="24"/>
        </w:rPr>
        <w:t xml:space="preserve"> 通航环境复杂和航道条件变化；</w:t>
      </w:r>
    </w:p>
    <w:p>
      <w:pPr>
        <w:adjustRightInd w:val="0"/>
        <w:snapToGrid w:val="0"/>
        <w:spacing w:line="360" w:lineRule="auto"/>
        <w:ind w:firstLine="480" w:firstLineChars="200"/>
        <w:rPr>
          <w:rFonts w:ascii="Times New Roman" w:hAnsi="Times New Roman" w:eastAsiaTheme="minorEastAsia"/>
          <w:color w:val="000000" w:themeColor="text1"/>
          <w14:textFill>
            <w14:solidFill>
              <w14:schemeClr w14:val="tx1"/>
            </w14:solidFill>
          </w14:textFill>
        </w:rPr>
      </w:pPr>
      <w:r>
        <w:rPr>
          <w:rFonts w:hint="eastAsia" w:ascii="宋体" w:hAnsi="宋体" w:cs="宋体"/>
          <w:sz w:val="24"/>
          <w:szCs w:val="24"/>
        </w:rPr>
        <w:t>⑶</w:t>
      </w:r>
      <w:r>
        <w:rPr>
          <w:rFonts w:ascii="Times New Roman" w:hAnsi="Times New Roman" w:eastAsiaTheme="minorEastAsia"/>
          <w:sz w:val="24"/>
          <w:szCs w:val="24"/>
        </w:rPr>
        <w:t xml:space="preserve"> 船舶所有人、经营人安全管理不到位，投入不足，船舶技术状况较差船龄较长、船况较差。</w:t>
      </w:r>
    </w:p>
    <w:p>
      <w:pPr>
        <w:pStyle w:val="4"/>
        <w:rPr>
          <w:rFonts w:eastAsiaTheme="minorEastAsia"/>
          <w:color w:val="000000" w:themeColor="text1"/>
          <w14:textFill>
            <w14:solidFill>
              <w14:schemeClr w14:val="tx1"/>
            </w14:solidFill>
          </w14:textFill>
        </w:rPr>
      </w:pPr>
      <w:bookmarkStart w:id="203" w:name="_Toc23429150"/>
      <w:bookmarkStart w:id="204" w:name="_Toc491031785"/>
      <w:r>
        <w:rPr>
          <w:rFonts w:eastAsiaTheme="minorEastAsia"/>
          <w:color w:val="000000" w:themeColor="text1"/>
          <w14:textFill>
            <w14:solidFill>
              <w14:schemeClr w14:val="tx1"/>
            </w14:solidFill>
          </w14:textFill>
        </w:rPr>
        <w:t>风险评价范围</w:t>
      </w:r>
      <w:bookmarkEnd w:id="195"/>
      <w:bookmarkEnd w:id="196"/>
      <w:bookmarkEnd w:id="197"/>
      <w:bookmarkEnd w:id="198"/>
      <w:bookmarkEnd w:id="199"/>
      <w:bookmarkEnd w:id="200"/>
      <w:bookmarkEnd w:id="201"/>
      <w:bookmarkEnd w:id="203"/>
      <w:bookmarkEnd w:id="204"/>
    </w:p>
    <w:p>
      <w:pPr>
        <w:adjustRightInd w:val="0"/>
        <w:snapToGrid w:val="0"/>
        <w:spacing w:line="360" w:lineRule="auto"/>
        <w:ind w:firstLine="480" w:firstLineChars="20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sz w:val="24"/>
          <w:szCs w:val="24"/>
        </w:rPr>
        <w:t>码头溢油风险评价不同于有毒有害和易燃易爆物质的生产、使用、储运等项目的环境风险评价，一旦发生泄漏会对长江水质产生污染，评价范围为码头区至下游最近饮用水水源取水口</w:t>
      </w:r>
      <w:r>
        <w:rPr>
          <w:rFonts w:ascii="Times New Roman" w:hAnsi="Times New Roman" w:eastAsiaTheme="minorEastAsia"/>
          <w:color w:val="000000" w:themeColor="text1"/>
          <w:sz w:val="24"/>
          <w:szCs w:val="24"/>
          <w14:textFill>
            <w14:solidFill>
              <w14:schemeClr w14:val="tx1"/>
            </w14:solidFill>
          </w14:textFill>
        </w:rPr>
        <w:t>。</w:t>
      </w:r>
    </w:p>
    <w:p>
      <w:pPr>
        <w:pStyle w:val="4"/>
        <w:rPr>
          <w:rFonts w:eastAsiaTheme="minorEastAsia"/>
          <w:color w:val="000000" w:themeColor="text1"/>
          <w14:textFill>
            <w14:solidFill>
              <w14:schemeClr w14:val="tx1"/>
            </w14:solidFill>
          </w14:textFill>
        </w:rPr>
      </w:pPr>
      <w:bookmarkStart w:id="205" w:name="_Toc283374728"/>
      <w:bookmarkStart w:id="206" w:name="_Toc320800901"/>
      <w:bookmarkStart w:id="207" w:name="_Toc23429151"/>
      <w:bookmarkStart w:id="208" w:name="_Toc353885899"/>
      <w:bookmarkStart w:id="209" w:name="_Toc491031786"/>
      <w:r>
        <w:rPr>
          <w:rFonts w:eastAsiaTheme="minorEastAsia"/>
          <w:color w:val="000000" w:themeColor="text1"/>
          <w14:textFill>
            <w14:solidFill>
              <w14:schemeClr w14:val="tx1"/>
            </w14:solidFill>
          </w14:textFill>
        </w:rPr>
        <w:t>事故概率及源项</w:t>
      </w:r>
      <w:bookmarkEnd w:id="205"/>
      <w:bookmarkEnd w:id="206"/>
      <w:r>
        <w:rPr>
          <w:rFonts w:eastAsiaTheme="minorEastAsia"/>
          <w:color w:val="000000" w:themeColor="text1"/>
          <w14:textFill>
            <w14:solidFill>
              <w14:schemeClr w14:val="tx1"/>
            </w14:solidFill>
          </w14:textFill>
        </w:rPr>
        <w:t>后果计算</w:t>
      </w:r>
      <w:bookmarkEnd w:id="207"/>
      <w:bookmarkEnd w:id="208"/>
      <w:bookmarkEnd w:id="209"/>
    </w:p>
    <w:p>
      <w:pPr>
        <w:pStyle w:val="5"/>
        <w:rPr>
          <w:rFonts w:eastAsiaTheme="minorEastAsia"/>
        </w:rPr>
      </w:pPr>
      <w:r>
        <w:rPr>
          <w:rFonts w:eastAsiaTheme="minorEastAsia"/>
        </w:rPr>
        <w:t>事故概率</w:t>
      </w:r>
    </w:p>
    <w:p>
      <w:pPr>
        <w:adjustRightInd w:val="0"/>
        <w:snapToGrid w:val="0"/>
        <w:spacing w:line="360" w:lineRule="auto"/>
        <w:ind w:firstLine="482" w:firstLineChars="200"/>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1、我国内河省份（直辖市）船舶事故统计</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据统计，1973~2003年，中国沿海、长江平均每年发生500多起溢油事故，发生溢油量在50t以上的重大船舶污染事故71起（平均每年发生2起），其中，长江平均每年发生船舶污染事故17起。2004年全国各内河省份（直辖市）船舶进出港艘次和各类船舶事故数统计资料见表6.7-9。</w:t>
      </w:r>
    </w:p>
    <w:p>
      <w:pPr>
        <w:adjustRightInd w:val="0"/>
        <w:snapToGrid w:val="0"/>
        <w:spacing w:line="276" w:lineRule="auto"/>
        <w:jc w:val="center"/>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表6.7-9  2004年全国各内河省份（直辖市）船舶进出港艘次、事故数统计</w:t>
      </w:r>
    </w:p>
    <w:tbl>
      <w:tblPr>
        <w:tblStyle w:val="71"/>
        <w:tblW w:w="91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523"/>
        <w:gridCol w:w="1627"/>
        <w:gridCol w:w="1017"/>
        <w:gridCol w:w="861"/>
        <w:gridCol w:w="861"/>
        <w:gridCol w:w="814"/>
        <w:gridCol w:w="861"/>
        <w:gridCol w:w="814"/>
        <w:gridCol w:w="863"/>
        <w:gridCol w:w="8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23" w:type="dxa"/>
            <w:vMerge w:val="restart"/>
            <w:tcBorders>
              <w:top w:val="single" w:color="auto" w:sz="12" w:space="0"/>
              <w:bottom w:val="single" w:color="auto" w:sz="4" w:space="0"/>
              <w:right w:val="single" w:color="auto" w:sz="4" w:space="0"/>
            </w:tcBorders>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序号</w:t>
            </w:r>
          </w:p>
        </w:tc>
        <w:tc>
          <w:tcPr>
            <w:tcW w:w="1627" w:type="dxa"/>
            <w:vMerge w:val="restart"/>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地区</w:t>
            </w:r>
          </w:p>
        </w:tc>
        <w:tc>
          <w:tcPr>
            <w:tcW w:w="1017" w:type="dxa"/>
            <w:vMerge w:val="restart"/>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内河船舶进出港艘次</w:t>
            </w:r>
          </w:p>
        </w:tc>
        <w:tc>
          <w:tcPr>
            <w:tcW w:w="5074" w:type="dxa"/>
            <w:gridSpan w:val="6"/>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统计事故数</w:t>
            </w:r>
          </w:p>
        </w:tc>
        <w:tc>
          <w:tcPr>
            <w:tcW w:w="859" w:type="dxa"/>
            <w:vMerge w:val="restart"/>
            <w:tcBorders>
              <w:top w:val="single" w:color="auto" w:sz="12" w:space="0"/>
              <w:left w:val="single" w:color="auto" w:sz="4" w:space="0"/>
              <w:bottom w:val="single" w:color="auto" w:sz="4" w:space="0"/>
            </w:tcBorders>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经济损失（万元）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23" w:type="dxa"/>
            <w:vMerge w:val="continue"/>
            <w:tcBorders>
              <w:top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p>
        </w:tc>
        <w:tc>
          <w:tcPr>
            <w:tcW w:w="1627"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p>
        </w:tc>
        <w:tc>
          <w:tcPr>
            <w:tcW w:w="1017"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p>
        </w:tc>
        <w:tc>
          <w:tcPr>
            <w:tcW w:w="8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事故总数</w:t>
            </w:r>
          </w:p>
        </w:tc>
        <w:tc>
          <w:tcPr>
            <w:tcW w:w="8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重大事故</w:t>
            </w:r>
          </w:p>
        </w:tc>
        <w:tc>
          <w:tcPr>
            <w:tcW w:w="81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大事故</w:t>
            </w:r>
          </w:p>
        </w:tc>
        <w:tc>
          <w:tcPr>
            <w:tcW w:w="8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一般事故</w:t>
            </w:r>
          </w:p>
        </w:tc>
        <w:tc>
          <w:tcPr>
            <w:tcW w:w="81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沉船</w:t>
            </w:r>
          </w:p>
        </w:tc>
        <w:tc>
          <w:tcPr>
            <w:tcW w:w="86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死亡人数</w:t>
            </w:r>
          </w:p>
        </w:tc>
        <w:tc>
          <w:tcPr>
            <w:tcW w:w="859" w:type="dxa"/>
            <w:vMerge w:val="continue"/>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23" w:type="dxa"/>
            <w:tcBorders>
              <w:top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w:t>
            </w:r>
          </w:p>
        </w:tc>
        <w:tc>
          <w:tcPr>
            <w:tcW w:w="162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长江（湖北、重庆）</w:t>
            </w:r>
          </w:p>
        </w:tc>
        <w:tc>
          <w:tcPr>
            <w:tcW w:w="101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200043</w:t>
            </w:r>
          </w:p>
        </w:tc>
        <w:tc>
          <w:tcPr>
            <w:tcW w:w="8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72</w:t>
            </w:r>
          </w:p>
        </w:tc>
        <w:tc>
          <w:tcPr>
            <w:tcW w:w="8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w:t>
            </w:r>
          </w:p>
        </w:tc>
        <w:tc>
          <w:tcPr>
            <w:tcW w:w="81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41</w:t>
            </w:r>
          </w:p>
        </w:tc>
        <w:tc>
          <w:tcPr>
            <w:tcW w:w="8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23</w:t>
            </w:r>
          </w:p>
        </w:tc>
        <w:tc>
          <w:tcPr>
            <w:tcW w:w="81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49</w:t>
            </w:r>
          </w:p>
        </w:tc>
        <w:tc>
          <w:tcPr>
            <w:tcW w:w="86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69</w:t>
            </w:r>
          </w:p>
        </w:tc>
        <w:tc>
          <w:tcPr>
            <w:tcW w:w="859"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2534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23" w:type="dxa"/>
            <w:tcBorders>
              <w:top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w:t>
            </w:r>
          </w:p>
        </w:tc>
        <w:tc>
          <w:tcPr>
            <w:tcW w:w="162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江苏</w:t>
            </w:r>
          </w:p>
        </w:tc>
        <w:tc>
          <w:tcPr>
            <w:tcW w:w="101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551601</w:t>
            </w:r>
          </w:p>
        </w:tc>
        <w:tc>
          <w:tcPr>
            <w:tcW w:w="8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58</w:t>
            </w:r>
          </w:p>
        </w:tc>
        <w:tc>
          <w:tcPr>
            <w:tcW w:w="8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w:t>
            </w:r>
          </w:p>
        </w:tc>
        <w:tc>
          <w:tcPr>
            <w:tcW w:w="81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40</w:t>
            </w:r>
          </w:p>
        </w:tc>
        <w:tc>
          <w:tcPr>
            <w:tcW w:w="8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12</w:t>
            </w:r>
          </w:p>
        </w:tc>
        <w:tc>
          <w:tcPr>
            <w:tcW w:w="81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49</w:t>
            </w:r>
          </w:p>
        </w:tc>
        <w:tc>
          <w:tcPr>
            <w:tcW w:w="86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51</w:t>
            </w:r>
          </w:p>
        </w:tc>
        <w:tc>
          <w:tcPr>
            <w:tcW w:w="859"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4785.35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523" w:type="dxa"/>
            <w:tcBorders>
              <w:top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3</w:t>
            </w:r>
          </w:p>
        </w:tc>
        <w:tc>
          <w:tcPr>
            <w:tcW w:w="162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上海</w:t>
            </w:r>
          </w:p>
        </w:tc>
        <w:tc>
          <w:tcPr>
            <w:tcW w:w="101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503733</w:t>
            </w:r>
          </w:p>
        </w:tc>
        <w:tc>
          <w:tcPr>
            <w:tcW w:w="8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67</w:t>
            </w:r>
          </w:p>
        </w:tc>
        <w:tc>
          <w:tcPr>
            <w:tcW w:w="8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14</w:t>
            </w:r>
          </w:p>
        </w:tc>
        <w:tc>
          <w:tcPr>
            <w:tcW w:w="81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32</w:t>
            </w:r>
          </w:p>
        </w:tc>
        <w:tc>
          <w:tcPr>
            <w:tcW w:w="8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21</w:t>
            </w:r>
          </w:p>
        </w:tc>
        <w:tc>
          <w:tcPr>
            <w:tcW w:w="81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66</w:t>
            </w:r>
          </w:p>
        </w:tc>
        <w:tc>
          <w:tcPr>
            <w:tcW w:w="86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64</w:t>
            </w:r>
          </w:p>
        </w:tc>
        <w:tc>
          <w:tcPr>
            <w:tcW w:w="859"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10586.9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2150" w:type="dxa"/>
            <w:gridSpan w:val="2"/>
            <w:tcBorders>
              <w:top w:val="single" w:color="auto" w:sz="4" w:space="0"/>
              <w:bottom w:val="single" w:color="auto" w:sz="12"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合计</w:t>
            </w:r>
          </w:p>
        </w:tc>
        <w:tc>
          <w:tcPr>
            <w:tcW w:w="1017"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fldChar w:fldCharType="begin"/>
            </w:r>
            <w:r>
              <w:rPr>
                <w:rFonts w:ascii="Times New Roman" w:hAnsi="Times New Roman" w:eastAsiaTheme="minorEastAsia"/>
                <w:color w:val="000000" w:themeColor="text1"/>
                <w14:textFill>
                  <w14:solidFill>
                    <w14:schemeClr w14:val="tx1"/>
                  </w14:solidFill>
                </w14:textFill>
              </w:rPr>
              <w:instrText xml:space="preserve">=SUM(ABOVE)</w:instrText>
            </w:r>
            <w:r>
              <w:rPr>
                <w:rFonts w:ascii="Times New Roman" w:hAnsi="Times New Roman" w:eastAsiaTheme="minorEastAsia"/>
                <w:color w:val="000000" w:themeColor="text1"/>
                <w14:textFill>
                  <w14:solidFill>
                    <w14:schemeClr w14:val="tx1"/>
                  </w14:solidFill>
                </w14:textFill>
              </w:rPr>
              <w:fldChar w:fldCharType="separate"/>
            </w:r>
            <w:r>
              <w:rPr>
                <w:rFonts w:ascii="Times New Roman" w:hAnsi="Times New Roman" w:eastAsiaTheme="minorEastAsia"/>
                <w:color w:val="000000" w:themeColor="text1"/>
                <w14:textFill>
                  <w14:solidFill>
                    <w14:schemeClr w14:val="tx1"/>
                  </w14:solidFill>
                </w14:textFill>
              </w:rPr>
              <w:t>1255377</w:t>
            </w:r>
            <w:r>
              <w:rPr>
                <w:rFonts w:ascii="Times New Roman" w:hAnsi="Times New Roman" w:eastAsiaTheme="minorEastAsia"/>
                <w:color w:val="000000" w:themeColor="text1"/>
                <w14:textFill>
                  <w14:solidFill>
                    <w14:schemeClr w14:val="tx1"/>
                  </w14:solidFill>
                </w14:textFill>
              </w:rPr>
              <w:fldChar w:fldCharType="end"/>
            </w:r>
          </w:p>
        </w:tc>
        <w:tc>
          <w:tcPr>
            <w:tcW w:w="861"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fldChar w:fldCharType="begin"/>
            </w:r>
            <w:r>
              <w:rPr>
                <w:rFonts w:ascii="Times New Roman" w:hAnsi="Times New Roman" w:eastAsiaTheme="minorEastAsia"/>
                <w:color w:val="000000" w:themeColor="text1"/>
                <w14:textFill>
                  <w14:solidFill>
                    <w14:schemeClr w14:val="tx1"/>
                  </w14:solidFill>
                </w14:textFill>
              </w:rPr>
              <w:instrText xml:space="preserve">=SUM(ABOVE)</w:instrText>
            </w:r>
            <w:r>
              <w:rPr>
                <w:rFonts w:ascii="Times New Roman" w:hAnsi="Times New Roman" w:eastAsiaTheme="minorEastAsia"/>
                <w:color w:val="000000" w:themeColor="text1"/>
                <w14:textFill>
                  <w14:solidFill>
                    <w14:schemeClr w14:val="tx1"/>
                  </w14:solidFill>
                </w14:textFill>
              </w:rPr>
              <w:fldChar w:fldCharType="separate"/>
            </w:r>
            <w:r>
              <w:rPr>
                <w:rFonts w:ascii="Times New Roman" w:hAnsi="Times New Roman" w:eastAsiaTheme="minorEastAsia"/>
                <w:color w:val="000000" w:themeColor="text1"/>
                <w14:textFill>
                  <w14:solidFill>
                    <w14:schemeClr w14:val="tx1"/>
                  </w14:solidFill>
                </w14:textFill>
              </w:rPr>
              <w:t>197</w:t>
            </w:r>
            <w:r>
              <w:rPr>
                <w:rFonts w:ascii="Times New Roman" w:hAnsi="Times New Roman" w:eastAsiaTheme="minorEastAsia"/>
                <w:color w:val="000000" w:themeColor="text1"/>
                <w14:textFill>
                  <w14:solidFill>
                    <w14:schemeClr w14:val="tx1"/>
                  </w14:solidFill>
                </w14:textFill>
              </w:rPr>
              <w:fldChar w:fldCharType="end"/>
            </w:r>
          </w:p>
        </w:tc>
        <w:tc>
          <w:tcPr>
            <w:tcW w:w="861"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fldChar w:fldCharType="begin"/>
            </w:r>
            <w:r>
              <w:rPr>
                <w:rFonts w:ascii="Times New Roman" w:hAnsi="Times New Roman" w:eastAsiaTheme="minorEastAsia"/>
                <w:color w:val="000000" w:themeColor="text1"/>
                <w14:textFill>
                  <w14:solidFill>
                    <w14:schemeClr w14:val="tx1"/>
                  </w14:solidFill>
                </w14:textFill>
              </w:rPr>
              <w:instrText xml:space="preserve">=SUM(ABOVE)</w:instrText>
            </w:r>
            <w:r>
              <w:rPr>
                <w:rFonts w:ascii="Times New Roman" w:hAnsi="Times New Roman" w:eastAsiaTheme="minorEastAsia"/>
                <w:color w:val="000000" w:themeColor="text1"/>
                <w14:textFill>
                  <w14:solidFill>
                    <w14:schemeClr w14:val="tx1"/>
                  </w14:solidFill>
                </w14:textFill>
              </w:rPr>
              <w:fldChar w:fldCharType="separate"/>
            </w:r>
            <w:r>
              <w:rPr>
                <w:rFonts w:ascii="Times New Roman" w:hAnsi="Times New Roman" w:eastAsiaTheme="minorEastAsia"/>
                <w:color w:val="000000" w:themeColor="text1"/>
                <w14:textFill>
                  <w14:solidFill>
                    <w14:schemeClr w14:val="tx1"/>
                  </w14:solidFill>
                </w14:textFill>
              </w:rPr>
              <w:t>28</w:t>
            </w:r>
            <w:r>
              <w:rPr>
                <w:rFonts w:ascii="Times New Roman" w:hAnsi="Times New Roman" w:eastAsiaTheme="minorEastAsia"/>
                <w:color w:val="000000" w:themeColor="text1"/>
                <w14:textFill>
                  <w14:solidFill>
                    <w14:schemeClr w14:val="tx1"/>
                  </w14:solidFill>
                </w14:textFill>
              </w:rPr>
              <w:fldChar w:fldCharType="end"/>
            </w:r>
          </w:p>
        </w:tc>
        <w:tc>
          <w:tcPr>
            <w:tcW w:w="814"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fldChar w:fldCharType="begin"/>
            </w:r>
            <w:r>
              <w:rPr>
                <w:rFonts w:ascii="Times New Roman" w:hAnsi="Times New Roman" w:eastAsiaTheme="minorEastAsia"/>
                <w:color w:val="000000" w:themeColor="text1"/>
                <w14:textFill>
                  <w14:solidFill>
                    <w14:schemeClr w14:val="tx1"/>
                  </w14:solidFill>
                </w14:textFill>
              </w:rPr>
              <w:instrText xml:space="preserve">=SUM(ABOVE)</w:instrText>
            </w:r>
            <w:r>
              <w:rPr>
                <w:rFonts w:ascii="Times New Roman" w:hAnsi="Times New Roman" w:eastAsiaTheme="minorEastAsia"/>
                <w:color w:val="000000" w:themeColor="text1"/>
                <w14:textFill>
                  <w14:solidFill>
                    <w14:schemeClr w14:val="tx1"/>
                  </w14:solidFill>
                </w14:textFill>
              </w:rPr>
              <w:fldChar w:fldCharType="separate"/>
            </w:r>
            <w:r>
              <w:rPr>
                <w:rFonts w:ascii="Times New Roman" w:hAnsi="Times New Roman" w:eastAsiaTheme="minorEastAsia"/>
                <w:color w:val="000000" w:themeColor="text1"/>
                <w14:textFill>
                  <w14:solidFill>
                    <w14:schemeClr w14:val="tx1"/>
                  </w14:solidFill>
                </w14:textFill>
              </w:rPr>
              <w:t>113</w:t>
            </w:r>
            <w:r>
              <w:rPr>
                <w:rFonts w:ascii="Times New Roman" w:hAnsi="Times New Roman" w:eastAsiaTheme="minorEastAsia"/>
                <w:color w:val="000000" w:themeColor="text1"/>
                <w14:textFill>
                  <w14:solidFill>
                    <w14:schemeClr w14:val="tx1"/>
                  </w14:solidFill>
                </w14:textFill>
              </w:rPr>
              <w:fldChar w:fldCharType="end"/>
            </w:r>
          </w:p>
        </w:tc>
        <w:tc>
          <w:tcPr>
            <w:tcW w:w="861"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fldChar w:fldCharType="begin"/>
            </w:r>
            <w:r>
              <w:rPr>
                <w:rFonts w:ascii="Times New Roman" w:hAnsi="Times New Roman" w:eastAsiaTheme="minorEastAsia"/>
                <w:color w:val="000000" w:themeColor="text1"/>
                <w14:textFill>
                  <w14:solidFill>
                    <w14:schemeClr w14:val="tx1"/>
                  </w14:solidFill>
                </w14:textFill>
              </w:rPr>
              <w:instrText xml:space="preserve">=SUM(ABOVE)</w:instrText>
            </w:r>
            <w:r>
              <w:rPr>
                <w:rFonts w:ascii="Times New Roman" w:hAnsi="Times New Roman" w:eastAsiaTheme="minorEastAsia"/>
                <w:color w:val="000000" w:themeColor="text1"/>
                <w14:textFill>
                  <w14:solidFill>
                    <w14:schemeClr w14:val="tx1"/>
                  </w14:solidFill>
                </w14:textFill>
              </w:rPr>
              <w:fldChar w:fldCharType="separate"/>
            </w:r>
            <w:r>
              <w:rPr>
                <w:rFonts w:ascii="Times New Roman" w:hAnsi="Times New Roman" w:eastAsiaTheme="minorEastAsia"/>
                <w:color w:val="000000" w:themeColor="text1"/>
                <w14:textFill>
                  <w14:solidFill>
                    <w14:schemeClr w14:val="tx1"/>
                  </w14:solidFill>
                </w14:textFill>
              </w:rPr>
              <w:t>56</w:t>
            </w:r>
            <w:r>
              <w:rPr>
                <w:rFonts w:ascii="Times New Roman" w:hAnsi="Times New Roman" w:eastAsiaTheme="minorEastAsia"/>
                <w:color w:val="000000" w:themeColor="text1"/>
                <w14:textFill>
                  <w14:solidFill>
                    <w14:schemeClr w14:val="tx1"/>
                  </w14:solidFill>
                </w14:textFill>
              </w:rPr>
              <w:fldChar w:fldCharType="end"/>
            </w:r>
          </w:p>
        </w:tc>
        <w:tc>
          <w:tcPr>
            <w:tcW w:w="814"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fldChar w:fldCharType="begin"/>
            </w:r>
            <w:r>
              <w:rPr>
                <w:rFonts w:ascii="Times New Roman" w:hAnsi="Times New Roman" w:eastAsiaTheme="minorEastAsia"/>
                <w:color w:val="000000" w:themeColor="text1"/>
                <w14:textFill>
                  <w14:solidFill>
                    <w14:schemeClr w14:val="tx1"/>
                  </w14:solidFill>
                </w14:textFill>
              </w:rPr>
              <w:instrText xml:space="preserve">=SUM(ABOVE)</w:instrText>
            </w:r>
            <w:r>
              <w:rPr>
                <w:rFonts w:ascii="Times New Roman" w:hAnsi="Times New Roman" w:eastAsiaTheme="minorEastAsia"/>
                <w:color w:val="000000" w:themeColor="text1"/>
                <w14:textFill>
                  <w14:solidFill>
                    <w14:schemeClr w14:val="tx1"/>
                  </w14:solidFill>
                </w14:textFill>
              </w:rPr>
              <w:fldChar w:fldCharType="separate"/>
            </w:r>
            <w:r>
              <w:rPr>
                <w:rFonts w:ascii="Times New Roman" w:hAnsi="Times New Roman" w:eastAsiaTheme="minorEastAsia"/>
                <w:color w:val="000000" w:themeColor="text1"/>
                <w14:textFill>
                  <w14:solidFill>
                    <w14:schemeClr w14:val="tx1"/>
                  </w14:solidFill>
                </w14:textFill>
              </w:rPr>
              <w:t>164</w:t>
            </w:r>
            <w:r>
              <w:rPr>
                <w:rFonts w:ascii="Times New Roman" w:hAnsi="Times New Roman" w:eastAsiaTheme="minorEastAsia"/>
                <w:color w:val="000000" w:themeColor="text1"/>
                <w14:textFill>
                  <w14:solidFill>
                    <w14:schemeClr w14:val="tx1"/>
                  </w14:solidFill>
                </w14:textFill>
              </w:rPr>
              <w:fldChar w:fldCharType="end"/>
            </w:r>
          </w:p>
        </w:tc>
        <w:tc>
          <w:tcPr>
            <w:tcW w:w="863"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fldChar w:fldCharType="begin"/>
            </w:r>
            <w:r>
              <w:rPr>
                <w:rFonts w:ascii="Times New Roman" w:hAnsi="Times New Roman" w:eastAsiaTheme="minorEastAsia"/>
                <w:color w:val="000000" w:themeColor="text1"/>
                <w14:textFill>
                  <w14:solidFill>
                    <w14:schemeClr w14:val="tx1"/>
                  </w14:solidFill>
                </w14:textFill>
              </w:rPr>
              <w:instrText xml:space="preserve">=SUM(ABOVE)</w:instrText>
            </w:r>
            <w:r>
              <w:rPr>
                <w:rFonts w:ascii="Times New Roman" w:hAnsi="Times New Roman" w:eastAsiaTheme="minorEastAsia"/>
                <w:color w:val="000000" w:themeColor="text1"/>
                <w14:textFill>
                  <w14:solidFill>
                    <w14:schemeClr w14:val="tx1"/>
                  </w14:solidFill>
                </w14:textFill>
              </w:rPr>
              <w:fldChar w:fldCharType="separate"/>
            </w:r>
            <w:r>
              <w:rPr>
                <w:rFonts w:ascii="Times New Roman" w:hAnsi="Times New Roman" w:eastAsiaTheme="minorEastAsia"/>
                <w:color w:val="000000" w:themeColor="text1"/>
                <w14:textFill>
                  <w14:solidFill>
                    <w14:schemeClr w14:val="tx1"/>
                  </w14:solidFill>
                </w14:textFill>
              </w:rPr>
              <w:t>184</w:t>
            </w:r>
            <w:r>
              <w:rPr>
                <w:rFonts w:ascii="Times New Roman" w:hAnsi="Times New Roman" w:eastAsiaTheme="minorEastAsia"/>
                <w:color w:val="000000" w:themeColor="text1"/>
                <w14:textFill>
                  <w14:solidFill>
                    <w14:schemeClr w14:val="tx1"/>
                  </w14:solidFill>
                </w14:textFill>
              </w:rPr>
              <w:fldChar w:fldCharType="end"/>
            </w:r>
          </w:p>
        </w:tc>
        <w:tc>
          <w:tcPr>
            <w:tcW w:w="859" w:type="dxa"/>
            <w:tcBorders>
              <w:top w:val="single" w:color="auto" w:sz="4" w:space="0"/>
              <w:left w:val="single" w:color="auto" w:sz="4" w:space="0"/>
              <w:bottom w:val="single" w:color="auto" w:sz="12" w:space="0"/>
            </w:tcBorders>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fldChar w:fldCharType="begin"/>
            </w:r>
            <w:r>
              <w:rPr>
                <w:rFonts w:ascii="Times New Roman" w:hAnsi="Times New Roman" w:eastAsiaTheme="minorEastAsia"/>
                <w:color w:val="000000" w:themeColor="text1"/>
                <w14:textFill>
                  <w14:solidFill>
                    <w14:schemeClr w14:val="tx1"/>
                  </w14:solidFill>
                </w14:textFill>
              </w:rPr>
              <w:instrText xml:space="preserve">=SUM(ABOVE)</w:instrText>
            </w:r>
            <w:r>
              <w:rPr>
                <w:rFonts w:ascii="Times New Roman" w:hAnsi="Times New Roman" w:eastAsiaTheme="minorEastAsia"/>
                <w:color w:val="000000" w:themeColor="text1"/>
                <w14:textFill>
                  <w14:solidFill>
                    <w14:schemeClr w14:val="tx1"/>
                  </w14:solidFill>
                </w14:textFill>
              </w:rPr>
              <w:fldChar w:fldCharType="separate"/>
            </w:r>
            <w:r>
              <w:rPr>
                <w:rFonts w:ascii="Times New Roman" w:hAnsi="Times New Roman" w:eastAsiaTheme="minorEastAsia"/>
                <w:color w:val="000000" w:themeColor="text1"/>
                <w14:textFill>
                  <w14:solidFill>
                    <w14:schemeClr w14:val="tx1"/>
                  </w14:solidFill>
                </w14:textFill>
              </w:rPr>
              <w:t>17906.25</w:t>
            </w:r>
            <w:r>
              <w:rPr>
                <w:rFonts w:ascii="Times New Roman" w:hAnsi="Times New Roman" w:eastAsiaTheme="minorEastAsia"/>
                <w:color w:val="000000" w:themeColor="text1"/>
                <w14:textFill>
                  <w14:solidFill>
                    <w14:schemeClr w14:val="tx1"/>
                  </w14:solidFill>
                </w14:textFill>
              </w:rPr>
              <w:fldChar w:fldCharType="end"/>
            </w:r>
          </w:p>
        </w:tc>
      </w:tr>
    </w:tbl>
    <w:p>
      <w:pPr>
        <w:adjustRightInd w:val="0"/>
        <w:snapToGrid w:val="0"/>
        <w:spacing w:line="360" w:lineRule="auto"/>
        <w:rPr>
          <w:rFonts w:ascii="Times New Roman" w:hAnsi="Times New Roman" w:eastAsiaTheme="minorEastAsia"/>
          <w:color w:val="000000" w:themeColor="text1"/>
          <w:sz w:val="24"/>
          <w:szCs w:val="24"/>
          <w14:textFill>
            <w14:solidFill>
              <w14:schemeClr w14:val="tx1"/>
            </w14:solidFill>
          </w14:textFill>
        </w:rPr>
      </w:pP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从中可以看出，各地区发生船舶事故的次数与进出港船舶数量呈比较显著的正比关系，长江干流近十年溢油事故及溢油量统计见表6.7-10。</w:t>
      </w:r>
    </w:p>
    <w:p>
      <w:pPr>
        <w:adjustRightInd w:val="0"/>
        <w:snapToGrid w:val="0"/>
        <w:spacing w:line="276" w:lineRule="auto"/>
        <w:jc w:val="center"/>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表6.7-10  长江近十年溢油事故及溢油量统计</w:t>
      </w:r>
    </w:p>
    <w:tbl>
      <w:tblPr>
        <w:tblStyle w:val="71"/>
        <w:tblW w:w="91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81"/>
        <w:gridCol w:w="1168"/>
        <w:gridCol w:w="2089"/>
        <w:gridCol w:w="2115"/>
        <w:gridCol w:w="1170"/>
        <w:gridCol w:w="1003"/>
        <w:gridCol w:w="9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jc w:val="center"/>
        </w:trPr>
        <w:tc>
          <w:tcPr>
            <w:tcW w:w="581" w:type="dxa"/>
            <w:shd w:val="clear" w:color="auto" w:fill="auto"/>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序号</w:t>
            </w:r>
          </w:p>
        </w:tc>
        <w:tc>
          <w:tcPr>
            <w:tcW w:w="1168" w:type="dxa"/>
            <w:shd w:val="clear" w:color="auto" w:fill="auto"/>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溢油时间</w:t>
            </w:r>
          </w:p>
        </w:tc>
        <w:tc>
          <w:tcPr>
            <w:tcW w:w="2089" w:type="dxa"/>
            <w:shd w:val="clear" w:color="auto" w:fill="auto"/>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溢油地点</w:t>
            </w:r>
          </w:p>
        </w:tc>
        <w:tc>
          <w:tcPr>
            <w:tcW w:w="2115" w:type="dxa"/>
            <w:shd w:val="clear" w:color="auto" w:fill="auto"/>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船名或单位</w:t>
            </w:r>
          </w:p>
        </w:tc>
        <w:tc>
          <w:tcPr>
            <w:tcW w:w="1170" w:type="dxa"/>
            <w:shd w:val="clear" w:color="auto" w:fill="auto"/>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溢油原因</w:t>
            </w:r>
          </w:p>
        </w:tc>
        <w:tc>
          <w:tcPr>
            <w:tcW w:w="1003" w:type="dxa"/>
            <w:shd w:val="clear" w:color="auto" w:fill="auto"/>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溢油量(t)</w:t>
            </w:r>
          </w:p>
        </w:tc>
        <w:tc>
          <w:tcPr>
            <w:tcW w:w="974" w:type="dxa"/>
            <w:shd w:val="clear" w:color="auto" w:fill="auto"/>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油种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81"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w:t>
            </w:r>
          </w:p>
        </w:tc>
        <w:tc>
          <w:tcPr>
            <w:tcW w:w="1168"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1995.6.19</w:t>
            </w:r>
          </w:p>
        </w:tc>
        <w:tc>
          <w:tcPr>
            <w:tcW w:w="2089"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万县鼓洞附马</w:t>
            </w:r>
          </w:p>
        </w:tc>
        <w:tc>
          <w:tcPr>
            <w:tcW w:w="2115"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“油库囤船”</w:t>
            </w:r>
          </w:p>
        </w:tc>
        <w:tc>
          <w:tcPr>
            <w:tcW w:w="1170"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操作失误</w:t>
            </w:r>
          </w:p>
        </w:tc>
        <w:tc>
          <w:tcPr>
            <w:tcW w:w="1003"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1028</w:t>
            </w:r>
          </w:p>
        </w:tc>
        <w:tc>
          <w:tcPr>
            <w:tcW w:w="974"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航空煤油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81"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w:t>
            </w:r>
          </w:p>
        </w:tc>
        <w:tc>
          <w:tcPr>
            <w:tcW w:w="1168"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1997.3.28</w:t>
            </w:r>
          </w:p>
        </w:tc>
        <w:tc>
          <w:tcPr>
            <w:tcW w:w="2089"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南京扬子10-2码头</w:t>
            </w:r>
          </w:p>
        </w:tc>
        <w:tc>
          <w:tcPr>
            <w:tcW w:w="2115"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“PUSAN”油轮(韩国)</w:t>
            </w:r>
          </w:p>
        </w:tc>
        <w:tc>
          <w:tcPr>
            <w:tcW w:w="1170"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装油操作失误</w:t>
            </w:r>
          </w:p>
        </w:tc>
        <w:tc>
          <w:tcPr>
            <w:tcW w:w="1003"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w:t>
            </w:r>
          </w:p>
        </w:tc>
        <w:tc>
          <w:tcPr>
            <w:tcW w:w="974"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汽油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81"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3</w:t>
            </w:r>
          </w:p>
        </w:tc>
        <w:tc>
          <w:tcPr>
            <w:tcW w:w="1168"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1997.6.3</w:t>
            </w:r>
          </w:p>
        </w:tc>
        <w:tc>
          <w:tcPr>
            <w:tcW w:w="2089"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南京港栖霞山油轮锚地</w:t>
            </w:r>
          </w:p>
        </w:tc>
        <w:tc>
          <w:tcPr>
            <w:tcW w:w="2115"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“大庆243”油轮</w:t>
            </w:r>
          </w:p>
        </w:tc>
        <w:tc>
          <w:tcPr>
            <w:tcW w:w="1170"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爆炸起火而翻沉</w:t>
            </w:r>
          </w:p>
        </w:tc>
        <w:tc>
          <w:tcPr>
            <w:tcW w:w="1003"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1000</w:t>
            </w:r>
          </w:p>
        </w:tc>
        <w:tc>
          <w:tcPr>
            <w:tcW w:w="974"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原油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81"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w:t>
            </w:r>
          </w:p>
        </w:tc>
        <w:tc>
          <w:tcPr>
            <w:tcW w:w="1168"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1997.6.2</w:t>
            </w:r>
          </w:p>
        </w:tc>
        <w:tc>
          <w:tcPr>
            <w:tcW w:w="2089"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南京栖霞锚地</w:t>
            </w:r>
          </w:p>
        </w:tc>
        <w:tc>
          <w:tcPr>
            <w:tcW w:w="2115"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“油63005驳”</w:t>
            </w:r>
          </w:p>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(南京长江油运公司)</w:t>
            </w:r>
          </w:p>
        </w:tc>
        <w:tc>
          <w:tcPr>
            <w:tcW w:w="1170"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过驳时操作失误</w:t>
            </w:r>
          </w:p>
        </w:tc>
        <w:tc>
          <w:tcPr>
            <w:tcW w:w="1003"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w:t>
            </w:r>
          </w:p>
        </w:tc>
        <w:tc>
          <w:tcPr>
            <w:tcW w:w="974"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原油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81"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w:t>
            </w:r>
          </w:p>
        </w:tc>
        <w:tc>
          <w:tcPr>
            <w:tcW w:w="1168"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1998.2.6</w:t>
            </w:r>
          </w:p>
        </w:tc>
        <w:tc>
          <w:tcPr>
            <w:tcW w:w="2089"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南京大胜关水道</w:t>
            </w:r>
          </w:p>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宇鹏加油站附近</w:t>
            </w:r>
          </w:p>
        </w:tc>
        <w:tc>
          <w:tcPr>
            <w:tcW w:w="2115"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“皖江供油2001”油轮</w:t>
            </w:r>
          </w:p>
        </w:tc>
        <w:tc>
          <w:tcPr>
            <w:tcW w:w="1170"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沉没</w:t>
            </w:r>
          </w:p>
        </w:tc>
        <w:tc>
          <w:tcPr>
            <w:tcW w:w="1003"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35</w:t>
            </w:r>
          </w:p>
        </w:tc>
        <w:tc>
          <w:tcPr>
            <w:tcW w:w="974"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原油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81"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w:t>
            </w:r>
          </w:p>
        </w:tc>
        <w:tc>
          <w:tcPr>
            <w:tcW w:w="1168"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1998.7.30</w:t>
            </w:r>
          </w:p>
        </w:tc>
        <w:tc>
          <w:tcPr>
            <w:tcW w:w="2089"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万县豹子滩</w:t>
            </w:r>
          </w:p>
        </w:tc>
        <w:tc>
          <w:tcPr>
            <w:tcW w:w="2115"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“屈原7＃”客滚船</w:t>
            </w:r>
          </w:p>
        </w:tc>
        <w:tc>
          <w:tcPr>
            <w:tcW w:w="1170"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海损事故</w:t>
            </w:r>
          </w:p>
        </w:tc>
        <w:tc>
          <w:tcPr>
            <w:tcW w:w="1003"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w:t>
            </w:r>
          </w:p>
        </w:tc>
        <w:tc>
          <w:tcPr>
            <w:tcW w:w="974"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柴油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81"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w:t>
            </w:r>
          </w:p>
        </w:tc>
        <w:tc>
          <w:tcPr>
            <w:tcW w:w="1168"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1998.9.12</w:t>
            </w:r>
          </w:p>
        </w:tc>
        <w:tc>
          <w:tcPr>
            <w:tcW w:w="2089"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吴淞口101灯浮附近</w:t>
            </w:r>
          </w:p>
        </w:tc>
        <w:tc>
          <w:tcPr>
            <w:tcW w:w="2115"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“上电油1215”油轮</w:t>
            </w:r>
          </w:p>
        </w:tc>
        <w:tc>
          <w:tcPr>
            <w:tcW w:w="1170"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与“崇明岛”轮发生碰撞</w:t>
            </w:r>
          </w:p>
        </w:tc>
        <w:tc>
          <w:tcPr>
            <w:tcW w:w="1003"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272</w:t>
            </w:r>
          </w:p>
        </w:tc>
        <w:tc>
          <w:tcPr>
            <w:tcW w:w="974"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重油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81"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w:t>
            </w:r>
          </w:p>
        </w:tc>
        <w:tc>
          <w:tcPr>
            <w:tcW w:w="1168"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1999.4.18</w:t>
            </w:r>
          </w:p>
        </w:tc>
        <w:tc>
          <w:tcPr>
            <w:tcW w:w="2089"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上海炼油厂码头</w:t>
            </w:r>
          </w:p>
        </w:tc>
        <w:tc>
          <w:tcPr>
            <w:tcW w:w="2115"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“浙航拖127船队”</w:t>
            </w:r>
          </w:p>
        </w:tc>
        <w:tc>
          <w:tcPr>
            <w:tcW w:w="1170"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输油管爆管</w:t>
            </w:r>
          </w:p>
        </w:tc>
        <w:tc>
          <w:tcPr>
            <w:tcW w:w="1003"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0.2</w:t>
            </w:r>
          </w:p>
        </w:tc>
        <w:tc>
          <w:tcPr>
            <w:tcW w:w="974"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燃油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81"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9</w:t>
            </w:r>
          </w:p>
        </w:tc>
        <w:tc>
          <w:tcPr>
            <w:tcW w:w="1168"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1999.7.25</w:t>
            </w:r>
          </w:p>
        </w:tc>
        <w:tc>
          <w:tcPr>
            <w:tcW w:w="2089"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重庆万州区巫山码头</w:t>
            </w:r>
          </w:p>
        </w:tc>
        <w:tc>
          <w:tcPr>
            <w:tcW w:w="2115"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“旅游3囤”(油囤船)</w:t>
            </w:r>
          </w:p>
        </w:tc>
        <w:tc>
          <w:tcPr>
            <w:tcW w:w="1170"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操作失误</w:t>
            </w:r>
          </w:p>
        </w:tc>
        <w:tc>
          <w:tcPr>
            <w:tcW w:w="1003"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w:t>
            </w:r>
          </w:p>
        </w:tc>
        <w:tc>
          <w:tcPr>
            <w:tcW w:w="974"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柴油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81"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c>
          <w:tcPr>
            <w:tcW w:w="1168"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2003.2.9</w:t>
            </w:r>
          </w:p>
        </w:tc>
        <w:tc>
          <w:tcPr>
            <w:tcW w:w="2089"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长江浏河口</w:t>
            </w:r>
          </w:p>
        </w:tc>
        <w:tc>
          <w:tcPr>
            <w:tcW w:w="2115"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“华盛油1”</w:t>
            </w:r>
          </w:p>
        </w:tc>
        <w:tc>
          <w:tcPr>
            <w:tcW w:w="1170"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碰撞事故</w:t>
            </w:r>
          </w:p>
        </w:tc>
        <w:tc>
          <w:tcPr>
            <w:tcW w:w="1003"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w:t>
            </w:r>
          </w:p>
        </w:tc>
        <w:tc>
          <w:tcPr>
            <w:tcW w:w="974"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成品油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81"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11</w:t>
            </w:r>
          </w:p>
        </w:tc>
        <w:tc>
          <w:tcPr>
            <w:tcW w:w="1168"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2003.8.5</w:t>
            </w:r>
          </w:p>
        </w:tc>
        <w:tc>
          <w:tcPr>
            <w:tcW w:w="2089"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上海吴泾热电厂码头</w:t>
            </w:r>
          </w:p>
        </w:tc>
        <w:tc>
          <w:tcPr>
            <w:tcW w:w="2115"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“长阳”轮</w:t>
            </w:r>
          </w:p>
        </w:tc>
        <w:tc>
          <w:tcPr>
            <w:tcW w:w="1170"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碰撞事故</w:t>
            </w:r>
          </w:p>
        </w:tc>
        <w:tc>
          <w:tcPr>
            <w:tcW w:w="1003"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85</w:t>
            </w:r>
          </w:p>
        </w:tc>
        <w:tc>
          <w:tcPr>
            <w:tcW w:w="974"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燃料油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81"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12</w:t>
            </w:r>
          </w:p>
        </w:tc>
        <w:tc>
          <w:tcPr>
            <w:tcW w:w="1168"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2004.4.18</w:t>
            </w:r>
          </w:p>
        </w:tc>
        <w:tc>
          <w:tcPr>
            <w:tcW w:w="2089"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长江口276号灯浮水域</w:t>
            </w:r>
          </w:p>
        </w:tc>
        <w:tc>
          <w:tcPr>
            <w:tcW w:w="2115"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“现代荣耀”轮</w:t>
            </w:r>
          </w:p>
        </w:tc>
        <w:tc>
          <w:tcPr>
            <w:tcW w:w="1170"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碰撞事故</w:t>
            </w:r>
          </w:p>
        </w:tc>
        <w:tc>
          <w:tcPr>
            <w:tcW w:w="1003"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30</w:t>
            </w:r>
          </w:p>
        </w:tc>
        <w:tc>
          <w:tcPr>
            <w:tcW w:w="974"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燃料油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81"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13</w:t>
            </w:r>
          </w:p>
        </w:tc>
        <w:tc>
          <w:tcPr>
            <w:tcW w:w="1168"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2005.4.8</w:t>
            </w:r>
          </w:p>
        </w:tc>
        <w:tc>
          <w:tcPr>
            <w:tcW w:w="2089"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长江口水域</w:t>
            </w:r>
          </w:p>
        </w:tc>
        <w:tc>
          <w:tcPr>
            <w:tcW w:w="2115"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“GGCHEMIST”轮</w:t>
            </w:r>
          </w:p>
        </w:tc>
        <w:tc>
          <w:tcPr>
            <w:tcW w:w="1170"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碰撞事故</w:t>
            </w:r>
          </w:p>
        </w:tc>
        <w:tc>
          <w:tcPr>
            <w:tcW w:w="1003"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67</w:t>
            </w:r>
          </w:p>
        </w:tc>
        <w:tc>
          <w:tcPr>
            <w:tcW w:w="974"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燃油和甲苯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81"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14</w:t>
            </w:r>
          </w:p>
        </w:tc>
        <w:tc>
          <w:tcPr>
            <w:tcW w:w="1168"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2005.9.17</w:t>
            </w:r>
          </w:p>
        </w:tc>
        <w:tc>
          <w:tcPr>
            <w:tcW w:w="2089"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上海XX路闸北电厂码头水域</w:t>
            </w:r>
          </w:p>
        </w:tc>
        <w:tc>
          <w:tcPr>
            <w:tcW w:w="2115"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“朝阳平8”轮</w:t>
            </w:r>
          </w:p>
        </w:tc>
        <w:tc>
          <w:tcPr>
            <w:tcW w:w="1170"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碰撞事故</w:t>
            </w:r>
          </w:p>
        </w:tc>
        <w:tc>
          <w:tcPr>
            <w:tcW w:w="1003"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185</w:t>
            </w:r>
          </w:p>
        </w:tc>
        <w:tc>
          <w:tcPr>
            <w:tcW w:w="974"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汽油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581"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15</w:t>
            </w:r>
          </w:p>
        </w:tc>
        <w:tc>
          <w:tcPr>
            <w:tcW w:w="1168"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2006.12.12</w:t>
            </w:r>
          </w:p>
        </w:tc>
        <w:tc>
          <w:tcPr>
            <w:tcW w:w="2089"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洋山沈家油库码头</w:t>
            </w:r>
          </w:p>
        </w:tc>
        <w:tc>
          <w:tcPr>
            <w:tcW w:w="2115"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“舟通油11”轮</w:t>
            </w:r>
          </w:p>
        </w:tc>
        <w:tc>
          <w:tcPr>
            <w:tcW w:w="1170"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因误操作</w:t>
            </w:r>
          </w:p>
        </w:tc>
        <w:tc>
          <w:tcPr>
            <w:tcW w:w="1003"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11</w:t>
            </w:r>
          </w:p>
        </w:tc>
        <w:tc>
          <w:tcPr>
            <w:tcW w:w="974" w:type="dxa"/>
            <w:shd w:val="clear" w:color="auto" w:fill="auto"/>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燃油</w:t>
            </w:r>
          </w:p>
        </w:tc>
      </w:tr>
    </w:tbl>
    <w:p>
      <w:pPr>
        <w:adjustRightInd w:val="0"/>
        <w:snapToGrid w:val="0"/>
        <w:spacing w:line="360" w:lineRule="auto"/>
        <w:rPr>
          <w:rFonts w:ascii="Times New Roman" w:hAnsi="Times New Roman" w:eastAsiaTheme="minorEastAsia"/>
          <w:color w:val="000000" w:themeColor="text1"/>
          <w:sz w:val="24"/>
          <w:szCs w:val="24"/>
          <w14:textFill>
            <w14:solidFill>
              <w14:schemeClr w14:val="tx1"/>
            </w14:solidFill>
          </w14:textFill>
        </w:rPr>
      </w:pP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从表中可以看出，事故河段多发生长江下游和长江上游，其中最大溢油量发生在长江上游万县，溢油1028t。</w:t>
      </w:r>
    </w:p>
    <w:p>
      <w:pPr>
        <w:adjustRightInd w:val="0"/>
        <w:snapToGrid w:val="0"/>
        <w:spacing w:line="360" w:lineRule="auto"/>
        <w:ind w:firstLine="482" w:firstLineChars="200"/>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2、长江海事局所辖区段船舶事故统计</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根据长江海事局辖区2008年~2010年上半年统计资料，辖区2008年共发生事故及险情346件，其中一般及以上事故46件，直接经济损失2763.2万元。</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2009年辖区内发生事故、险情315件，一般及以上事故42.5件，直接经济损失3779.9万元。</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2010年上半年共发生事故、险情138件（同比下降9.8%），一般及以上事故11件，经济损失407万元，同比等级事故数、沉船数、经济损失分别下降53.2%、40%、70.2%。辖区安全形势明显改善。</w:t>
      </w:r>
    </w:p>
    <w:p>
      <w:pPr>
        <w:adjustRightInd w:val="0"/>
        <w:snapToGrid w:val="0"/>
        <w:spacing w:line="276" w:lineRule="auto"/>
        <w:jc w:val="center"/>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表6.7-11  长江海事局管辖河段按遇险种类统计2008~2010年险情分布</w:t>
      </w:r>
    </w:p>
    <w:tbl>
      <w:tblPr>
        <w:tblStyle w:val="71"/>
        <w:tblW w:w="91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36"/>
        <w:gridCol w:w="922"/>
        <w:gridCol w:w="867"/>
        <w:gridCol w:w="867"/>
        <w:gridCol w:w="867"/>
        <w:gridCol w:w="761"/>
        <w:gridCol w:w="936"/>
        <w:gridCol w:w="761"/>
        <w:gridCol w:w="761"/>
        <w:gridCol w:w="761"/>
        <w:gridCol w:w="7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36"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年度</w:t>
            </w:r>
          </w:p>
        </w:tc>
        <w:tc>
          <w:tcPr>
            <w:tcW w:w="922"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遇险种类</w:t>
            </w:r>
          </w:p>
        </w:tc>
        <w:tc>
          <w:tcPr>
            <w:tcW w:w="867"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碰撞</w:t>
            </w:r>
          </w:p>
        </w:tc>
        <w:tc>
          <w:tcPr>
            <w:tcW w:w="867"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搁浅</w:t>
            </w:r>
          </w:p>
        </w:tc>
        <w:tc>
          <w:tcPr>
            <w:tcW w:w="867"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触礁</w:t>
            </w:r>
          </w:p>
        </w:tc>
        <w:tc>
          <w:tcPr>
            <w:tcW w:w="761"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触损</w:t>
            </w:r>
          </w:p>
        </w:tc>
        <w:tc>
          <w:tcPr>
            <w:tcW w:w="936"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火灾爆炸</w:t>
            </w:r>
          </w:p>
        </w:tc>
        <w:tc>
          <w:tcPr>
            <w:tcW w:w="761"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机损</w:t>
            </w:r>
          </w:p>
        </w:tc>
        <w:tc>
          <w:tcPr>
            <w:tcW w:w="761"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自沉</w:t>
            </w:r>
          </w:p>
        </w:tc>
        <w:tc>
          <w:tcPr>
            <w:tcW w:w="761"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风灾</w:t>
            </w:r>
          </w:p>
        </w:tc>
        <w:tc>
          <w:tcPr>
            <w:tcW w:w="761" w:type="dxa"/>
            <w:vAlign w:val="center"/>
          </w:tcPr>
          <w:p>
            <w:pPr>
              <w:adjustRightInd w:val="0"/>
              <w:snapToGrid w:val="0"/>
              <w:jc w:val="center"/>
              <w:rPr>
                <w:rFonts w:ascii="Times New Roman" w:hAnsi="Times New Roman" w:eastAsiaTheme="minorEastAsia"/>
                <w:b/>
                <w:color w:val="000000" w:themeColor="text1"/>
                <w14:textFill>
                  <w14:solidFill>
                    <w14:schemeClr w14:val="tx1"/>
                  </w14:solidFill>
                </w14:textFill>
              </w:rPr>
            </w:pPr>
            <w:r>
              <w:rPr>
                <w:rFonts w:ascii="Times New Roman" w:hAnsi="Times New Roman" w:eastAsiaTheme="minorEastAsia"/>
                <w:b/>
                <w:color w:val="000000" w:themeColor="text1"/>
                <w14:textFill>
                  <w14:solidFill>
                    <w14:schemeClr w14:val="tx1"/>
                  </w14:solidFill>
                </w14:textFill>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36" w:type="dxa"/>
            <w:vMerge w:val="restar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bookmarkStart w:id="210" w:name="_Hlk362597787"/>
            <w:r>
              <w:rPr>
                <w:rFonts w:ascii="Times New Roman" w:hAnsi="Times New Roman" w:eastAsiaTheme="minorEastAsia"/>
                <w:color w:val="000000" w:themeColor="text1"/>
                <w14:textFill>
                  <w14:solidFill>
                    <w14:schemeClr w14:val="tx1"/>
                  </w14:solidFill>
                </w14:textFill>
              </w:rPr>
              <w:t>2008</w:t>
            </w:r>
          </w:p>
        </w:tc>
        <w:tc>
          <w:tcPr>
            <w:tcW w:w="92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件数</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160</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87</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33</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w:t>
            </w:r>
          </w:p>
        </w:tc>
        <w:tc>
          <w:tcPr>
            <w:tcW w:w="936"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31</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36"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92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比例</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46.24%</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25.14%</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9.54%</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1.73%</w:t>
            </w:r>
          </w:p>
        </w:tc>
        <w:tc>
          <w:tcPr>
            <w:tcW w:w="936"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2.31%</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2.02%</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8.96%</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1.73%</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36" w:type="dxa"/>
            <w:vMerge w:val="restar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2009</w:t>
            </w:r>
          </w:p>
        </w:tc>
        <w:tc>
          <w:tcPr>
            <w:tcW w:w="92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件数</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134</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75</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33</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13</w:t>
            </w:r>
          </w:p>
        </w:tc>
        <w:tc>
          <w:tcPr>
            <w:tcW w:w="936"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13</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14</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36"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92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比例</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42.68%</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23.89%</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10.51%</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4.14%</w:t>
            </w:r>
          </w:p>
        </w:tc>
        <w:tc>
          <w:tcPr>
            <w:tcW w:w="936"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3.18%</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1.91%</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4.14%</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4.46%</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36" w:type="dxa"/>
            <w:vMerge w:val="restart"/>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2010</w:t>
            </w:r>
          </w:p>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（1~6月）</w:t>
            </w:r>
          </w:p>
        </w:tc>
        <w:tc>
          <w:tcPr>
            <w:tcW w:w="92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件数</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68</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29</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15</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w:t>
            </w:r>
          </w:p>
        </w:tc>
        <w:tc>
          <w:tcPr>
            <w:tcW w:w="936"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9</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3</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8</w:t>
            </w:r>
          </w:p>
        </w:tc>
      </w:tr>
      <w:bookmarkEnd w:id="210"/>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36" w:type="dxa"/>
            <w:vMerge w:val="continue"/>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p>
        </w:tc>
        <w:tc>
          <w:tcPr>
            <w:tcW w:w="922"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比例</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49.28%</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21.01%</w:t>
            </w:r>
          </w:p>
        </w:tc>
        <w:tc>
          <w:tcPr>
            <w:tcW w:w="867"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10.87%</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1.45%</w:t>
            </w:r>
          </w:p>
        </w:tc>
        <w:tc>
          <w:tcPr>
            <w:tcW w:w="936"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2.90%</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0.00%</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6.52%</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2.17%</w:t>
            </w:r>
          </w:p>
        </w:tc>
        <w:tc>
          <w:tcPr>
            <w:tcW w:w="761" w:type="dxa"/>
            <w:vAlign w:val="center"/>
          </w:tcPr>
          <w:p>
            <w:pPr>
              <w:adjustRightInd w:val="0"/>
              <w:snapToGrid w:val="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5.80%</w:t>
            </w:r>
          </w:p>
        </w:tc>
      </w:tr>
    </w:tbl>
    <w:p>
      <w:pPr>
        <w:adjustRightInd w:val="0"/>
        <w:snapToGrid w:val="0"/>
        <w:spacing w:line="360" w:lineRule="auto"/>
        <w:rPr>
          <w:rFonts w:ascii="Times New Roman" w:hAnsi="Times New Roman" w:eastAsiaTheme="minorEastAsia"/>
          <w:color w:val="000000" w:themeColor="text1"/>
          <w:sz w:val="24"/>
          <w:szCs w:val="24"/>
          <w14:textFill>
            <w14:solidFill>
              <w14:schemeClr w14:val="tx1"/>
            </w14:solidFill>
          </w14:textFill>
        </w:rPr>
      </w:pP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由上表统计数据分析，碰撞、搁浅和触礁所占遇险的比例较高。</w:t>
      </w:r>
    </w:p>
    <w:p>
      <w:pPr>
        <w:adjustRightInd w:val="0"/>
        <w:snapToGrid w:val="0"/>
        <w:spacing w:line="360" w:lineRule="auto"/>
        <w:ind w:firstLine="482" w:firstLineChars="200"/>
        <w:rPr>
          <w:rFonts w:ascii="Times New Roman" w:hAnsi="Times New Roman" w:eastAsiaTheme="minorEastAsia"/>
          <w:b/>
          <w:color w:val="000000" w:themeColor="text1"/>
          <w:sz w:val="24"/>
          <w:szCs w:val="24"/>
          <w14:textFill>
            <w14:solidFill>
              <w14:schemeClr w14:val="tx1"/>
            </w14:solidFill>
          </w14:textFill>
        </w:rPr>
      </w:pPr>
      <w:r>
        <w:rPr>
          <w:rFonts w:ascii="Times New Roman" w:hAnsi="Times New Roman" w:eastAsiaTheme="minorEastAsia"/>
          <w:b/>
          <w:color w:val="000000" w:themeColor="text1"/>
          <w:sz w:val="24"/>
          <w:szCs w:val="24"/>
          <w14:textFill>
            <w14:solidFill>
              <w14:schemeClr w14:val="tx1"/>
            </w14:solidFill>
          </w14:textFill>
        </w:rPr>
        <w:t>3、事故概率</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鉴于本项目产品的特殊用途，系泊试验处于内河，年试航次数约4~6次，发生碰船事故概率为小概率事件。</w:t>
      </w:r>
    </w:p>
    <w:p>
      <w:pPr>
        <w:pStyle w:val="5"/>
        <w:rPr>
          <w:rFonts w:eastAsiaTheme="minorEastAsia"/>
        </w:rPr>
      </w:pPr>
      <w:r>
        <w:rPr>
          <w:rFonts w:eastAsiaTheme="minorEastAsia"/>
        </w:rPr>
        <w:t>源项分析</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最大可信事故是指在所有预测的概率不为零的事故中，对环境（或健康）危害最严重的重大事故。将产品系泊试验过程中发生船舶碰撞溢油事故作为最大可信事故。</w:t>
      </w:r>
    </w:p>
    <w:p>
      <w:pPr>
        <w:pStyle w:val="4"/>
        <w:rPr>
          <w:rFonts w:eastAsiaTheme="minorEastAsia"/>
          <w:color w:val="000000" w:themeColor="text1"/>
          <w14:textFill>
            <w14:solidFill>
              <w14:schemeClr w14:val="tx1"/>
            </w14:solidFill>
          </w14:textFill>
        </w:rPr>
      </w:pPr>
      <w:bookmarkStart w:id="211" w:name="_Toc23429152"/>
      <w:bookmarkStart w:id="212" w:name="_Toc491031787"/>
      <w:r>
        <w:rPr>
          <w:rFonts w:eastAsiaTheme="minorEastAsia"/>
          <w:color w:val="000000" w:themeColor="text1"/>
          <w14:textFill>
            <w14:solidFill>
              <w14:schemeClr w14:val="tx1"/>
            </w14:solidFill>
          </w14:textFill>
        </w:rPr>
        <w:t>后果计算</w:t>
      </w:r>
      <w:bookmarkEnd w:id="211"/>
      <w:bookmarkEnd w:id="212"/>
    </w:p>
    <w:p>
      <w:pPr>
        <w:pStyle w:val="5"/>
        <w:rPr>
          <w:rFonts w:eastAsiaTheme="minorEastAsia"/>
          <w:color w:val="auto"/>
        </w:rPr>
      </w:pPr>
      <w:r>
        <w:rPr>
          <w:rFonts w:eastAsiaTheme="minorEastAsia"/>
          <w:color w:val="auto"/>
        </w:rPr>
        <w:t>码头溢油风险</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1、泄漏量估算以及溢油点的确定</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船舶进出码头是发生船舶碰撞溢油事故概率最高的区域。产品系泊试验时会装载10t柴油试车（最大量），燃料油按照90%入江量计，最大约9t/次。</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2、溢油预测模型</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油膜的扩延，在初期阶段的扩展起主导作用，而在最后阶段是扩散起主导作用。虽然计算扩延范围的公式很多，但由于影响因素复杂，许多公式都是简化而得的，计算结果也有差异。在众多的成果中，</w:t>
      </w:r>
      <w:bookmarkStart w:id="213" w:name="OLE_LINK7"/>
      <w:bookmarkStart w:id="214" w:name="OLE_LINK18"/>
      <w:r>
        <w:rPr>
          <w:rFonts w:ascii="Times New Roman" w:hAnsi="Times New Roman" w:eastAsiaTheme="minorEastAsia"/>
          <w:sz w:val="24"/>
          <w:szCs w:val="24"/>
        </w:rPr>
        <w:t>费伊</w:t>
      </w:r>
      <w:r>
        <w:rPr>
          <w:rFonts w:hint="eastAsia" w:ascii="Times New Roman" w:hAnsi="Times New Roman" w:eastAsiaTheme="minorEastAsia"/>
          <w:sz w:val="24"/>
          <w:szCs w:val="24"/>
        </w:rPr>
        <w:t>（</w:t>
      </w:r>
      <w:r>
        <w:rPr>
          <w:rFonts w:ascii="Times New Roman" w:hAnsi="Times New Roman" w:eastAsiaTheme="minorEastAsia"/>
          <w:sz w:val="24"/>
          <w:szCs w:val="24"/>
        </w:rPr>
        <w:t>Fay</w:t>
      </w:r>
      <w:r>
        <w:rPr>
          <w:rFonts w:hint="eastAsia" w:ascii="Times New Roman" w:hAnsi="Times New Roman" w:eastAsiaTheme="minorEastAsia"/>
          <w:sz w:val="24"/>
          <w:szCs w:val="24"/>
        </w:rPr>
        <w:t>）</w:t>
      </w:r>
      <w:r>
        <w:rPr>
          <w:rFonts w:ascii="Times New Roman" w:hAnsi="Times New Roman" w:eastAsiaTheme="minorEastAsia"/>
          <w:sz w:val="24"/>
          <w:szCs w:val="24"/>
        </w:rPr>
        <w:t>公式</w:t>
      </w:r>
      <w:bookmarkEnd w:id="213"/>
      <w:bookmarkEnd w:id="214"/>
      <w:r>
        <w:rPr>
          <w:rFonts w:ascii="Times New Roman" w:hAnsi="Times New Roman" w:eastAsiaTheme="minorEastAsia"/>
          <w:sz w:val="24"/>
          <w:szCs w:val="24"/>
        </w:rPr>
        <w:t>是广泛受到重视的只考虑油膜扩展作用的公式之一。</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事故溢油扩散漂移模型</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费伊把扩展过程划分为三个阶段：</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A.惯性扩展阶段</w:t>
      </w:r>
    </w:p>
    <w:p>
      <w:pPr>
        <w:adjustRightInd w:val="0"/>
        <w:snapToGrid w:val="0"/>
        <w:spacing w:line="360" w:lineRule="auto"/>
        <w:ind w:firstLine="420" w:firstLineChars="200"/>
        <w:jc w:val="center"/>
        <w:rPr>
          <w:rFonts w:ascii="Times New Roman" w:hAnsi="Times New Roman" w:eastAsiaTheme="minorEastAsia"/>
          <w:sz w:val="24"/>
          <w:szCs w:val="24"/>
        </w:rPr>
      </w:pPr>
      <w:r>
        <w:rPr>
          <w:rFonts w:ascii="Times New Roman" w:hAnsi="Times New Roman" w:eastAsiaTheme="minorEastAsia"/>
        </w:rPr>
        <w:drawing>
          <wp:inline distT="0" distB="0" distL="0" distR="0">
            <wp:extent cx="1367155" cy="374015"/>
            <wp:effectExtent l="0" t="0" r="4445" b="698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0"/>
                    <a:stretch>
                      <a:fillRect/>
                    </a:stretch>
                  </pic:blipFill>
                  <pic:spPr>
                    <a:xfrm>
                      <a:off x="0" y="0"/>
                      <a:ext cx="1382377" cy="378508"/>
                    </a:xfrm>
                    <a:prstGeom prst="rect">
                      <a:avLst/>
                    </a:prstGeom>
                  </pic:spPr>
                </pic:pic>
              </a:graphicData>
            </a:graphic>
          </wp:inline>
        </w:drawing>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B.粘性扩履阶段</w:t>
      </w:r>
    </w:p>
    <w:p>
      <w:pPr>
        <w:adjustRightInd w:val="0"/>
        <w:snapToGrid w:val="0"/>
        <w:spacing w:line="360" w:lineRule="auto"/>
        <w:ind w:firstLine="420" w:firstLineChars="200"/>
        <w:jc w:val="center"/>
        <w:rPr>
          <w:rFonts w:ascii="Times New Roman" w:hAnsi="Times New Roman" w:eastAsiaTheme="minorEastAsia"/>
          <w:sz w:val="24"/>
          <w:szCs w:val="24"/>
        </w:rPr>
      </w:pPr>
      <w:r>
        <w:rPr>
          <w:rFonts w:ascii="Times New Roman" w:hAnsi="Times New Roman" w:eastAsiaTheme="minorEastAsia"/>
        </w:rPr>
        <w:drawing>
          <wp:inline distT="0" distB="0" distL="0" distR="0">
            <wp:extent cx="1666240" cy="685165"/>
            <wp:effectExtent l="0" t="0" r="1016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1"/>
                    <a:stretch>
                      <a:fillRect/>
                    </a:stretch>
                  </pic:blipFill>
                  <pic:spPr>
                    <a:xfrm>
                      <a:off x="0" y="0"/>
                      <a:ext cx="1666667" cy="685714"/>
                    </a:xfrm>
                    <a:prstGeom prst="rect">
                      <a:avLst/>
                    </a:prstGeom>
                  </pic:spPr>
                </pic:pic>
              </a:graphicData>
            </a:graphic>
          </wp:inline>
        </w:drawing>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C.表面张力扩展阶段</w:t>
      </w:r>
    </w:p>
    <w:p>
      <w:pPr>
        <w:adjustRightInd w:val="0"/>
        <w:snapToGrid w:val="0"/>
        <w:spacing w:line="360" w:lineRule="auto"/>
        <w:ind w:firstLine="420" w:firstLineChars="200"/>
        <w:jc w:val="center"/>
        <w:rPr>
          <w:rFonts w:ascii="Times New Roman" w:hAnsi="Times New Roman" w:eastAsiaTheme="minorEastAsia"/>
          <w:sz w:val="24"/>
          <w:szCs w:val="24"/>
        </w:rPr>
      </w:pPr>
      <w:r>
        <w:rPr>
          <w:rFonts w:ascii="Times New Roman" w:hAnsi="Times New Roman" w:eastAsiaTheme="minorEastAsia"/>
        </w:rPr>
        <w:drawing>
          <wp:inline distT="0" distB="0" distL="0" distR="0">
            <wp:extent cx="1438275" cy="504825"/>
            <wp:effectExtent l="0" t="0" r="9525"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2"/>
                    <a:stretch>
                      <a:fillRect/>
                    </a:stretch>
                  </pic:blipFill>
                  <pic:spPr>
                    <a:xfrm>
                      <a:off x="0" y="0"/>
                      <a:ext cx="1466651" cy="514738"/>
                    </a:xfrm>
                    <a:prstGeom prst="rect">
                      <a:avLst/>
                    </a:prstGeom>
                  </pic:spPr>
                </pic:pic>
              </a:graphicData>
            </a:graphic>
          </wp:inline>
        </w:drawing>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D.在扩展结束之后，油膜直径保持不变</w:t>
      </w:r>
    </w:p>
    <w:p>
      <w:pPr>
        <w:adjustRightInd w:val="0"/>
        <w:snapToGrid w:val="0"/>
        <w:spacing w:line="360" w:lineRule="auto"/>
        <w:ind w:firstLine="480" w:firstLineChars="200"/>
        <w:jc w:val="center"/>
        <w:rPr>
          <w:rFonts w:ascii="Times New Roman" w:hAnsi="Times New Roman" w:eastAsiaTheme="minorEastAsia"/>
          <w:sz w:val="24"/>
          <w:szCs w:val="24"/>
        </w:rPr>
      </w:pPr>
      <w:r>
        <w:rPr>
          <w:rFonts w:ascii="Times New Roman" w:hAnsi="Times New Roman" w:eastAsiaTheme="minorEastAsia"/>
          <w:sz w:val="24"/>
          <w:szCs w:val="24"/>
        </w:rPr>
        <w:t>D＝356.8V</w:t>
      </w:r>
      <w:r>
        <w:rPr>
          <w:rFonts w:ascii="Times New Roman" w:hAnsi="Times New Roman" w:eastAsiaTheme="minorEastAsia"/>
          <w:sz w:val="24"/>
          <w:szCs w:val="24"/>
          <w:vertAlign w:val="superscript"/>
        </w:rPr>
        <w:t>3/8</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式中：D——油膜直径（m）；</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G——重力加速度（m/s</w:t>
      </w:r>
      <w:r>
        <w:rPr>
          <w:rFonts w:ascii="Times New Roman" w:hAnsi="Times New Roman" w:eastAsiaTheme="minorEastAsia"/>
          <w:sz w:val="24"/>
          <w:szCs w:val="24"/>
          <w:vertAlign w:val="superscript"/>
        </w:rPr>
        <w:t>2</w:t>
      </w:r>
      <w:r>
        <w:rPr>
          <w:rFonts w:ascii="Times New Roman" w:hAnsi="Times New Roman" w:eastAsiaTheme="minorEastAsia"/>
          <w:sz w:val="24"/>
          <w:szCs w:val="24"/>
        </w:rPr>
        <w:t>）；</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V——溢油总体积（m</w:t>
      </w:r>
      <w:r>
        <w:rPr>
          <w:rFonts w:ascii="Times New Roman" w:hAnsi="Times New Roman" w:eastAsiaTheme="minorEastAsia"/>
          <w:sz w:val="24"/>
          <w:szCs w:val="24"/>
          <w:vertAlign w:val="superscript"/>
        </w:rPr>
        <w:t>3</w:t>
      </w:r>
      <w:r>
        <w:rPr>
          <w:rFonts w:ascii="Times New Roman" w:hAnsi="Times New Roman" w:eastAsiaTheme="minorEastAsia"/>
          <w:sz w:val="24"/>
          <w:szCs w:val="24"/>
        </w:rPr>
        <w:t>）；</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t——从溢油开始计算所经历的时间（s）；</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γ——水的运动粘滞系数（m</w:t>
      </w:r>
      <w:r>
        <w:rPr>
          <w:rFonts w:ascii="Times New Roman" w:hAnsi="Times New Roman" w:eastAsiaTheme="minorEastAsia"/>
          <w:sz w:val="24"/>
          <w:szCs w:val="24"/>
          <w:vertAlign w:val="superscript"/>
        </w:rPr>
        <w:t>2</w:t>
      </w:r>
      <w:r>
        <w:rPr>
          <w:rFonts w:ascii="Times New Roman" w:hAnsi="Times New Roman" w:eastAsiaTheme="minorEastAsia"/>
          <w:sz w:val="24"/>
          <w:szCs w:val="24"/>
        </w:rPr>
        <w:t>/s）；</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β=1-ρ</w:t>
      </w:r>
      <w:r>
        <w:rPr>
          <w:rFonts w:ascii="Times New Roman" w:hAnsi="Times New Roman" w:eastAsiaTheme="minorEastAsia"/>
          <w:sz w:val="24"/>
          <w:szCs w:val="24"/>
          <w:vertAlign w:val="subscript"/>
        </w:rPr>
        <w:t>0</w:t>
      </w:r>
      <w:r>
        <w:rPr>
          <w:rFonts w:ascii="Times New Roman" w:hAnsi="Times New Roman" w:eastAsiaTheme="minorEastAsia"/>
          <w:sz w:val="24"/>
          <w:szCs w:val="24"/>
        </w:rPr>
        <w:t>/ρ</w:t>
      </w:r>
      <w:r>
        <w:rPr>
          <w:rFonts w:ascii="Times New Roman" w:hAnsi="Times New Roman" w:eastAsiaTheme="minorEastAsia"/>
          <w:sz w:val="24"/>
          <w:szCs w:val="24"/>
          <w:vertAlign w:val="subscript"/>
        </w:rPr>
        <w:t>w</w:t>
      </w:r>
      <w:r>
        <w:rPr>
          <w:rFonts w:ascii="Times New Roman" w:hAnsi="Times New Roman" w:eastAsiaTheme="minorEastAsia"/>
          <w:sz w:val="24"/>
          <w:szCs w:val="24"/>
        </w:rPr>
        <w:t>，ρ</w:t>
      </w:r>
      <w:r>
        <w:rPr>
          <w:rFonts w:ascii="Times New Roman" w:hAnsi="Times New Roman" w:eastAsiaTheme="minorEastAsia"/>
          <w:sz w:val="24"/>
          <w:szCs w:val="24"/>
          <w:vertAlign w:val="subscript"/>
        </w:rPr>
        <w:t>0</w:t>
      </w:r>
      <w:r>
        <w:rPr>
          <w:rFonts w:ascii="Times New Roman" w:hAnsi="Times New Roman" w:eastAsiaTheme="minorEastAsia"/>
          <w:sz w:val="24"/>
          <w:szCs w:val="24"/>
        </w:rPr>
        <w:t>、ρ</w:t>
      </w:r>
      <w:r>
        <w:rPr>
          <w:rFonts w:ascii="Times New Roman" w:hAnsi="Times New Roman" w:eastAsiaTheme="minorEastAsia"/>
          <w:sz w:val="24"/>
          <w:szCs w:val="24"/>
          <w:vertAlign w:val="subscript"/>
        </w:rPr>
        <w:t>w</w:t>
      </w:r>
      <w:r>
        <w:rPr>
          <w:rFonts w:ascii="Times New Roman" w:hAnsi="Times New Roman" w:eastAsiaTheme="minorEastAsia"/>
          <w:sz w:val="24"/>
          <w:szCs w:val="24"/>
        </w:rPr>
        <w:t>分别为油和水的密度（kg/m</w:t>
      </w:r>
      <w:r>
        <w:rPr>
          <w:rFonts w:ascii="Times New Roman" w:hAnsi="Times New Roman" w:eastAsiaTheme="minorEastAsia"/>
          <w:sz w:val="24"/>
          <w:szCs w:val="24"/>
          <w:vertAlign w:val="superscript"/>
        </w:rPr>
        <w:t>3</w:t>
      </w:r>
      <w:r>
        <w:rPr>
          <w:rFonts w:ascii="Times New Roman" w:hAnsi="Times New Roman" w:eastAsiaTheme="minorEastAsia"/>
          <w:sz w:val="24"/>
          <w:szCs w:val="24"/>
        </w:rPr>
        <w:t>）；</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δ=δaw-δ0a-δ0w，δaw、δ0a、δ0w分别为空气与水之间、油（液）与空气之间、液与水之间的表面张力系数（N/m）；</w:t>
      </w:r>
    </w:p>
    <w:p>
      <w:pPr>
        <w:adjustRightInd w:val="0"/>
        <w:snapToGrid w:val="0"/>
        <w:spacing w:line="360" w:lineRule="auto"/>
        <w:ind w:firstLine="1080" w:firstLineChars="450"/>
        <w:rPr>
          <w:rFonts w:ascii="Times New Roman" w:hAnsi="Times New Roman" w:eastAsiaTheme="minorEastAsia"/>
          <w:sz w:val="24"/>
          <w:szCs w:val="24"/>
        </w:rPr>
      </w:pPr>
      <w:r>
        <w:rPr>
          <w:rFonts w:ascii="Times New Roman" w:hAnsi="Times New Roman" w:eastAsiaTheme="minorEastAsia"/>
          <w:sz w:val="24"/>
          <w:szCs w:val="24"/>
        </w:rPr>
        <w:t>K</w:t>
      </w:r>
      <w:r>
        <w:rPr>
          <w:rFonts w:ascii="Times New Roman" w:hAnsi="Times New Roman" w:eastAsiaTheme="minorEastAsia"/>
          <w:sz w:val="24"/>
          <w:szCs w:val="24"/>
          <w:vertAlign w:val="subscript"/>
        </w:rPr>
        <w:t>1</w:t>
      </w:r>
      <w:r>
        <w:rPr>
          <w:rFonts w:ascii="Times New Roman" w:hAnsi="Times New Roman" w:eastAsiaTheme="minorEastAsia"/>
          <w:sz w:val="24"/>
          <w:szCs w:val="24"/>
        </w:rPr>
        <w:t>、K</w:t>
      </w:r>
      <w:r>
        <w:rPr>
          <w:rFonts w:ascii="Times New Roman" w:hAnsi="Times New Roman" w:eastAsiaTheme="minorEastAsia"/>
          <w:sz w:val="24"/>
          <w:szCs w:val="24"/>
          <w:vertAlign w:val="subscript"/>
        </w:rPr>
        <w:t>2</w:t>
      </w:r>
      <w:r>
        <w:rPr>
          <w:rFonts w:ascii="Times New Roman" w:hAnsi="Times New Roman" w:eastAsiaTheme="minorEastAsia"/>
          <w:sz w:val="24"/>
          <w:szCs w:val="24"/>
        </w:rPr>
        <w:t>、K</w:t>
      </w:r>
      <w:r>
        <w:rPr>
          <w:rFonts w:ascii="Times New Roman" w:hAnsi="Times New Roman" w:eastAsiaTheme="minorEastAsia"/>
          <w:sz w:val="24"/>
          <w:szCs w:val="24"/>
          <w:vertAlign w:val="subscript"/>
        </w:rPr>
        <w:t>3</w:t>
      </w:r>
      <w:r>
        <w:rPr>
          <w:rFonts w:ascii="Times New Roman" w:hAnsi="Times New Roman" w:eastAsiaTheme="minorEastAsia"/>
          <w:sz w:val="24"/>
          <w:szCs w:val="24"/>
        </w:rPr>
        <w:t>——分别为各扩展阶段的经验系数，一般可取K</w:t>
      </w:r>
      <w:r>
        <w:rPr>
          <w:rFonts w:ascii="Times New Roman" w:hAnsi="Times New Roman" w:eastAsiaTheme="minorEastAsia"/>
          <w:sz w:val="24"/>
          <w:szCs w:val="24"/>
          <w:vertAlign w:val="subscript"/>
        </w:rPr>
        <w:t>1</w:t>
      </w:r>
      <w:r>
        <w:rPr>
          <w:rFonts w:ascii="Times New Roman" w:hAnsi="Times New Roman" w:eastAsiaTheme="minorEastAsia"/>
          <w:sz w:val="24"/>
          <w:szCs w:val="24"/>
        </w:rPr>
        <w:t>=2.28、K</w:t>
      </w:r>
      <w:r>
        <w:rPr>
          <w:rFonts w:ascii="Times New Roman" w:hAnsi="Times New Roman" w:eastAsiaTheme="minorEastAsia"/>
          <w:sz w:val="24"/>
          <w:szCs w:val="24"/>
          <w:vertAlign w:val="subscript"/>
        </w:rPr>
        <w:t>2</w:t>
      </w:r>
      <w:r>
        <w:rPr>
          <w:rFonts w:ascii="Times New Roman" w:hAnsi="Times New Roman" w:eastAsiaTheme="minorEastAsia"/>
          <w:sz w:val="24"/>
          <w:szCs w:val="24"/>
        </w:rPr>
        <w:t>=2.90、K</w:t>
      </w:r>
      <w:r>
        <w:rPr>
          <w:rFonts w:ascii="Times New Roman" w:hAnsi="Times New Roman" w:eastAsiaTheme="minorEastAsia"/>
          <w:sz w:val="24"/>
          <w:szCs w:val="24"/>
          <w:vertAlign w:val="subscript"/>
        </w:rPr>
        <w:t>3</w:t>
      </w:r>
      <w:r>
        <w:rPr>
          <w:rFonts w:ascii="Times New Roman" w:hAnsi="Times New Roman" w:eastAsiaTheme="minorEastAsia"/>
          <w:sz w:val="24"/>
          <w:szCs w:val="24"/>
        </w:rPr>
        <w:t>=3.2。</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在实际中，油膜扩展使油膜面积增大，厚度减小。当油膜厚度大于其临界厚度时(即扩展结束之后，油膜直径保持不变时的厚度)，油膜保持整体性；油膜厚度等于或小于临界厚度时，油膜开始分裂为碎片，并继续扩散。</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sz w:val="24"/>
          <w:szCs w:val="24"/>
        </w:rPr>
        <w:t xml:space="preserve"> 溢油漂移计算方法</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溢油入水后很快扩展油膜，然后在水流、风生流作用下产生漂移，同时溢油本身扩散的等效圆油膜还在不断地扩散增大。因此溢油污染范围就是这个不断地扩散增大。因此溢油污染范围就是这个不断扩大而在漂移的等效圆油膜所经过的水域面积，漂移与扩展不同，它与油量无关，漂移大小通常以油膜等效圆中心位移来判断。</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如果油膜中以初始位置为S</w:t>
      </w:r>
      <w:r>
        <w:rPr>
          <w:rFonts w:ascii="Times New Roman" w:hAnsi="Times New Roman" w:eastAsiaTheme="minorEastAsia"/>
          <w:sz w:val="24"/>
          <w:szCs w:val="24"/>
          <w:vertAlign w:val="subscript"/>
        </w:rPr>
        <w:t>0</w:t>
      </w:r>
      <w:r>
        <w:rPr>
          <w:rFonts w:ascii="Times New Roman" w:hAnsi="Times New Roman" w:eastAsiaTheme="minorEastAsia"/>
          <w:sz w:val="24"/>
          <w:szCs w:val="24"/>
        </w:rPr>
        <w:t>，经过∆t时间后，其位置S由下式计算：</w:t>
      </w:r>
    </w:p>
    <w:p>
      <w:pPr>
        <w:adjustRightInd w:val="0"/>
        <w:snapToGrid w:val="0"/>
        <w:spacing w:line="360" w:lineRule="auto"/>
        <w:ind w:firstLine="480" w:firstLineChars="200"/>
        <w:jc w:val="center"/>
        <w:rPr>
          <w:rFonts w:ascii="Times New Roman" w:hAnsi="Times New Roman" w:eastAsiaTheme="minorEastAsia"/>
          <w:sz w:val="24"/>
          <w:szCs w:val="24"/>
        </w:rPr>
      </w:pPr>
      <w:r>
        <w:rPr>
          <w:rFonts w:ascii="Times New Roman" w:hAnsi="Times New Roman" w:eastAsiaTheme="minorEastAsia"/>
          <w:sz w:val="24"/>
          <w:szCs w:val="24"/>
        </w:rPr>
        <w:drawing>
          <wp:inline distT="0" distB="0" distL="0" distR="0">
            <wp:extent cx="1038860" cy="492125"/>
            <wp:effectExtent l="0" t="0" r="8890" b="317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038860" cy="492125"/>
                    </a:xfrm>
                    <a:prstGeom prst="rect">
                      <a:avLst/>
                    </a:prstGeom>
                    <a:noFill/>
                    <a:ln>
                      <a:noFill/>
                    </a:ln>
                  </pic:spPr>
                </pic:pic>
              </a:graphicData>
            </a:graphic>
          </wp:inline>
        </w:drawing>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式中油膜中心漂移速度V</w:t>
      </w:r>
      <w:r>
        <w:rPr>
          <w:rFonts w:ascii="Times New Roman" w:hAnsi="Times New Roman" w:eastAsiaTheme="minorEastAsia"/>
          <w:sz w:val="24"/>
          <w:szCs w:val="24"/>
          <w:vertAlign w:val="subscript"/>
        </w:rPr>
        <w:t>0</w:t>
      </w:r>
      <w:r>
        <w:rPr>
          <w:rFonts w:ascii="Times New Roman" w:hAnsi="Times New Roman" w:eastAsiaTheme="minorEastAsia"/>
          <w:sz w:val="24"/>
          <w:szCs w:val="24"/>
        </w:rPr>
        <w:t>由下式求得：</w:t>
      </w:r>
    </w:p>
    <w:p>
      <w:pPr>
        <w:adjustRightInd w:val="0"/>
        <w:snapToGrid w:val="0"/>
        <w:spacing w:line="360" w:lineRule="auto"/>
        <w:ind w:firstLine="480" w:firstLineChars="200"/>
        <w:jc w:val="center"/>
        <w:rPr>
          <w:rFonts w:ascii="Times New Roman" w:hAnsi="Times New Roman" w:eastAsiaTheme="minorEastAsia"/>
          <w:sz w:val="24"/>
          <w:szCs w:val="24"/>
        </w:rPr>
      </w:pPr>
      <w:r>
        <w:rPr>
          <w:rFonts w:ascii="Times New Roman" w:hAnsi="Times New Roman" w:eastAsiaTheme="minorEastAsia"/>
          <w:sz w:val="24"/>
          <w:szCs w:val="24"/>
        </w:rPr>
        <w:t>V</w:t>
      </w:r>
      <w:r>
        <w:rPr>
          <w:rFonts w:ascii="Times New Roman" w:hAnsi="Times New Roman" w:eastAsiaTheme="minorEastAsia"/>
          <w:sz w:val="24"/>
          <w:szCs w:val="24"/>
          <w:vertAlign w:val="subscript"/>
        </w:rPr>
        <w:t>0</w:t>
      </w:r>
      <w:r>
        <w:rPr>
          <w:rFonts w:ascii="Times New Roman" w:hAnsi="Times New Roman" w:eastAsiaTheme="minorEastAsia"/>
          <w:sz w:val="24"/>
          <w:szCs w:val="24"/>
        </w:rPr>
        <w:t>＝V</w:t>
      </w:r>
      <w:r>
        <w:rPr>
          <w:rFonts w:ascii="Times New Roman" w:hAnsi="Times New Roman" w:eastAsiaTheme="minorEastAsia"/>
          <w:sz w:val="24"/>
          <w:szCs w:val="24"/>
          <w:vertAlign w:val="subscript"/>
        </w:rPr>
        <w:t>风</w:t>
      </w:r>
      <w:r>
        <w:rPr>
          <w:rFonts w:ascii="Times New Roman" w:hAnsi="Times New Roman" w:eastAsiaTheme="minorEastAsia"/>
          <w:sz w:val="24"/>
          <w:szCs w:val="24"/>
        </w:rPr>
        <w:t>＋V</w:t>
      </w:r>
      <w:r>
        <w:rPr>
          <w:rFonts w:ascii="Times New Roman" w:hAnsi="Times New Roman" w:eastAsiaTheme="minorEastAsia"/>
          <w:sz w:val="24"/>
          <w:szCs w:val="24"/>
          <w:vertAlign w:val="subscript"/>
        </w:rPr>
        <w:t>流</w:t>
      </w:r>
    </w:p>
    <w:p>
      <w:pPr>
        <w:adjustRightInd w:val="0"/>
        <w:snapToGrid w:val="0"/>
        <w:spacing w:line="360" w:lineRule="auto"/>
        <w:ind w:firstLine="480" w:firstLineChars="200"/>
        <w:jc w:val="center"/>
        <w:rPr>
          <w:rFonts w:ascii="Times New Roman" w:hAnsi="Times New Roman" w:eastAsiaTheme="minorEastAsia"/>
          <w:sz w:val="24"/>
          <w:szCs w:val="24"/>
        </w:rPr>
      </w:pPr>
      <w:r>
        <w:rPr>
          <w:rFonts w:ascii="Times New Roman" w:hAnsi="Times New Roman" w:eastAsiaTheme="minorEastAsia"/>
          <w:sz w:val="24"/>
          <w:szCs w:val="24"/>
        </w:rPr>
        <w:t>V</w:t>
      </w:r>
      <w:r>
        <w:rPr>
          <w:rFonts w:ascii="Times New Roman" w:hAnsi="Times New Roman" w:eastAsiaTheme="minorEastAsia"/>
          <w:sz w:val="24"/>
          <w:szCs w:val="24"/>
          <w:vertAlign w:val="subscript"/>
        </w:rPr>
        <w:t>风</w:t>
      </w:r>
      <w:r>
        <w:rPr>
          <w:rFonts w:ascii="Times New Roman" w:hAnsi="Times New Roman" w:eastAsiaTheme="minorEastAsia"/>
          <w:sz w:val="24"/>
          <w:szCs w:val="24"/>
        </w:rPr>
        <w:t>=U</w:t>
      </w:r>
      <w:r>
        <w:rPr>
          <w:rFonts w:ascii="Times New Roman" w:hAnsi="Times New Roman" w:eastAsiaTheme="minorEastAsia"/>
          <w:sz w:val="24"/>
          <w:szCs w:val="24"/>
          <w:vertAlign w:val="subscript"/>
        </w:rPr>
        <w:t>10</w:t>
      </w:r>
      <w:r>
        <w:rPr>
          <w:rFonts w:ascii="Times New Roman" w:hAnsi="Times New Roman" w:eastAsiaTheme="minorEastAsia"/>
          <w:sz w:val="24"/>
          <w:szCs w:val="24"/>
        </w:rPr>
        <w:t>×K</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式中：U</w:t>
      </w:r>
      <w:r>
        <w:rPr>
          <w:rFonts w:ascii="Times New Roman" w:hAnsi="Times New Roman" w:eastAsiaTheme="minorEastAsia"/>
          <w:sz w:val="24"/>
          <w:szCs w:val="24"/>
          <w:vertAlign w:val="subscript"/>
        </w:rPr>
        <w:t>10</w:t>
      </w:r>
      <w:r>
        <w:rPr>
          <w:rFonts w:ascii="Times New Roman" w:hAnsi="Times New Roman" w:eastAsiaTheme="minorEastAsia"/>
          <w:sz w:val="24"/>
          <w:szCs w:val="24"/>
        </w:rPr>
        <w:t>——10m高处风速；</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K——风因子系数，K=3.5%；</w:t>
      </w:r>
    </w:p>
    <w:p>
      <w:pPr>
        <w:adjustRightInd w:val="0"/>
        <w:snapToGrid w:val="0"/>
        <w:spacing w:line="360" w:lineRule="auto"/>
        <w:ind w:firstLine="1200" w:firstLineChars="500"/>
        <w:rPr>
          <w:rFonts w:ascii="Times New Roman" w:hAnsi="Times New Roman" w:eastAsiaTheme="minorEastAsia"/>
          <w:sz w:val="24"/>
          <w:szCs w:val="24"/>
        </w:rPr>
      </w:pPr>
      <w:r>
        <w:rPr>
          <w:rFonts w:ascii="Times New Roman" w:hAnsi="Times New Roman" w:eastAsiaTheme="minorEastAsia"/>
          <w:sz w:val="24"/>
          <w:szCs w:val="24"/>
        </w:rPr>
        <w:t>V</w:t>
      </w:r>
      <w:r>
        <w:rPr>
          <w:rFonts w:ascii="Times New Roman" w:hAnsi="Times New Roman" w:eastAsiaTheme="minorEastAsia"/>
          <w:sz w:val="24"/>
          <w:szCs w:val="24"/>
          <w:vertAlign w:val="subscript"/>
        </w:rPr>
        <w:t>流</w:t>
      </w:r>
      <w:r>
        <w:rPr>
          <w:rFonts w:ascii="Times New Roman" w:hAnsi="Times New Roman" w:eastAsiaTheme="minorEastAsia"/>
          <w:sz w:val="24"/>
          <w:szCs w:val="24"/>
        </w:rPr>
        <w:t>——为水流速度。</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如果发生泄漏事故，风向因素对不溶于水的在水面漂浮的污染物的移动影响较大。如果风向为朝岸风，则对岸边的生物有影响；如果为离岸风，则对岸边环境保护目标的影响较小。</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3、预测工况</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溢油形式按突发性瞬间点源考虑。油膜漂移速度与江水流速、风向有关，为能够及时对环境保护目标采取措施，本次根据所在江段的流向，确定丰水期流速约2.0m/s，风向WSW、风速2.3m/s（取值于1993~2012年5~9月份最大统计风速）作为预测条件进行油膜漂移计算。</w:t>
      </w:r>
    </w:p>
    <w:p>
      <w:pPr>
        <w:adjustRightInd w:val="0"/>
        <w:snapToGrid w:val="0"/>
        <w:spacing w:line="360" w:lineRule="auto"/>
        <w:ind w:firstLine="482" w:firstLineChars="200"/>
        <w:rPr>
          <w:rFonts w:ascii="Times New Roman" w:hAnsi="Times New Roman" w:eastAsiaTheme="minorEastAsia"/>
          <w:b/>
          <w:color w:val="FF0000"/>
          <w:sz w:val="24"/>
          <w:szCs w:val="24"/>
          <w:u w:val="single"/>
        </w:rPr>
      </w:pPr>
      <w:r>
        <w:rPr>
          <w:rFonts w:ascii="Times New Roman" w:hAnsi="Times New Roman" w:eastAsiaTheme="minorEastAsia"/>
          <w:b/>
          <w:color w:val="FF0000"/>
          <w:sz w:val="24"/>
          <w:szCs w:val="24"/>
          <w:u w:val="single"/>
        </w:rPr>
        <w:t>4、预测结果</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溢油事故油膜扩延预测结果以及特征分别见表6.7-12~13。</w:t>
      </w:r>
    </w:p>
    <w:p>
      <w:pPr>
        <w:adjustRightInd w:val="0"/>
        <w:snapToGrid w:val="0"/>
        <w:spacing w:line="276" w:lineRule="auto"/>
        <w:jc w:val="center"/>
        <w:rPr>
          <w:rFonts w:ascii="Times New Roman" w:hAnsi="Times New Roman" w:eastAsiaTheme="minorEastAsia"/>
          <w:b/>
          <w:color w:val="FF0000"/>
          <w:sz w:val="24"/>
          <w:szCs w:val="24"/>
          <w:u w:val="single"/>
        </w:rPr>
      </w:pPr>
      <w:r>
        <w:rPr>
          <w:rFonts w:ascii="Times New Roman" w:hAnsi="Times New Roman" w:eastAsiaTheme="minorEastAsia"/>
          <w:b/>
          <w:color w:val="FF0000"/>
          <w:sz w:val="24"/>
          <w:szCs w:val="24"/>
          <w:u w:val="single"/>
        </w:rPr>
        <w:t>表6.7-12  柴油泄漏事故油膜顺水方向扩延预测结果表</w:t>
      </w:r>
    </w:p>
    <w:tbl>
      <w:tblPr>
        <w:tblStyle w:val="71"/>
        <w:tblW w:w="910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933"/>
        <w:gridCol w:w="1718"/>
        <w:gridCol w:w="1805"/>
        <w:gridCol w:w="1933"/>
        <w:gridCol w:w="17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blHeader/>
        </w:trPr>
        <w:tc>
          <w:tcPr>
            <w:tcW w:w="1933" w:type="dxa"/>
            <w:shd w:val="clear" w:color="auto" w:fill="auto"/>
            <w:vAlign w:val="center"/>
          </w:tcPr>
          <w:p>
            <w:pPr>
              <w:adjustRightInd w:val="0"/>
              <w:snapToGrid w:val="0"/>
              <w:jc w:val="center"/>
              <w:rPr>
                <w:rFonts w:ascii="Times New Roman" w:hAnsi="Times New Roman" w:eastAsiaTheme="minorEastAsia"/>
                <w:b/>
                <w:color w:val="FF0000"/>
                <w:u w:val="single"/>
              </w:rPr>
            </w:pPr>
            <w:r>
              <w:rPr>
                <w:rFonts w:ascii="Times New Roman" w:hAnsi="Times New Roman" w:eastAsiaTheme="minorEastAsia"/>
                <w:b/>
                <w:color w:val="FF0000"/>
                <w:u w:val="single"/>
              </w:rPr>
              <w:t>时间（min）</w:t>
            </w:r>
          </w:p>
        </w:tc>
        <w:tc>
          <w:tcPr>
            <w:tcW w:w="1718" w:type="dxa"/>
            <w:shd w:val="clear" w:color="auto" w:fill="auto"/>
            <w:vAlign w:val="center"/>
          </w:tcPr>
          <w:p>
            <w:pPr>
              <w:adjustRightInd w:val="0"/>
              <w:snapToGrid w:val="0"/>
              <w:jc w:val="center"/>
              <w:rPr>
                <w:rFonts w:ascii="Times New Roman" w:hAnsi="Times New Roman" w:eastAsiaTheme="minorEastAsia"/>
                <w:b/>
                <w:color w:val="FF0000"/>
                <w:u w:val="single"/>
              </w:rPr>
            </w:pPr>
            <w:r>
              <w:rPr>
                <w:rFonts w:ascii="Times New Roman" w:hAnsi="Times New Roman" w:eastAsiaTheme="minorEastAsia"/>
                <w:b/>
                <w:color w:val="FF0000"/>
                <w:u w:val="single"/>
              </w:rPr>
              <w:t>直径（m）</w:t>
            </w:r>
          </w:p>
        </w:tc>
        <w:tc>
          <w:tcPr>
            <w:tcW w:w="1805" w:type="dxa"/>
            <w:shd w:val="clear" w:color="auto" w:fill="auto"/>
            <w:vAlign w:val="center"/>
          </w:tcPr>
          <w:p>
            <w:pPr>
              <w:adjustRightInd w:val="0"/>
              <w:snapToGrid w:val="0"/>
              <w:jc w:val="center"/>
              <w:rPr>
                <w:rFonts w:ascii="Times New Roman" w:hAnsi="Times New Roman" w:eastAsiaTheme="minorEastAsia"/>
                <w:b/>
                <w:color w:val="FF0000"/>
                <w:u w:val="single"/>
              </w:rPr>
            </w:pPr>
            <w:r>
              <w:rPr>
                <w:rFonts w:ascii="Times New Roman" w:hAnsi="Times New Roman" w:eastAsiaTheme="minorEastAsia"/>
                <w:b/>
                <w:color w:val="FF0000"/>
                <w:u w:val="single"/>
              </w:rPr>
              <w:t>面积（m</w:t>
            </w:r>
            <w:r>
              <w:rPr>
                <w:rFonts w:ascii="Times New Roman" w:hAnsi="Times New Roman" w:eastAsiaTheme="minorEastAsia"/>
                <w:b/>
                <w:color w:val="FF0000"/>
                <w:u w:val="single"/>
                <w:vertAlign w:val="superscript"/>
              </w:rPr>
              <w:t>2</w:t>
            </w:r>
            <w:r>
              <w:rPr>
                <w:rFonts w:ascii="Times New Roman" w:hAnsi="Times New Roman" w:eastAsiaTheme="minorEastAsia"/>
                <w:b/>
                <w:color w:val="FF0000"/>
                <w:u w:val="single"/>
              </w:rPr>
              <w:t>）</w:t>
            </w:r>
          </w:p>
        </w:tc>
        <w:tc>
          <w:tcPr>
            <w:tcW w:w="1933" w:type="dxa"/>
            <w:shd w:val="clear" w:color="auto" w:fill="auto"/>
            <w:vAlign w:val="center"/>
          </w:tcPr>
          <w:p>
            <w:pPr>
              <w:adjustRightInd w:val="0"/>
              <w:snapToGrid w:val="0"/>
              <w:jc w:val="center"/>
              <w:rPr>
                <w:rFonts w:ascii="Times New Roman" w:hAnsi="Times New Roman" w:eastAsiaTheme="minorEastAsia"/>
                <w:b/>
                <w:color w:val="FF0000"/>
                <w:u w:val="single"/>
              </w:rPr>
            </w:pPr>
            <w:r>
              <w:rPr>
                <w:rFonts w:ascii="Times New Roman" w:hAnsi="Times New Roman" w:eastAsiaTheme="minorEastAsia"/>
                <w:b/>
                <w:color w:val="FF0000"/>
                <w:u w:val="single"/>
              </w:rPr>
              <w:t>厚度（mm）</w:t>
            </w:r>
          </w:p>
        </w:tc>
        <w:tc>
          <w:tcPr>
            <w:tcW w:w="1711" w:type="dxa"/>
            <w:shd w:val="clear" w:color="auto" w:fill="auto"/>
            <w:vAlign w:val="center"/>
          </w:tcPr>
          <w:p>
            <w:pPr>
              <w:adjustRightInd w:val="0"/>
              <w:snapToGrid w:val="0"/>
              <w:jc w:val="center"/>
              <w:rPr>
                <w:rFonts w:ascii="Times New Roman" w:hAnsi="Times New Roman" w:eastAsiaTheme="minorEastAsia"/>
                <w:b/>
                <w:color w:val="FF0000"/>
                <w:u w:val="single"/>
              </w:rPr>
            </w:pPr>
            <w:r>
              <w:rPr>
                <w:rFonts w:ascii="Times New Roman" w:hAnsi="Times New Roman" w:eastAsiaTheme="minorEastAsia"/>
                <w:b/>
                <w:color w:val="FF0000"/>
                <w:u w:val="single"/>
              </w:rPr>
              <w:t>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1</w:t>
            </w:r>
          </w:p>
        </w:tc>
        <w:tc>
          <w:tcPr>
            <w:tcW w:w="1718" w:type="dxa"/>
            <w:shd w:val="clear" w:color="auto" w:fill="auto"/>
            <w:noWrap/>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36</w:t>
            </w:r>
          </w:p>
        </w:tc>
        <w:tc>
          <w:tcPr>
            <w:tcW w:w="1805"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1004</w:t>
            </w:r>
          </w:p>
        </w:tc>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10.68</w:t>
            </w:r>
          </w:p>
        </w:tc>
        <w:tc>
          <w:tcPr>
            <w:tcW w:w="1711"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5</w:t>
            </w:r>
          </w:p>
        </w:tc>
        <w:tc>
          <w:tcPr>
            <w:tcW w:w="1718" w:type="dxa"/>
            <w:shd w:val="clear" w:color="auto" w:fill="auto"/>
            <w:noWrap/>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80</w:t>
            </w:r>
          </w:p>
        </w:tc>
        <w:tc>
          <w:tcPr>
            <w:tcW w:w="1805"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5018</w:t>
            </w:r>
          </w:p>
        </w:tc>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2.14</w:t>
            </w:r>
          </w:p>
        </w:tc>
        <w:tc>
          <w:tcPr>
            <w:tcW w:w="1711"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624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10</w:t>
            </w:r>
          </w:p>
        </w:tc>
        <w:tc>
          <w:tcPr>
            <w:tcW w:w="1718" w:type="dxa"/>
            <w:shd w:val="clear" w:color="auto" w:fill="auto"/>
            <w:noWrap/>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108</w:t>
            </w:r>
          </w:p>
        </w:tc>
        <w:tc>
          <w:tcPr>
            <w:tcW w:w="1805"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9125</w:t>
            </w:r>
          </w:p>
        </w:tc>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1.17</w:t>
            </w:r>
          </w:p>
        </w:tc>
        <w:tc>
          <w:tcPr>
            <w:tcW w:w="1711"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1248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15</w:t>
            </w:r>
          </w:p>
        </w:tc>
        <w:tc>
          <w:tcPr>
            <w:tcW w:w="1718"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119</w:t>
            </w:r>
          </w:p>
        </w:tc>
        <w:tc>
          <w:tcPr>
            <w:tcW w:w="1805"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11175</w:t>
            </w:r>
          </w:p>
        </w:tc>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0.96</w:t>
            </w:r>
          </w:p>
        </w:tc>
        <w:tc>
          <w:tcPr>
            <w:tcW w:w="1711"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1872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20</w:t>
            </w:r>
          </w:p>
        </w:tc>
        <w:tc>
          <w:tcPr>
            <w:tcW w:w="1718" w:type="dxa"/>
            <w:shd w:val="clear" w:color="auto" w:fill="auto"/>
            <w:noWrap/>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136.8</w:t>
            </w:r>
          </w:p>
        </w:tc>
        <w:tc>
          <w:tcPr>
            <w:tcW w:w="1805"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14690</w:t>
            </w:r>
          </w:p>
        </w:tc>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0.73</w:t>
            </w:r>
          </w:p>
        </w:tc>
        <w:tc>
          <w:tcPr>
            <w:tcW w:w="1711"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2497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30</w:t>
            </w:r>
          </w:p>
        </w:tc>
        <w:tc>
          <w:tcPr>
            <w:tcW w:w="1718" w:type="dxa"/>
            <w:shd w:val="clear" w:color="auto" w:fill="auto"/>
            <w:noWrap/>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185.4</w:t>
            </w:r>
          </w:p>
        </w:tc>
        <w:tc>
          <w:tcPr>
            <w:tcW w:w="1805"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26987</w:t>
            </w:r>
          </w:p>
        </w:tc>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0.40</w:t>
            </w:r>
          </w:p>
        </w:tc>
        <w:tc>
          <w:tcPr>
            <w:tcW w:w="1711"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3745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40</w:t>
            </w:r>
          </w:p>
        </w:tc>
        <w:tc>
          <w:tcPr>
            <w:tcW w:w="1718" w:type="dxa"/>
            <w:shd w:val="clear" w:color="auto" w:fill="auto"/>
            <w:noWrap/>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230.1</w:t>
            </w:r>
          </w:p>
        </w:tc>
        <w:tc>
          <w:tcPr>
            <w:tcW w:w="1805"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41549</w:t>
            </w:r>
          </w:p>
        </w:tc>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0.26</w:t>
            </w:r>
          </w:p>
        </w:tc>
        <w:tc>
          <w:tcPr>
            <w:tcW w:w="1711"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4993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50</w:t>
            </w:r>
          </w:p>
        </w:tc>
        <w:tc>
          <w:tcPr>
            <w:tcW w:w="1718" w:type="dxa"/>
            <w:shd w:val="clear" w:color="auto" w:fill="auto"/>
            <w:noWrap/>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272.0</w:t>
            </w:r>
          </w:p>
        </w:tc>
        <w:tc>
          <w:tcPr>
            <w:tcW w:w="1805"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58067</w:t>
            </w:r>
          </w:p>
        </w:tc>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0.18</w:t>
            </w:r>
          </w:p>
        </w:tc>
        <w:tc>
          <w:tcPr>
            <w:tcW w:w="1711"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6242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60</w:t>
            </w:r>
          </w:p>
        </w:tc>
        <w:tc>
          <w:tcPr>
            <w:tcW w:w="1718" w:type="dxa"/>
            <w:shd w:val="clear" w:color="auto" w:fill="auto"/>
            <w:noWrap/>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311.8</w:t>
            </w:r>
          </w:p>
        </w:tc>
        <w:tc>
          <w:tcPr>
            <w:tcW w:w="1805"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76331</w:t>
            </w:r>
          </w:p>
        </w:tc>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0.14</w:t>
            </w:r>
          </w:p>
        </w:tc>
        <w:tc>
          <w:tcPr>
            <w:tcW w:w="1711"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7490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70</w:t>
            </w:r>
          </w:p>
        </w:tc>
        <w:tc>
          <w:tcPr>
            <w:tcW w:w="1718" w:type="dxa"/>
            <w:shd w:val="clear" w:color="auto" w:fill="auto"/>
            <w:noWrap/>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350.0</w:t>
            </w:r>
          </w:p>
        </w:tc>
        <w:tc>
          <w:tcPr>
            <w:tcW w:w="1805"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96188</w:t>
            </w:r>
          </w:p>
        </w:tc>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0.11</w:t>
            </w:r>
          </w:p>
        </w:tc>
        <w:tc>
          <w:tcPr>
            <w:tcW w:w="1711"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8738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80</w:t>
            </w:r>
          </w:p>
        </w:tc>
        <w:tc>
          <w:tcPr>
            <w:tcW w:w="1718" w:type="dxa"/>
            <w:shd w:val="clear" w:color="auto" w:fill="auto"/>
            <w:noWrap/>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386.9</w:t>
            </w:r>
          </w:p>
        </w:tc>
        <w:tc>
          <w:tcPr>
            <w:tcW w:w="1805"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117520</w:t>
            </w:r>
          </w:p>
        </w:tc>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0.09</w:t>
            </w:r>
          </w:p>
        </w:tc>
        <w:tc>
          <w:tcPr>
            <w:tcW w:w="1711"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9986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90</w:t>
            </w:r>
          </w:p>
        </w:tc>
        <w:tc>
          <w:tcPr>
            <w:tcW w:w="1718" w:type="dxa"/>
            <w:shd w:val="clear" w:color="auto" w:fill="auto"/>
            <w:noWrap/>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422.7</w:t>
            </w:r>
          </w:p>
        </w:tc>
        <w:tc>
          <w:tcPr>
            <w:tcW w:w="1805"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140229</w:t>
            </w:r>
          </w:p>
        </w:tc>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0.08</w:t>
            </w:r>
          </w:p>
        </w:tc>
        <w:tc>
          <w:tcPr>
            <w:tcW w:w="1711"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11235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120</w:t>
            </w:r>
          </w:p>
        </w:tc>
        <w:tc>
          <w:tcPr>
            <w:tcW w:w="1718" w:type="dxa"/>
            <w:shd w:val="clear" w:color="auto" w:fill="auto"/>
            <w:noWrap/>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524.4</w:t>
            </w:r>
          </w:p>
        </w:tc>
        <w:tc>
          <w:tcPr>
            <w:tcW w:w="1805"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215897</w:t>
            </w:r>
          </w:p>
        </w:tc>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0.05</w:t>
            </w:r>
          </w:p>
        </w:tc>
        <w:tc>
          <w:tcPr>
            <w:tcW w:w="1711"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14980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150</w:t>
            </w:r>
          </w:p>
        </w:tc>
        <w:tc>
          <w:tcPr>
            <w:tcW w:w="1718" w:type="dxa"/>
            <w:shd w:val="clear" w:color="auto" w:fill="auto"/>
            <w:noWrap/>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620.0</w:t>
            </w:r>
          </w:p>
        </w:tc>
        <w:tc>
          <w:tcPr>
            <w:tcW w:w="1805"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301726</w:t>
            </w:r>
          </w:p>
        </w:tc>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0.04</w:t>
            </w:r>
          </w:p>
        </w:tc>
        <w:tc>
          <w:tcPr>
            <w:tcW w:w="1711"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18725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180</w:t>
            </w:r>
          </w:p>
        </w:tc>
        <w:tc>
          <w:tcPr>
            <w:tcW w:w="1718" w:type="dxa"/>
            <w:shd w:val="clear" w:color="auto" w:fill="auto"/>
            <w:noWrap/>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710.8</w:t>
            </w:r>
          </w:p>
        </w:tc>
        <w:tc>
          <w:tcPr>
            <w:tcW w:w="1805"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396629</w:t>
            </w:r>
          </w:p>
        </w:tc>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0.03</w:t>
            </w:r>
          </w:p>
        </w:tc>
        <w:tc>
          <w:tcPr>
            <w:tcW w:w="1711"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22469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210</w:t>
            </w:r>
          </w:p>
        </w:tc>
        <w:tc>
          <w:tcPr>
            <w:tcW w:w="1718" w:type="dxa"/>
            <w:shd w:val="clear" w:color="auto" w:fill="auto"/>
            <w:noWrap/>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797.9</w:t>
            </w:r>
          </w:p>
        </w:tc>
        <w:tc>
          <w:tcPr>
            <w:tcW w:w="1805"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499809</w:t>
            </w:r>
          </w:p>
        </w:tc>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0.02</w:t>
            </w:r>
          </w:p>
        </w:tc>
        <w:tc>
          <w:tcPr>
            <w:tcW w:w="1711"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26214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235</w:t>
            </w:r>
          </w:p>
        </w:tc>
        <w:tc>
          <w:tcPr>
            <w:tcW w:w="1718" w:type="dxa"/>
            <w:shd w:val="clear" w:color="auto" w:fill="auto"/>
            <w:noWrap/>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868.2</w:t>
            </w:r>
          </w:p>
        </w:tc>
        <w:tc>
          <w:tcPr>
            <w:tcW w:w="1805"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591667</w:t>
            </w:r>
          </w:p>
        </w:tc>
        <w:tc>
          <w:tcPr>
            <w:tcW w:w="1933"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0.02</w:t>
            </w:r>
          </w:p>
        </w:tc>
        <w:tc>
          <w:tcPr>
            <w:tcW w:w="1711" w:type="dxa"/>
            <w:shd w:val="clear" w:color="auto" w:fill="auto"/>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29335</w:t>
            </w:r>
          </w:p>
        </w:tc>
      </w:tr>
    </w:tbl>
    <w:p>
      <w:pPr>
        <w:adjustRightInd w:val="0"/>
        <w:snapToGrid w:val="0"/>
        <w:spacing w:line="276" w:lineRule="auto"/>
        <w:rPr>
          <w:rFonts w:ascii="Times New Roman" w:hAnsi="Times New Roman" w:eastAsiaTheme="minorEastAsia"/>
          <w:b/>
          <w:color w:val="FF0000"/>
          <w:sz w:val="24"/>
          <w:szCs w:val="24"/>
          <w:u w:val="single"/>
        </w:rPr>
      </w:pPr>
    </w:p>
    <w:p>
      <w:pPr>
        <w:adjustRightInd w:val="0"/>
        <w:snapToGrid w:val="0"/>
        <w:spacing w:line="276" w:lineRule="auto"/>
        <w:jc w:val="center"/>
        <w:rPr>
          <w:rFonts w:ascii="Times New Roman" w:hAnsi="Times New Roman" w:eastAsiaTheme="minorEastAsia"/>
          <w:b/>
          <w:color w:val="FF0000"/>
          <w:sz w:val="24"/>
          <w:szCs w:val="24"/>
          <w:u w:val="single"/>
        </w:rPr>
      </w:pPr>
      <w:r>
        <w:rPr>
          <w:rFonts w:ascii="Times New Roman" w:hAnsi="Times New Roman" w:eastAsiaTheme="minorEastAsia"/>
          <w:b/>
          <w:color w:val="FF0000"/>
          <w:sz w:val="24"/>
          <w:szCs w:val="24"/>
          <w:u w:val="single"/>
        </w:rPr>
        <w:t>表6.7-13  柴油泄漏事故油膜顺水方向扩延特征值</w:t>
      </w:r>
    </w:p>
    <w:tbl>
      <w:tblPr>
        <w:tblStyle w:val="71"/>
        <w:tblW w:w="90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4520"/>
        <w:gridCol w:w="45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520" w:type="dxa"/>
            <w:tcBorders>
              <w:top w:val="single" w:color="auto" w:sz="12" w:space="0"/>
              <w:bottom w:val="single" w:color="auto" w:sz="4" w:space="0"/>
              <w:right w:val="single" w:color="auto" w:sz="4" w:space="0"/>
              <w:tl2br w:val="single" w:color="auto" w:sz="4" w:space="0"/>
            </w:tcBorders>
            <w:shd w:val="clear" w:color="auto" w:fill="auto"/>
            <w:vAlign w:val="center"/>
          </w:tcPr>
          <w:p>
            <w:pPr>
              <w:jc w:val="right"/>
              <w:rPr>
                <w:rFonts w:ascii="Times New Roman" w:hAnsi="Times New Roman" w:eastAsiaTheme="minorEastAsia"/>
                <w:b/>
                <w:color w:val="FF0000"/>
                <w:u w:val="single"/>
              </w:rPr>
            </w:pPr>
            <w:r>
              <w:rPr>
                <w:rFonts w:ascii="Times New Roman" w:hAnsi="Times New Roman" w:eastAsiaTheme="minorEastAsia"/>
                <w:b/>
                <w:color w:val="FF0000"/>
                <w:u w:val="single"/>
              </w:rPr>
              <w:t>污染物</w:t>
            </w:r>
          </w:p>
          <w:p>
            <w:pPr>
              <w:rPr>
                <w:rFonts w:ascii="Times New Roman" w:hAnsi="Times New Roman" w:eastAsiaTheme="minorEastAsia"/>
                <w:b/>
                <w:color w:val="FF0000"/>
                <w:u w:val="single"/>
              </w:rPr>
            </w:pPr>
            <w:r>
              <w:rPr>
                <w:rFonts w:ascii="Times New Roman" w:hAnsi="Times New Roman" w:eastAsiaTheme="minorEastAsia"/>
                <w:b/>
                <w:color w:val="FF0000"/>
                <w:u w:val="single"/>
              </w:rPr>
              <w:t>特征值</w:t>
            </w:r>
          </w:p>
        </w:tc>
        <w:tc>
          <w:tcPr>
            <w:tcW w:w="4565" w:type="dxa"/>
            <w:tcBorders>
              <w:top w:val="single" w:color="auto" w:sz="12" w:space="0"/>
              <w:left w:val="single" w:color="auto" w:sz="4" w:space="0"/>
              <w:bottom w:val="single" w:color="auto" w:sz="4" w:space="0"/>
            </w:tcBorders>
            <w:shd w:val="clear" w:color="auto" w:fill="auto"/>
            <w:vAlign w:val="center"/>
          </w:tcPr>
          <w:p>
            <w:pPr>
              <w:jc w:val="center"/>
              <w:rPr>
                <w:rFonts w:ascii="Times New Roman" w:hAnsi="Times New Roman" w:eastAsiaTheme="minorEastAsia"/>
                <w:b/>
                <w:color w:val="FF0000"/>
                <w:u w:val="single"/>
              </w:rPr>
            </w:pPr>
            <w:r>
              <w:rPr>
                <w:rFonts w:ascii="Times New Roman" w:hAnsi="Times New Roman" w:eastAsiaTheme="minorEastAsia"/>
                <w:b/>
                <w:color w:val="FF0000"/>
                <w:u w:val="single"/>
              </w:rPr>
              <w:t>柴油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atLeast"/>
        </w:trPr>
        <w:tc>
          <w:tcPr>
            <w:tcW w:w="4520" w:type="dxa"/>
            <w:tcBorders>
              <w:top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Theme="minorEastAsia"/>
                <w:color w:val="FF0000"/>
                <w:u w:val="single"/>
                <w:lang w:eastAsia="zh-CN"/>
              </w:rPr>
            </w:pPr>
            <w:r>
              <w:rPr>
                <w:rFonts w:ascii="Times New Roman" w:hAnsi="Times New Roman" w:eastAsiaTheme="minorEastAsia"/>
                <w:color w:val="FF0000"/>
                <w:u w:val="single"/>
              </w:rPr>
              <w:t>惯性扩展阶段</w:t>
            </w:r>
            <w:r>
              <w:rPr>
                <w:rFonts w:hint="eastAsia" w:ascii="Times New Roman" w:hAnsi="Times New Roman" w:eastAsiaTheme="minorEastAsia"/>
                <w:color w:val="FF0000"/>
                <w:u w:val="single"/>
                <w:lang w:eastAsia="zh-CN"/>
              </w:rPr>
              <w:t>（</w:t>
            </w:r>
            <w:r>
              <w:rPr>
                <w:rFonts w:ascii="Times New Roman" w:hAnsi="Times New Roman" w:eastAsiaTheme="minorEastAsia"/>
                <w:color w:val="FF0000"/>
                <w:u w:val="single"/>
              </w:rPr>
              <w:t>s</w:t>
            </w:r>
            <w:r>
              <w:rPr>
                <w:rFonts w:hint="eastAsia" w:ascii="Times New Roman" w:hAnsi="Times New Roman" w:eastAsiaTheme="minorEastAsia"/>
                <w:color w:val="FF0000"/>
                <w:u w:val="single"/>
                <w:lang w:eastAsia="zh-CN"/>
              </w:rPr>
              <w:t>）</w:t>
            </w:r>
          </w:p>
        </w:tc>
        <w:tc>
          <w:tcPr>
            <w:tcW w:w="4565" w:type="dxa"/>
            <w:tcBorders>
              <w:top w:val="single" w:color="auto" w:sz="4" w:space="0"/>
              <w:left w:val="single" w:color="auto" w:sz="4" w:space="0"/>
              <w:bottom w:val="single" w:color="auto" w:sz="4" w:space="0"/>
            </w:tcBorders>
            <w:shd w:val="clear" w:color="auto" w:fill="auto"/>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0~496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atLeast"/>
        </w:trPr>
        <w:tc>
          <w:tcPr>
            <w:tcW w:w="4520" w:type="dxa"/>
            <w:tcBorders>
              <w:top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粘性扩展阶段</w:t>
            </w:r>
            <w:r>
              <w:rPr>
                <w:rFonts w:hint="eastAsia" w:ascii="Times New Roman" w:hAnsi="Times New Roman" w:eastAsiaTheme="minorEastAsia"/>
                <w:color w:val="FF0000"/>
                <w:u w:val="single"/>
                <w:lang w:eastAsia="zh-CN"/>
              </w:rPr>
              <w:t>（</w:t>
            </w:r>
            <w:r>
              <w:rPr>
                <w:rFonts w:ascii="Times New Roman" w:hAnsi="Times New Roman" w:eastAsiaTheme="minorEastAsia"/>
                <w:color w:val="FF0000"/>
                <w:u w:val="single"/>
              </w:rPr>
              <w:t>s</w:t>
            </w:r>
            <w:r>
              <w:rPr>
                <w:rFonts w:hint="eastAsia" w:ascii="Times New Roman" w:hAnsi="Times New Roman" w:eastAsiaTheme="minorEastAsia"/>
                <w:color w:val="FF0000"/>
                <w:u w:val="single"/>
                <w:lang w:eastAsia="zh-CN"/>
              </w:rPr>
              <w:t>）</w:t>
            </w:r>
          </w:p>
        </w:tc>
        <w:tc>
          <w:tcPr>
            <w:tcW w:w="4565" w:type="dxa"/>
            <w:tcBorders>
              <w:top w:val="single" w:color="auto" w:sz="4" w:space="0"/>
              <w:left w:val="single" w:color="auto" w:sz="4" w:space="0"/>
              <w:bottom w:val="single" w:color="auto" w:sz="4" w:space="0"/>
            </w:tcBorders>
            <w:shd w:val="clear" w:color="auto" w:fill="auto"/>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496~1054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atLeast"/>
        </w:trPr>
        <w:tc>
          <w:tcPr>
            <w:tcW w:w="4520" w:type="dxa"/>
            <w:tcBorders>
              <w:top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表面张力扩展阶段</w:t>
            </w:r>
            <w:r>
              <w:rPr>
                <w:rFonts w:hint="eastAsia" w:ascii="Times New Roman" w:hAnsi="Times New Roman" w:eastAsiaTheme="minorEastAsia"/>
                <w:color w:val="FF0000"/>
                <w:u w:val="single"/>
                <w:lang w:eastAsia="zh-CN"/>
              </w:rPr>
              <w:t>（</w:t>
            </w:r>
            <w:r>
              <w:rPr>
                <w:rFonts w:ascii="Times New Roman" w:hAnsi="Times New Roman" w:eastAsiaTheme="minorEastAsia"/>
                <w:color w:val="FF0000"/>
                <w:u w:val="single"/>
              </w:rPr>
              <w:t>s</w:t>
            </w:r>
            <w:r>
              <w:rPr>
                <w:rFonts w:hint="eastAsia" w:ascii="Times New Roman" w:hAnsi="Times New Roman" w:eastAsiaTheme="minorEastAsia"/>
                <w:color w:val="FF0000"/>
                <w:u w:val="single"/>
                <w:lang w:eastAsia="zh-CN"/>
              </w:rPr>
              <w:t>）</w:t>
            </w:r>
          </w:p>
        </w:tc>
        <w:tc>
          <w:tcPr>
            <w:tcW w:w="4565" w:type="dxa"/>
            <w:tcBorders>
              <w:top w:val="single" w:color="auto" w:sz="4" w:space="0"/>
              <w:left w:val="single" w:color="auto" w:sz="4" w:space="0"/>
              <w:bottom w:val="single" w:color="auto" w:sz="4" w:space="0"/>
            </w:tcBorders>
            <w:shd w:val="clear" w:color="auto" w:fill="auto"/>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1054~14102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atLeast"/>
        </w:trPr>
        <w:tc>
          <w:tcPr>
            <w:tcW w:w="4520" w:type="dxa"/>
            <w:tcBorders>
              <w:top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10分钟等效圆直径（m）</w:t>
            </w:r>
          </w:p>
        </w:tc>
        <w:tc>
          <w:tcPr>
            <w:tcW w:w="4565" w:type="dxa"/>
            <w:tcBorders>
              <w:top w:val="single" w:color="auto" w:sz="4" w:space="0"/>
              <w:left w:val="single" w:color="auto" w:sz="4" w:space="0"/>
              <w:bottom w:val="single" w:color="auto" w:sz="4" w:space="0"/>
            </w:tcBorders>
            <w:shd w:val="clear" w:color="auto" w:fill="auto"/>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107.8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atLeast"/>
        </w:trPr>
        <w:tc>
          <w:tcPr>
            <w:tcW w:w="4520" w:type="dxa"/>
            <w:tcBorders>
              <w:top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10分钟厚度</w:t>
            </w:r>
            <w:r>
              <w:rPr>
                <w:rFonts w:hint="eastAsia" w:ascii="Times New Roman" w:hAnsi="Times New Roman" w:eastAsiaTheme="minorEastAsia"/>
                <w:color w:val="FF0000"/>
                <w:u w:val="single"/>
                <w:lang w:eastAsia="zh-CN"/>
              </w:rPr>
              <w:t>（</w:t>
            </w:r>
            <w:r>
              <w:rPr>
                <w:rFonts w:ascii="Times New Roman" w:hAnsi="Times New Roman" w:eastAsiaTheme="minorEastAsia"/>
                <w:color w:val="FF0000"/>
                <w:u w:val="single"/>
              </w:rPr>
              <w:t>mm</w:t>
            </w:r>
            <w:r>
              <w:rPr>
                <w:rFonts w:hint="eastAsia" w:ascii="Times New Roman" w:hAnsi="Times New Roman" w:eastAsiaTheme="minorEastAsia"/>
                <w:color w:val="FF0000"/>
                <w:u w:val="single"/>
                <w:lang w:eastAsia="zh-CN"/>
              </w:rPr>
              <w:t>）</w:t>
            </w:r>
          </w:p>
        </w:tc>
        <w:tc>
          <w:tcPr>
            <w:tcW w:w="4565" w:type="dxa"/>
            <w:tcBorders>
              <w:top w:val="single" w:color="auto" w:sz="4" w:space="0"/>
              <w:left w:val="single" w:color="auto" w:sz="4" w:space="0"/>
              <w:bottom w:val="single" w:color="auto" w:sz="4" w:space="0"/>
            </w:tcBorders>
            <w:shd w:val="clear" w:color="auto" w:fill="auto"/>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1.17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atLeast"/>
        </w:trPr>
        <w:tc>
          <w:tcPr>
            <w:tcW w:w="4520" w:type="dxa"/>
            <w:tcBorders>
              <w:top w:val="single" w:color="auto" w:sz="4" w:space="0"/>
              <w:bottom w:val="single" w:color="auto" w:sz="12" w:space="0"/>
              <w:right w:val="single" w:color="auto" w:sz="4" w:space="0"/>
            </w:tcBorders>
            <w:shd w:val="clear" w:color="auto" w:fill="auto"/>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临界厚度</w:t>
            </w:r>
            <w:r>
              <w:rPr>
                <w:rFonts w:hint="eastAsia" w:ascii="Times New Roman" w:hAnsi="Times New Roman" w:eastAsiaTheme="minorEastAsia"/>
                <w:color w:val="FF0000"/>
                <w:u w:val="single"/>
                <w:lang w:eastAsia="zh-CN"/>
              </w:rPr>
              <w:t>（</w:t>
            </w:r>
            <w:r>
              <w:rPr>
                <w:rFonts w:ascii="Times New Roman" w:hAnsi="Times New Roman" w:eastAsiaTheme="minorEastAsia"/>
                <w:color w:val="FF0000"/>
                <w:u w:val="single"/>
              </w:rPr>
              <w:t>mm</w:t>
            </w:r>
            <w:r>
              <w:rPr>
                <w:rFonts w:hint="eastAsia" w:ascii="Times New Roman" w:hAnsi="Times New Roman" w:eastAsiaTheme="minorEastAsia"/>
                <w:color w:val="FF0000"/>
                <w:u w:val="single"/>
                <w:lang w:eastAsia="zh-CN"/>
              </w:rPr>
              <w:t>）</w:t>
            </w:r>
          </w:p>
        </w:tc>
        <w:tc>
          <w:tcPr>
            <w:tcW w:w="4565" w:type="dxa"/>
            <w:tcBorders>
              <w:top w:val="single" w:color="auto" w:sz="4" w:space="0"/>
              <w:left w:val="single" w:color="auto" w:sz="4" w:space="0"/>
              <w:bottom w:val="single" w:color="auto" w:sz="12" w:space="0"/>
            </w:tcBorders>
            <w:shd w:val="clear" w:color="auto" w:fill="auto"/>
            <w:vAlign w:val="center"/>
          </w:tcPr>
          <w:p>
            <w:pPr>
              <w:jc w:val="center"/>
              <w:rPr>
                <w:rFonts w:ascii="Times New Roman" w:hAnsi="Times New Roman" w:eastAsiaTheme="minorEastAsia"/>
                <w:color w:val="FF0000"/>
                <w:u w:val="single"/>
              </w:rPr>
            </w:pPr>
            <w:r>
              <w:rPr>
                <w:rFonts w:ascii="Times New Roman" w:hAnsi="Times New Roman" w:eastAsiaTheme="minorEastAsia"/>
                <w:color w:val="FF0000"/>
                <w:u w:val="single"/>
              </w:rPr>
              <w:t>0.02</w:t>
            </w:r>
          </w:p>
        </w:tc>
      </w:tr>
    </w:tbl>
    <w:p>
      <w:pPr>
        <w:adjustRightInd w:val="0"/>
        <w:snapToGrid w:val="0"/>
        <w:spacing w:line="360" w:lineRule="auto"/>
        <w:ind w:firstLine="480" w:firstLineChars="200"/>
        <w:rPr>
          <w:rFonts w:ascii="Times New Roman" w:hAnsi="Times New Roman" w:eastAsiaTheme="minorEastAsia"/>
          <w:color w:val="FF0000"/>
          <w:sz w:val="24"/>
          <w:szCs w:val="24"/>
          <w:u w:val="single"/>
        </w:rPr>
      </w:pP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对下游取水口的影响预测结果见表6.7-14。</w:t>
      </w:r>
    </w:p>
    <w:p>
      <w:pPr>
        <w:adjustRightInd w:val="0"/>
        <w:snapToGrid w:val="0"/>
        <w:spacing w:line="276" w:lineRule="auto"/>
        <w:jc w:val="center"/>
        <w:rPr>
          <w:rFonts w:ascii="Times New Roman" w:hAnsi="Times New Roman" w:eastAsiaTheme="minorEastAsia"/>
          <w:b/>
          <w:color w:val="FF0000"/>
          <w:sz w:val="24"/>
          <w:szCs w:val="24"/>
          <w:u w:val="single"/>
        </w:rPr>
      </w:pPr>
      <w:r>
        <w:rPr>
          <w:rFonts w:ascii="Times New Roman" w:hAnsi="Times New Roman" w:eastAsiaTheme="minorEastAsia"/>
          <w:b/>
          <w:color w:val="FF0000"/>
          <w:sz w:val="24"/>
          <w:szCs w:val="24"/>
          <w:u w:val="single"/>
        </w:rPr>
        <w:t>表6.7-14  柴油泄漏对水流方向扩延对下游环境保护目标的影响预测结果</w:t>
      </w:r>
    </w:p>
    <w:tbl>
      <w:tblPr>
        <w:tblStyle w:val="71"/>
        <w:tblW w:w="910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221"/>
        <w:gridCol w:w="1709"/>
        <w:gridCol w:w="977"/>
        <w:gridCol w:w="832"/>
        <w:gridCol w:w="1116"/>
        <w:gridCol w:w="12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221" w:type="dxa"/>
            <w:shd w:val="clear" w:color="auto" w:fill="auto"/>
            <w:tcMar>
              <w:left w:w="0" w:type="dxa"/>
              <w:right w:w="0" w:type="dxa"/>
            </w:tcMar>
            <w:vAlign w:val="center"/>
          </w:tcPr>
          <w:p>
            <w:pPr>
              <w:adjustRightInd w:val="0"/>
              <w:snapToGrid w:val="0"/>
              <w:jc w:val="center"/>
              <w:rPr>
                <w:rFonts w:ascii="Times New Roman" w:hAnsi="Times New Roman" w:eastAsiaTheme="minorEastAsia"/>
                <w:b/>
                <w:color w:val="FF0000"/>
                <w:u w:val="single"/>
              </w:rPr>
            </w:pPr>
            <w:r>
              <w:rPr>
                <w:rFonts w:ascii="Times New Roman" w:hAnsi="Times New Roman" w:eastAsiaTheme="minorEastAsia"/>
                <w:b/>
                <w:color w:val="FF0000"/>
                <w:u w:val="single"/>
              </w:rPr>
              <w:t>环境目标名称</w:t>
            </w:r>
          </w:p>
        </w:tc>
        <w:tc>
          <w:tcPr>
            <w:tcW w:w="1709" w:type="dxa"/>
            <w:shd w:val="clear" w:color="auto" w:fill="auto"/>
            <w:tcMar>
              <w:left w:w="0" w:type="dxa"/>
              <w:right w:w="0" w:type="dxa"/>
            </w:tcMar>
            <w:vAlign w:val="center"/>
          </w:tcPr>
          <w:p>
            <w:pPr>
              <w:adjustRightInd w:val="0"/>
              <w:snapToGrid w:val="0"/>
              <w:jc w:val="center"/>
              <w:rPr>
                <w:rFonts w:ascii="Times New Roman" w:hAnsi="Times New Roman" w:eastAsiaTheme="minorEastAsia"/>
                <w:b/>
                <w:color w:val="FF0000"/>
                <w:u w:val="single"/>
              </w:rPr>
            </w:pPr>
            <w:r>
              <w:rPr>
                <w:rFonts w:ascii="Times New Roman" w:hAnsi="Times New Roman" w:eastAsiaTheme="minorEastAsia"/>
                <w:b/>
                <w:color w:val="FF0000"/>
                <w:u w:val="single"/>
              </w:rPr>
              <w:t>溢油点与保护目标的距离（m）</w:t>
            </w:r>
          </w:p>
        </w:tc>
        <w:tc>
          <w:tcPr>
            <w:tcW w:w="977" w:type="dxa"/>
            <w:shd w:val="clear" w:color="auto" w:fill="auto"/>
            <w:tcMar>
              <w:left w:w="0" w:type="dxa"/>
              <w:right w:w="0" w:type="dxa"/>
            </w:tcMar>
            <w:vAlign w:val="center"/>
          </w:tcPr>
          <w:p>
            <w:pPr>
              <w:adjustRightInd w:val="0"/>
              <w:snapToGrid w:val="0"/>
              <w:jc w:val="center"/>
              <w:rPr>
                <w:rFonts w:ascii="Times New Roman" w:hAnsi="Times New Roman" w:eastAsiaTheme="minorEastAsia"/>
                <w:b/>
                <w:color w:val="FF0000"/>
                <w:u w:val="single"/>
              </w:rPr>
            </w:pPr>
            <w:r>
              <w:rPr>
                <w:rFonts w:ascii="Times New Roman" w:hAnsi="Times New Roman" w:eastAsiaTheme="minorEastAsia"/>
                <w:b/>
                <w:color w:val="FF0000"/>
                <w:u w:val="single"/>
              </w:rPr>
              <w:t>时间</w:t>
            </w:r>
            <w:r>
              <w:rPr>
                <w:rFonts w:hint="eastAsia" w:ascii="Times New Roman" w:hAnsi="Times New Roman" w:eastAsiaTheme="minorEastAsia"/>
                <w:b/>
                <w:color w:val="FF0000"/>
                <w:u w:val="single"/>
                <w:lang w:eastAsia="zh-CN"/>
              </w:rPr>
              <w:t>（</w:t>
            </w:r>
            <w:r>
              <w:rPr>
                <w:rFonts w:ascii="Times New Roman" w:hAnsi="Times New Roman" w:eastAsiaTheme="minorEastAsia"/>
                <w:b/>
                <w:color w:val="FF0000"/>
                <w:u w:val="single"/>
              </w:rPr>
              <w:t>min</w:t>
            </w:r>
            <w:r>
              <w:rPr>
                <w:rFonts w:hint="eastAsia" w:ascii="Times New Roman" w:hAnsi="Times New Roman" w:eastAsiaTheme="minorEastAsia"/>
                <w:b/>
                <w:color w:val="FF0000"/>
                <w:u w:val="single"/>
                <w:lang w:eastAsia="zh-CN"/>
              </w:rPr>
              <w:t>）</w:t>
            </w:r>
          </w:p>
        </w:tc>
        <w:tc>
          <w:tcPr>
            <w:tcW w:w="832" w:type="dxa"/>
            <w:shd w:val="clear" w:color="auto" w:fill="auto"/>
            <w:tcMar>
              <w:left w:w="0" w:type="dxa"/>
              <w:right w:w="0" w:type="dxa"/>
            </w:tcMar>
            <w:vAlign w:val="center"/>
          </w:tcPr>
          <w:p>
            <w:pPr>
              <w:adjustRightInd w:val="0"/>
              <w:snapToGrid w:val="0"/>
              <w:jc w:val="center"/>
              <w:rPr>
                <w:rFonts w:ascii="Times New Roman" w:hAnsi="Times New Roman" w:eastAsiaTheme="minorEastAsia"/>
                <w:b/>
                <w:color w:val="FF0000"/>
                <w:u w:val="single"/>
              </w:rPr>
            </w:pPr>
            <w:r>
              <w:rPr>
                <w:rFonts w:ascii="Times New Roman" w:hAnsi="Times New Roman" w:eastAsiaTheme="minorEastAsia"/>
                <w:b/>
                <w:color w:val="FF0000"/>
                <w:u w:val="single"/>
              </w:rPr>
              <w:t>直径</w:t>
            </w:r>
            <w:r>
              <w:rPr>
                <w:rFonts w:hint="eastAsia" w:ascii="Times New Roman" w:hAnsi="Times New Roman" w:eastAsiaTheme="minorEastAsia"/>
                <w:b/>
                <w:color w:val="FF0000"/>
                <w:u w:val="single"/>
                <w:lang w:eastAsia="zh-CN"/>
              </w:rPr>
              <w:t>（</w:t>
            </w:r>
            <w:r>
              <w:rPr>
                <w:rFonts w:ascii="Times New Roman" w:hAnsi="Times New Roman" w:eastAsiaTheme="minorEastAsia"/>
                <w:b/>
                <w:color w:val="FF0000"/>
                <w:u w:val="single"/>
              </w:rPr>
              <w:t>m</w:t>
            </w:r>
            <w:r>
              <w:rPr>
                <w:rFonts w:hint="eastAsia" w:ascii="Times New Roman" w:hAnsi="Times New Roman" w:eastAsiaTheme="minorEastAsia"/>
                <w:b/>
                <w:color w:val="FF0000"/>
                <w:u w:val="single"/>
                <w:lang w:eastAsia="zh-CN"/>
              </w:rPr>
              <w:t>）</w:t>
            </w:r>
          </w:p>
        </w:tc>
        <w:tc>
          <w:tcPr>
            <w:tcW w:w="1116" w:type="dxa"/>
            <w:shd w:val="clear" w:color="auto" w:fill="auto"/>
            <w:tcMar>
              <w:left w:w="0" w:type="dxa"/>
              <w:right w:w="0" w:type="dxa"/>
            </w:tcMar>
            <w:vAlign w:val="center"/>
          </w:tcPr>
          <w:p>
            <w:pPr>
              <w:adjustRightInd w:val="0"/>
              <w:snapToGrid w:val="0"/>
              <w:jc w:val="center"/>
              <w:rPr>
                <w:rFonts w:ascii="Times New Roman" w:hAnsi="Times New Roman" w:eastAsiaTheme="minorEastAsia"/>
                <w:b/>
                <w:color w:val="FF0000"/>
                <w:u w:val="single"/>
              </w:rPr>
            </w:pPr>
            <w:r>
              <w:rPr>
                <w:rFonts w:ascii="Times New Roman" w:hAnsi="Times New Roman" w:eastAsiaTheme="minorEastAsia"/>
                <w:b/>
                <w:color w:val="FF0000"/>
                <w:u w:val="single"/>
              </w:rPr>
              <w:t>面积</w:t>
            </w:r>
            <w:r>
              <w:rPr>
                <w:rFonts w:hint="eastAsia" w:ascii="Times New Roman" w:hAnsi="Times New Roman" w:eastAsiaTheme="minorEastAsia"/>
                <w:b/>
                <w:color w:val="FF0000"/>
                <w:u w:val="single"/>
                <w:lang w:eastAsia="zh-CN"/>
              </w:rPr>
              <w:t>（</w:t>
            </w:r>
            <w:r>
              <w:rPr>
                <w:rFonts w:ascii="Times New Roman" w:hAnsi="Times New Roman" w:eastAsiaTheme="minorEastAsia"/>
                <w:b/>
                <w:color w:val="FF0000"/>
                <w:u w:val="single"/>
              </w:rPr>
              <w:t>m</w:t>
            </w:r>
            <w:r>
              <w:rPr>
                <w:rFonts w:ascii="Times New Roman" w:hAnsi="Times New Roman" w:eastAsiaTheme="minorEastAsia"/>
                <w:b/>
                <w:color w:val="FF0000"/>
                <w:u w:val="single"/>
                <w:vertAlign w:val="superscript"/>
              </w:rPr>
              <w:t>2</w:t>
            </w:r>
            <w:r>
              <w:rPr>
                <w:rFonts w:hint="eastAsia" w:ascii="Times New Roman" w:hAnsi="Times New Roman" w:eastAsiaTheme="minorEastAsia"/>
                <w:b/>
                <w:color w:val="FF0000"/>
                <w:u w:val="single"/>
                <w:lang w:eastAsia="zh-CN"/>
              </w:rPr>
              <w:t>）</w:t>
            </w:r>
          </w:p>
        </w:tc>
        <w:tc>
          <w:tcPr>
            <w:tcW w:w="1245" w:type="dxa"/>
            <w:shd w:val="clear" w:color="auto" w:fill="auto"/>
            <w:tcMar>
              <w:left w:w="0" w:type="dxa"/>
              <w:right w:w="0" w:type="dxa"/>
            </w:tcMar>
            <w:vAlign w:val="center"/>
          </w:tcPr>
          <w:p>
            <w:pPr>
              <w:adjustRightInd w:val="0"/>
              <w:snapToGrid w:val="0"/>
              <w:jc w:val="center"/>
              <w:rPr>
                <w:rFonts w:ascii="Times New Roman" w:hAnsi="Times New Roman" w:eastAsiaTheme="minorEastAsia"/>
                <w:b/>
                <w:color w:val="FF0000"/>
                <w:u w:val="single"/>
              </w:rPr>
            </w:pPr>
            <w:r>
              <w:rPr>
                <w:rFonts w:ascii="Times New Roman" w:hAnsi="Times New Roman" w:eastAsiaTheme="minorEastAsia"/>
                <w:b/>
                <w:color w:val="FF0000"/>
                <w:u w:val="single"/>
              </w:rPr>
              <w:t>厚度</w:t>
            </w:r>
            <w:r>
              <w:rPr>
                <w:rFonts w:hint="eastAsia" w:ascii="Times New Roman" w:hAnsi="Times New Roman" w:eastAsiaTheme="minorEastAsia"/>
                <w:b/>
                <w:color w:val="FF0000"/>
                <w:u w:val="single"/>
                <w:lang w:eastAsia="zh-CN"/>
              </w:rPr>
              <w:t>（</w:t>
            </w:r>
            <w:r>
              <w:rPr>
                <w:rFonts w:ascii="Times New Roman" w:hAnsi="Times New Roman" w:eastAsiaTheme="minorEastAsia"/>
                <w:b/>
                <w:color w:val="FF0000"/>
                <w:u w:val="single"/>
              </w:rPr>
              <w:t>mm</w:t>
            </w:r>
            <w:r>
              <w:rPr>
                <w:rFonts w:hint="eastAsia" w:ascii="Times New Roman" w:hAnsi="Times New Roman" w:eastAsiaTheme="minorEastAsia"/>
                <w:b/>
                <w:color w:val="FF0000"/>
                <w:u w:val="singl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1" w:type="dxa"/>
            <w:shd w:val="clear" w:color="auto" w:fill="auto"/>
            <w:tcMar>
              <w:left w:w="0" w:type="dxa"/>
              <w:right w:w="0" w:type="dxa"/>
            </w:tcMar>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岳阳市云溪区道仁矶水厂长江取水口饮用水水源保护区</w:t>
            </w:r>
          </w:p>
        </w:tc>
        <w:tc>
          <w:tcPr>
            <w:tcW w:w="1709" w:type="dxa"/>
            <w:shd w:val="clear" w:color="auto" w:fill="auto"/>
            <w:tcMar>
              <w:left w:w="0" w:type="dxa"/>
              <w:right w:w="0" w:type="dxa"/>
            </w:tcMar>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6700</w:t>
            </w:r>
          </w:p>
        </w:tc>
        <w:tc>
          <w:tcPr>
            <w:tcW w:w="977" w:type="dxa"/>
            <w:shd w:val="clear" w:color="auto" w:fill="auto"/>
            <w:tcMar>
              <w:left w:w="0" w:type="dxa"/>
              <w:right w:w="0" w:type="dxa"/>
            </w:tcMar>
            <w:vAlign w:val="center"/>
          </w:tcPr>
          <w:p>
            <w:pPr>
              <w:widowControl/>
              <w:jc w:val="center"/>
              <w:textAlignment w:val="center"/>
              <w:rPr>
                <w:rFonts w:ascii="Times New Roman" w:hAnsi="Times New Roman" w:eastAsiaTheme="minorEastAsia"/>
                <w:color w:val="FF0000"/>
                <w:u w:val="single"/>
              </w:rPr>
            </w:pPr>
            <w:r>
              <w:rPr>
                <w:rFonts w:ascii="Times New Roman" w:hAnsi="Times New Roman"/>
                <w:color w:val="FF0000"/>
                <w:kern w:val="0"/>
                <w:u w:val="single"/>
                <w:lang w:bidi="ar"/>
              </w:rPr>
              <w:t>54</w:t>
            </w:r>
          </w:p>
        </w:tc>
        <w:tc>
          <w:tcPr>
            <w:tcW w:w="832" w:type="dxa"/>
            <w:shd w:val="clear" w:color="auto" w:fill="auto"/>
            <w:tcMar>
              <w:left w:w="0" w:type="dxa"/>
              <w:right w:w="0" w:type="dxa"/>
            </w:tcMar>
            <w:vAlign w:val="center"/>
          </w:tcPr>
          <w:p>
            <w:pPr>
              <w:widowControl/>
              <w:jc w:val="center"/>
              <w:textAlignment w:val="center"/>
              <w:rPr>
                <w:rFonts w:ascii="Times New Roman" w:hAnsi="Times New Roman" w:eastAsiaTheme="minorEastAsia"/>
                <w:color w:val="FF0000"/>
                <w:u w:val="single"/>
              </w:rPr>
            </w:pPr>
            <w:r>
              <w:rPr>
                <w:rFonts w:ascii="Times New Roman" w:hAnsi="Times New Roman"/>
                <w:color w:val="FF0000"/>
                <w:kern w:val="0"/>
                <w:u w:val="single"/>
                <w:lang w:bidi="ar"/>
              </w:rPr>
              <w:t>279</w:t>
            </w:r>
          </w:p>
        </w:tc>
        <w:tc>
          <w:tcPr>
            <w:tcW w:w="1116" w:type="dxa"/>
            <w:shd w:val="clear" w:color="auto" w:fill="auto"/>
            <w:tcMar>
              <w:left w:w="0" w:type="dxa"/>
              <w:right w:w="0" w:type="dxa"/>
            </w:tcMar>
            <w:vAlign w:val="center"/>
          </w:tcPr>
          <w:p>
            <w:pPr>
              <w:widowControl/>
              <w:jc w:val="center"/>
              <w:textAlignment w:val="center"/>
              <w:rPr>
                <w:rFonts w:ascii="Times New Roman" w:hAnsi="Times New Roman" w:eastAsiaTheme="minorEastAsia"/>
                <w:color w:val="FF0000"/>
                <w:u w:val="single"/>
              </w:rPr>
            </w:pPr>
            <w:r>
              <w:rPr>
                <w:rFonts w:ascii="Times New Roman" w:hAnsi="Times New Roman"/>
                <w:color w:val="FF0000"/>
                <w:kern w:val="0"/>
                <w:u w:val="single"/>
                <w:lang w:bidi="ar"/>
              </w:rPr>
              <w:t>68280</w:t>
            </w:r>
          </w:p>
        </w:tc>
        <w:tc>
          <w:tcPr>
            <w:tcW w:w="1245" w:type="dxa"/>
            <w:shd w:val="clear" w:color="auto" w:fill="auto"/>
            <w:tcMar>
              <w:left w:w="0" w:type="dxa"/>
              <w:right w:w="0" w:type="dxa"/>
            </w:tcMar>
            <w:vAlign w:val="center"/>
          </w:tcPr>
          <w:p>
            <w:pPr>
              <w:widowControl/>
              <w:jc w:val="center"/>
              <w:textAlignment w:val="center"/>
              <w:rPr>
                <w:rFonts w:ascii="Times New Roman" w:hAnsi="Times New Roman" w:eastAsiaTheme="minorEastAsia"/>
                <w:color w:val="FF0000"/>
                <w:u w:val="single"/>
              </w:rPr>
            </w:pPr>
            <w:r>
              <w:rPr>
                <w:rFonts w:ascii="Times New Roman" w:hAnsi="Times New Roman"/>
                <w:color w:val="FF0000"/>
                <w:kern w:val="0"/>
                <w:u w:val="single"/>
                <w:lang w:bidi="ar"/>
              </w:rPr>
              <w:t>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1" w:type="dxa"/>
            <w:shd w:val="clear" w:color="auto" w:fill="auto"/>
            <w:tcMar>
              <w:left w:w="0" w:type="dxa"/>
              <w:right w:w="0" w:type="dxa"/>
            </w:tcMar>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岳阳市云溪区陆城镇水厂文桥镇水厂长江取水口饮用水源保护区</w:t>
            </w:r>
          </w:p>
        </w:tc>
        <w:tc>
          <w:tcPr>
            <w:tcW w:w="1709" w:type="dxa"/>
            <w:shd w:val="clear" w:color="auto" w:fill="auto"/>
            <w:tcMar>
              <w:left w:w="0" w:type="dxa"/>
              <w:right w:w="0" w:type="dxa"/>
            </w:tcMar>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10500</w:t>
            </w:r>
          </w:p>
        </w:tc>
        <w:tc>
          <w:tcPr>
            <w:tcW w:w="977" w:type="dxa"/>
            <w:shd w:val="clear" w:color="auto" w:fill="auto"/>
            <w:tcMar>
              <w:left w:w="0" w:type="dxa"/>
              <w:right w:w="0" w:type="dxa"/>
            </w:tcMar>
            <w:vAlign w:val="center"/>
          </w:tcPr>
          <w:p>
            <w:pPr>
              <w:widowControl/>
              <w:jc w:val="center"/>
              <w:textAlignment w:val="center"/>
              <w:rPr>
                <w:rFonts w:ascii="Times New Roman" w:hAnsi="Times New Roman" w:eastAsiaTheme="minorEastAsia"/>
                <w:color w:val="FF0000"/>
                <w:u w:val="single"/>
              </w:rPr>
            </w:pPr>
            <w:r>
              <w:rPr>
                <w:rFonts w:ascii="Times New Roman" w:hAnsi="Times New Roman"/>
                <w:color w:val="FF0000"/>
                <w:kern w:val="0"/>
                <w:u w:val="single"/>
                <w:lang w:bidi="ar"/>
              </w:rPr>
              <w:t>84</w:t>
            </w:r>
          </w:p>
        </w:tc>
        <w:tc>
          <w:tcPr>
            <w:tcW w:w="832" w:type="dxa"/>
            <w:shd w:val="clear" w:color="auto" w:fill="auto"/>
            <w:tcMar>
              <w:left w:w="0" w:type="dxa"/>
              <w:right w:w="0" w:type="dxa"/>
            </w:tcMar>
            <w:vAlign w:val="center"/>
          </w:tcPr>
          <w:p>
            <w:pPr>
              <w:widowControl/>
              <w:jc w:val="center"/>
              <w:textAlignment w:val="center"/>
              <w:rPr>
                <w:rFonts w:ascii="Times New Roman" w:hAnsi="Times New Roman" w:eastAsiaTheme="minorEastAsia"/>
                <w:color w:val="FF0000"/>
                <w:u w:val="single"/>
              </w:rPr>
            </w:pPr>
            <w:r>
              <w:rPr>
                <w:rFonts w:ascii="Times New Roman" w:hAnsi="Times New Roman"/>
                <w:color w:val="FF0000"/>
                <w:kern w:val="0"/>
                <w:u w:val="single"/>
                <w:lang w:bidi="ar"/>
              </w:rPr>
              <w:t>395</w:t>
            </w:r>
          </w:p>
        </w:tc>
        <w:tc>
          <w:tcPr>
            <w:tcW w:w="1116" w:type="dxa"/>
            <w:shd w:val="clear" w:color="auto" w:fill="auto"/>
            <w:tcMar>
              <w:left w:w="0" w:type="dxa"/>
              <w:right w:w="0" w:type="dxa"/>
            </w:tcMar>
            <w:vAlign w:val="center"/>
          </w:tcPr>
          <w:p>
            <w:pPr>
              <w:widowControl/>
              <w:jc w:val="center"/>
              <w:textAlignment w:val="center"/>
              <w:rPr>
                <w:rFonts w:ascii="Times New Roman" w:hAnsi="Times New Roman" w:eastAsiaTheme="minorEastAsia"/>
                <w:color w:val="FF0000"/>
                <w:u w:val="single"/>
              </w:rPr>
            </w:pPr>
            <w:r>
              <w:rPr>
                <w:rFonts w:ascii="Times New Roman" w:hAnsi="Times New Roman"/>
                <w:color w:val="FF0000"/>
                <w:kern w:val="0"/>
                <w:u w:val="single"/>
                <w:lang w:bidi="ar"/>
              </w:rPr>
              <w:t>131055</w:t>
            </w:r>
          </w:p>
        </w:tc>
        <w:tc>
          <w:tcPr>
            <w:tcW w:w="1245" w:type="dxa"/>
            <w:shd w:val="clear" w:color="auto" w:fill="auto"/>
            <w:tcMar>
              <w:left w:w="0" w:type="dxa"/>
              <w:right w:w="0" w:type="dxa"/>
            </w:tcMar>
            <w:vAlign w:val="center"/>
          </w:tcPr>
          <w:p>
            <w:pPr>
              <w:widowControl/>
              <w:jc w:val="center"/>
              <w:textAlignment w:val="center"/>
              <w:rPr>
                <w:rFonts w:ascii="Times New Roman" w:hAnsi="Times New Roman" w:eastAsiaTheme="minorEastAsia"/>
                <w:color w:val="FF0000"/>
                <w:u w:val="single"/>
              </w:rPr>
            </w:pPr>
            <w:r>
              <w:rPr>
                <w:rFonts w:ascii="Times New Roman" w:hAnsi="Times New Roman"/>
                <w:color w:val="FF0000"/>
                <w:kern w:val="0"/>
                <w:u w:val="single"/>
                <w:lang w:bidi="ar"/>
              </w:rPr>
              <w:t>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1" w:type="dxa"/>
            <w:shd w:val="clear" w:color="auto" w:fill="auto"/>
            <w:tcMar>
              <w:left w:w="0" w:type="dxa"/>
              <w:right w:w="0" w:type="dxa"/>
            </w:tcMar>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临湘市工业园滨江产业示范区自来水厂取水口</w:t>
            </w:r>
          </w:p>
        </w:tc>
        <w:tc>
          <w:tcPr>
            <w:tcW w:w="1709" w:type="dxa"/>
            <w:shd w:val="clear" w:color="auto" w:fill="auto"/>
            <w:tcMar>
              <w:left w:w="0" w:type="dxa"/>
              <w:right w:w="0" w:type="dxa"/>
            </w:tcMar>
            <w:vAlign w:val="center"/>
          </w:tcPr>
          <w:p>
            <w:pPr>
              <w:adjustRightInd w:val="0"/>
              <w:snapToGrid w:val="0"/>
              <w:jc w:val="center"/>
              <w:rPr>
                <w:rFonts w:ascii="Times New Roman" w:hAnsi="Times New Roman" w:eastAsiaTheme="minorEastAsia"/>
                <w:color w:val="FF0000"/>
                <w:u w:val="single"/>
              </w:rPr>
            </w:pPr>
            <w:r>
              <w:rPr>
                <w:rFonts w:ascii="Times New Roman" w:hAnsi="Times New Roman" w:eastAsiaTheme="minorEastAsia"/>
                <w:color w:val="FF0000"/>
                <w:u w:val="single"/>
              </w:rPr>
              <w:t>20350</w:t>
            </w:r>
          </w:p>
        </w:tc>
        <w:tc>
          <w:tcPr>
            <w:tcW w:w="977" w:type="dxa"/>
            <w:shd w:val="clear" w:color="auto" w:fill="auto"/>
            <w:tcMar>
              <w:left w:w="0" w:type="dxa"/>
              <w:right w:w="0" w:type="dxa"/>
            </w:tcMar>
            <w:vAlign w:val="center"/>
          </w:tcPr>
          <w:p>
            <w:pPr>
              <w:widowControl/>
              <w:jc w:val="center"/>
              <w:textAlignment w:val="center"/>
              <w:rPr>
                <w:rFonts w:ascii="Times New Roman" w:hAnsi="Times New Roman" w:eastAsiaTheme="minorEastAsia"/>
                <w:color w:val="FF0000"/>
                <w:u w:val="single"/>
              </w:rPr>
            </w:pPr>
            <w:r>
              <w:rPr>
                <w:rFonts w:ascii="Times New Roman" w:hAnsi="Times New Roman"/>
                <w:color w:val="FF0000"/>
                <w:kern w:val="0"/>
                <w:u w:val="single"/>
                <w:lang w:bidi="ar"/>
              </w:rPr>
              <w:t>163</w:t>
            </w:r>
          </w:p>
        </w:tc>
        <w:tc>
          <w:tcPr>
            <w:tcW w:w="832" w:type="dxa"/>
            <w:shd w:val="clear" w:color="auto" w:fill="auto"/>
            <w:tcMar>
              <w:left w:w="0" w:type="dxa"/>
              <w:right w:w="0" w:type="dxa"/>
            </w:tcMar>
            <w:vAlign w:val="center"/>
          </w:tcPr>
          <w:p>
            <w:pPr>
              <w:widowControl/>
              <w:jc w:val="center"/>
              <w:textAlignment w:val="center"/>
              <w:rPr>
                <w:rFonts w:ascii="Times New Roman" w:hAnsi="Times New Roman" w:eastAsiaTheme="minorEastAsia"/>
                <w:color w:val="FF0000"/>
                <w:u w:val="single"/>
              </w:rPr>
            </w:pPr>
            <w:r>
              <w:rPr>
                <w:rFonts w:ascii="Times New Roman" w:hAnsi="Times New Roman"/>
                <w:color w:val="FF0000"/>
                <w:kern w:val="0"/>
                <w:u w:val="single"/>
                <w:lang w:bidi="ar"/>
              </w:rPr>
              <w:t>644</w:t>
            </w:r>
          </w:p>
        </w:tc>
        <w:tc>
          <w:tcPr>
            <w:tcW w:w="1116" w:type="dxa"/>
            <w:shd w:val="clear" w:color="auto" w:fill="auto"/>
            <w:tcMar>
              <w:left w:w="0" w:type="dxa"/>
              <w:right w:w="0" w:type="dxa"/>
            </w:tcMar>
            <w:vAlign w:val="center"/>
          </w:tcPr>
          <w:p>
            <w:pPr>
              <w:widowControl/>
              <w:jc w:val="center"/>
              <w:textAlignment w:val="center"/>
              <w:rPr>
                <w:rFonts w:ascii="Times New Roman" w:hAnsi="Times New Roman" w:eastAsiaTheme="minorEastAsia"/>
                <w:color w:val="FF0000"/>
                <w:u w:val="single"/>
              </w:rPr>
            </w:pPr>
            <w:r>
              <w:rPr>
                <w:rFonts w:ascii="Times New Roman" w:hAnsi="Times New Roman"/>
                <w:color w:val="FF0000"/>
                <w:kern w:val="0"/>
                <w:u w:val="single"/>
                <w:lang w:bidi="ar"/>
              </w:rPr>
              <w:t>359224</w:t>
            </w:r>
          </w:p>
        </w:tc>
        <w:tc>
          <w:tcPr>
            <w:tcW w:w="1245" w:type="dxa"/>
            <w:shd w:val="clear" w:color="auto" w:fill="auto"/>
            <w:tcMar>
              <w:left w:w="0" w:type="dxa"/>
              <w:right w:w="0" w:type="dxa"/>
            </w:tcMar>
            <w:vAlign w:val="center"/>
          </w:tcPr>
          <w:p>
            <w:pPr>
              <w:widowControl/>
              <w:jc w:val="center"/>
              <w:textAlignment w:val="center"/>
              <w:rPr>
                <w:rFonts w:ascii="Times New Roman" w:hAnsi="Times New Roman" w:eastAsiaTheme="minorEastAsia"/>
                <w:color w:val="FF0000"/>
                <w:u w:val="single"/>
              </w:rPr>
            </w:pPr>
            <w:r>
              <w:rPr>
                <w:rFonts w:ascii="Times New Roman" w:hAnsi="Times New Roman"/>
                <w:color w:val="FF0000"/>
                <w:kern w:val="0"/>
                <w:u w:val="single"/>
                <w:lang w:bidi="ar"/>
              </w:rPr>
              <w:t>0.03</w:t>
            </w:r>
          </w:p>
        </w:tc>
      </w:tr>
    </w:tbl>
    <w:p>
      <w:pPr>
        <w:adjustRightInd w:val="0"/>
        <w:snapToGrid w:val="0"/>
        <w:spacing w:line="360" w:lineRule="auto"/>
        <w:rPr>
          <w:rFonts w:ascii="Times New Roman" w:hAnsi="Times New Roman" w:eastAsiaTheme="minorEastAsia"/>
          <w:sz w:val="24"/>
          <w:szCs w:val="24"/>
        </w:rPr>
      </w:pPr>
    </w:p>
    <w:p>
      <w:pPr>
        <w:pStyle w:val="5"/>
        <w:rPr>
          <w:rFonts w:eastAsiaTheme="minorEastAsia"/>
          <w:color w:val="auto"/>
        </w:rPr>
      </w:pPr>
      <w:r>
        <w:rPr>
          <w:rFonts w:eastAsiaTheme="minorEastAsia"/>
          <w:color w:val="auto"/>
        </w:rPr>
        <w:t>预测结果分析</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当产品发生溢油事故时，未采取任何措施的情况下，燃油惯性扩展阶段的时间约496</w:t>
      </w:r>
      <w:r>
        <w:rPr>
          <w:rFonts w:hint="eastAsia" w:ascii="Times New Roman" w:hAnsi="Times New Roman" w:eastAsiaTheme="minorEastAsia"/>
          <w:color w:val="FF0000"/>
          <w:sz w:val="24"/>
          <w:szCs w:val="24"/>
          <w:u w:val="single"/>
          <w:lang w:val="en-US" w:eastAsia="zh-CN"/>
        </w:rPr>
        <w:t>s</w:t>
      </w:r>
      <w:r>
        <w:rPr>
          <w:rFonts w:ascii="Times New Roman" w:hAnsi="Times New Roman" w:eastAsiaTheme="minorEastAsia"/>
          <w:color w:val="FF0000"/>
          <w:sz w:val="24"/>
          <w:szCs w:val="24"/>
          <w:u w:val="single"/>
        </w:rPr>
        <w:t>（约8.3min），粘性扩展阶段496~1054（约17.6min），表面张力扩展阶段1054~14102</w:t>
      </w:r>
      <w:r>
        <w:rPr>
          <w:rFonts w:hint="eastAsia" w:ascii="Times New Roman" w:hAnsi="Times New Roman" w:eastAsiaTheme="minorEastAsia"/>
          <w:color w:val="FF0000"/>
          <w:sz w:val="24"/>
          <w:szCs w:val="24"/>
          <w:u w:val="single"/>
          <w:lang w:val="en-US" w:eastAsia="zh-CN"/>
        </w:rPr>
        <w:t>s</w:t>
      </w:r>
      <w:r>
        <w:rPr>
          <w:rFonts w:ascii="Times New Roman" w:hAnsi="Times New Roman" w:eastAsiaTheme="minorEastAsia"/>
          <w:color w:val="FF0000"/>
          <w:sz w:val="24"/>
          <w:szCs w:val="24"/>
          <w:u w:val="single"/>
        </w:rPr>
        <w:t>（约235min、3.9h），至此，油膜厚度达到临界厚度，约0.02mm，油膜等效直径约为868.2m、污染团的面积约591667m</w:t>
      </w:r>
      <w:r>
        <w:rPr>
          <w:rFonts w:ascii="Times New Roman" w:hAnsi="Times New Roman" w:eastAsiaTheme="minorEastAsia"/>
          <w:color w:val="FF0000"/>
          <w:sz w:val="24"/>
          <w:szCs w:val="24"/>
          <w:u w:val="single"/>
          <w:vertAlign w:val="superscript"/>
        </w:rPr>
        <w:t>2</w:t>
      </w:r>
      <w:r>
        <w:rPr>
          <w:rFonts w:ascii="Times New Roman" w:hAnsi="Times New Roman" w:eastAsiaTheme="minorEastAsia"/>
          <w:color w:val="FF0000"/>
          <w:sz w:val="24"/>
          <w:szCs w:val="24"/>
          <w:u w:val="single"/>
        </w:rPr>
        <w:t>、中心位置距离码头下游约为29.3km。</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由于水流弥散作用，燃料油将向下游迁移，拟建码头下游同岸最近取水口为岳阳市云溪区道仁矶水厂长江取水口饮用水水源保护区取水口，距离约为6700m，油膜到达时间约为3240</w:t>
      </w:r>
      <w:r>
        <w:rPr>
          <w:rFonts w:hint="eastAsia" w:ascii="Times New Roman" w:hAnsi="Times New Roman" w:eastAsiaTheme="minorEastAsia"/>
          <w:color w:val="FF0000"/>
          <w:sz w:val="24"/>
          <w:szCs w:val="24"/>
          <w:u w:val="single"/>
          <w:lang w:val="en-US" w:eastAsia="zh-CN"/>
        </w:rPr>
        <w:t>s</w:t>
      </w:r>
      <w:r>
        <w:rPr>
          <w:rFonts w:ascii="Times New Roman" w:hAnsi="Times New Roman" w:eastAsiaTheme="minorEastAsia"/>
          <w:color w:val="FF0000"/>
          <w:sz w:val="24"/>
          <w:szCs w:val="24"/>
          <w:u w:val="single"/>
        </w:rPr>
        <w:t>（约54min、0.9h），油膜等效直径约为279m，厚度约0.13mm，污染团的面积约68280m</w:t>
      </w:r>
      <w:r>
        <w:rPr>
          <w:rFonts w:ascii="Times New Roman" w:hAnsi="Times New Roman" w:eastAsiaTheme="minorEastAsia"/>
          <w:color w:val="FF0000"/>
          <w:sz w:val="24"/>
          <w:szCs w:val="24"/>
          <w:u w:val="single"/>
          <w:vertAlign w:val="superscript"/>
        </w:rPr>
        <w:t>2</w:t>
      </w:r>
      <w:r>
        <w:rPr>
          <w:rFonts w:ascii="Times New Roman" w:hAnsi="Times New Roman" w:eastAsiaTheme="minorEastAsia"/>
          <w:color w:val="FF0000"/>
          <w:sz w:val="24"/>
          <w:szCs w:val="24"/>
          <w:u w:val="single"/>
        </w:rPr>
        <w:t>，届时会对其水质产生一定的影响。</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由于溢油事故中无论是溢油量还是溢油时间均有较大的不确定性，一旦发生事故，需尽快启动溢油应急预案，并通知下游取水口（岳阳市云溪区道仁矶水厂、岳阳市云溪区陆城镇水厂和临湘市工业园滨江产业示范区自来水厂），最大限度控制油膜向下游的漂移，减少溢油对下游环境敏感目标的影响。</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企业自身也应该加强管理，严格控制员工操作，尽量杜绝此类事故的发生。</w:t>
      </w:r>
    </w:p>
    <w:p>
      <w:pPr>
        <w:pStyle w:val="4"/>
        <w:rPr>
          <w:rFonts w:eastAsiaTheme="minorEastAsia"/>
        </w:rPr>
      </w:pPr>
      <w:bookmarkStart w:id="215" w:name="_Toc23429153"/>
      <w:r>
        <w:rPr>
          <w:rFonts w:eastAsiaTheme="minorEastAsia"/>
        </w:rPr>
        <w:t>溢油污染事故对水生生态的影响</w:t>
      </w:r>
      <w:bookmarkEnd w:id="215"/>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1、急性中毒效应</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一旦发生溢油污染事故，将对航道内的生物、鱼类影响较大。国内外许多的研究表明高浓度的石油会使鱼卵、仔幼鱼短时间内中毒死亡，低浓度的长期亚急性毒性可干扰鱼类摄食和繁殖，其毒性随石油组分的不同而有差异。石油类中低沸点芳香烃对一切生物均有毒性，高沸点则是长期毒性，会对水生生物生命构成威胁和危害直至死亡。一旦发生在四大家鱼产卵期发生溢油事故，应部分资金预算，进行增殖放流进行鱼类资源的补偿，放流活动需严格按照农业部《水生生物增殖放流管理规定》（2009.5）开展。放流时间可选择在事故发生的第二年4~5月份，放流地点可选择在码头上游水流相对平缓，水域较开阔是河道中回水湾。放流任务建议委托岳阳市当地水产部分负责实施。</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2、对鱼类的影响</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对鱼类的急性毒性测试</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根据近年来对几种不同的长江鱼类仔鱼的毒性试验结果表明，石油类对鲤鱼仔鱼96hLC</w:t>
      </w:r>
      <w:r>
        <w:rPr>
          <w:rFonts w:ascii="Times New Roman" w:hAnsi="Times New Roman" w:eastAsiaTheme="minorEastAsia"/>
          <w:sz w:val="24"/>
          <w:szCs w:val="24"/>
          <w:vertAlign w:val="subscript"/>
        </w:rPr>
        <w:t>50</w:t>
      </w:r>
      <w:r>
        <w:rPr>
          <w:rFonts w:ascii="Times New Roman" w:hAnsi="Times New Roman" w:eastAsiaTheme="minorEastAsia"/>
          <w:sz w:val="24"/>
          <w:szCs w:val="24"/>
        </w:rPr>
        <w:t>值为0.5~3.0mg/L，因此污染带瞬时高浓度排放（即事故性排放）可导致急性中毒死鱼事故。</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sz w:val="24"/>
          <w:szCs w:val="24"/>
        </w:rPr>
        <w:t xml:space="preserve"> 石油类在鱼体内的蓄积残留分析</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污染因子石油类在鱼体中的积累和残留可引起鱼类慢性中毒而带来长效应的污染影响，这种影响不仅可引起鱼类资源的变动，甚至会引起鱼类种质的变异。鱼类一旦与油分子接触就会在短时间内发生油臭，从而影响其食用价值。以20号燃料油为例，当石油类浓度为0.01mg/L时，7天之内就能对大部分的鱼、虾产生油味，30天内会使绝大多数鱼类产生异味。</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⑶</w:t>
      </w:r>
      <w:r>
        <w:rPr>
          <w:rFonts w:ascii="Times New Roman" w:hAnsi="Times New Roman" w:eastAsiaTheme="minorEastAsia"/>
          <w:sz w:val="24"/>
          <w:szCs w:val="24"/>
        </w:rPr>
        <w:t xml:space="preserve"> 石油类对鱼的致突变性分析</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微核的产生是在诱变物作用之下造成染色体损伤而发生变异的一种形式，根据近年来对几种定居性的长江鱼类仔鱼鱼类外周血微核试验表明，长江鱼类(主要是定居性鱼类)微核的高检出率是由于江段水环境污染物的高浓度诱变物的诱发作用而引起，而石油类污染物可能是其主要的诱变源。</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3、对浮游植物的影响</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实验证明石油会破坏浮游植物细胞，损坏叶绿素及干扰气体交换，从而妨碍它们的光合作用。这种破坏作用程度取决于石油的类型、浓度及浮游植物的种类。根据国内外许多毒性实验结果表明，作为鱼、虾类饵料基础的浮游植物，对各类油类的耐受能力都很低。一般浮游植物石油急性中毒致死浓度为0.1~10.0mg/L，一般为1.0~3.6mg/L，对于更敏感的种类，油浓度低于0.1mg/L时，也会妨碍细胞的分裂和生长的速率。</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4、对浮游动物的影响</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浮游动物石油急性中毒致死浓度范围一般为0.1～15mg/L，而且通过不同浓度的石油类环境对桡足类幼体的影响实验表明，永久性（终生性）浮游动物幼体的敏感性大于阶段性(临时性)的底栖生物幼体，而它们各自的幼体的敏感性又大于成体。</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5、对底栖生物的影响</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不同种类底栖生物对石油类浓度的适应性具有差异，多数底栖生物石油类急性中毒致死浓度范围在2.0~15mg/L，其幼体的致死浓度范围更小一些。</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底栖生物的耐油污性很差，即使水体中石油类含量只有0.01mg/L，也会致其死亡。当水体中石油类浓度0.1~0.01mg/L，对某些底栖甲壳类动物幼体（如：无节幼虫、藤壶幼体和蟹幼体）有明显的毒效。据吴彰宽报导，胜利原油对对虾各发育阶段造成影响的最低浓度分别为：a受精卵56mg/L、b无节幼体3.2mg/L、c蚤状幼体0.1mg/L、d糠虾幼体1.8mg/L，仔虾5.6mg/L。其中，蚤状幼体为最敏感发育阶段，胜利原油对对虾幼体的LC50（96h）为11.1mg/L。</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6、对珍稀水生保护动物的影响</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船舶行驶会对工程所在江段珍稀水生保护动物会造成惊扰，受到惊扰后有可能会撞上船只螺旋桨，受到伤害。本项目建设的码头主要用于煤炭装卸使用，年运输量为200万吨，年进出码头船舶约360艘，进出码头的船只较少，对江段珍稀水生保护动物的几率极低。</w:t>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sz w:val="24"/>
          <w:szCs w:val="24"/>
        </w:rPr>
        <w:t>但若船舶发生碰撞产生溢油，将有可能对其产生不良影响。</w:t>
      </w:r>
    </w:p>
    <w:p>
      <w:pPr>
        <w:pStyle w:val="4"/>
        <w:rPr>
          <w:rFonts w:eastAsiaTheme="minorEastAsia"/>
        </w:rPr>
      </w:pPr>
      <w:bookmarkStart w:id="216" w:name="_Toc23429155"/>
      <w:bookmarkStart w:id="217" w:name="_Toc232817678"/>
      <w:bookmarkStart w:id="218" w:name="_Toc308625564"/>
      <w:r>
        <w:rPr>
          <w:rFonts w:eastAsiaTheme="minorEastAsia"/>
        </w:rPr>
        <w:t>风险防范措施</w:t>
      </w:r>
      <w:bookmarkEnd w:id="216"/>
      <w:bookmarkEnd w:id="217"/>
      <w:bookmarkEnd w:id="218"/>
    </w:p>
    <w:p>
      <w:pPr>
        <w:pStyle w:val="5"/>
        <w:rPr>
          <w:rFonts w:eastAsiaTheme="minorEastAsia"/>
          <w:color w:val="auto"/>
        </w:rPr>
      </w:pPr>
      <w:bookmarkStart w:id="219" w:name="_Toc240951621"/>
      <w:bookmarkStart w:id="220" w:name="_Toc308625573"/>
      <w:r>
        <w:rPr>
          <w:rFonts w:eastAsiaTheme="minorEastAsia"/>
          <w:color w:val="auto"/>
        </w:rPr>
        <w:t>码头溢油风险防范措施</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hint="eastAsia" w:ascii="宋体" w:hAnsi="宋体" w:cs="宋体"/>
          <w:color w:val="FF0000"/>
          <w:sz w:val="24"/>
          <w:szCs w:val="24"/>
          <w:u w:val="single"/>
        </w:rPr>
        <w:t>⑴</w:t>
      </w:r>
      <w:r>
        <w:rPr>
          <w:rFonts w:ascii="Times New Roman" w:hAnsi="Times New Roman" w:eastAsiaTheme="minorEastAsia"/>
          <w:color w:val="FF0000"/>
          <w:sz w:val="24"/>
          <w:szCs w:val="24"/>
          <w:u w:val="single"/>
        </w:rPr>
        <w:t xml:space="preserve"> 制定严格的码头作业制度和操作规程，杜绝事故发生。</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hint="eastAsia" w:ascii="宋体" w:hAnsi="宋体" w:cs="宋体"/>
          <w:color w:val="FF0000"/>
          <w:sz w:val="24"/>
          <w:szCs w:val="24"/>
          <w:u w:val="single"/>
        </w:rPr>
        <w:t>⑵</w:t>
      </w:r>
      <w:r>
        <w:rPr>
          <w:rFonts w:ascii="Times New Roman" w:hAnsi="Times New Roman" w:eastAsiaTheme="minorEastAsia"/>
          <w:color w:val="FF0000"/>
          <w:sz w:val="24"/>
          <w:szCs w:val="24"/>
          <w:u w:val="single"/>
        </w:rPr>
        <w:t xml:space="preserve"> 施工期和营运期间所有船舶必须按照交通部信号管理规定显示信号，加强过往船舶的安全调度管理。</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hint="eastAsia" w:ascii="宋体" w:hAnsi="宋体" w:cs="宋体"/>
          <w:color w:val="FF0000"/>
          <w:sz w:val="24"/>
          <w:szCs w:val="24"/>
          <w:u w:val="single"/>
        </w:rPr>
        <w:t>⑶</w:t>
      </w:r>
      <w:r>
        <w:rPr>
          <w:rFonts w:ascii="Times New Roman" w:hAnsi="Times New Roman" w:eastAsiaTheme="minorEastAsia"/>
          <w:color w:val="FF0000"/>
          <w:sz w:val="24"/>
          <w:szCs w:val="24"/>
          <w:u w:val="single"/>
        </w:rPr>
        <w:t xml:space="preserve"> 各类船舶在发生紧急事件时，应立即采取必要的措施，同时向水上事故应急救援中心及有关单位报告。</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hint="eastAsia" w:ascii="宋体" w:hAnsi="宋体" w:cs="宋体"/>
          <w:color w:val="FF0000"/>
          <w:sz w:val="24"/>
          <w:szCs w:val="24"/>
          <w:u w:val="single"/>
        </w:rPr>
        <w:t>⑷</w:t>
      </w:r>
      <w:r>
        <w:rPr>
          <w:rFonts w:ascii="Times New Roman" w:hAnsi="Times New Roman" w:eastAsiaTheme="minorEastAsia"/>
          <w:color w:val="FF0000"/>
          <w:sz w:val="24"/>
          <w:szCs w:val="24"/>
          <w:u w:val="single"/>
        </w:rPr>
        <w:t xml:space="preserve"> 严禁施工作业单位擅自扩大施工作业安全区，严禁无关船舶进入施工作业水域。</w:t>
      </w:r>
    </w:p>
    <w:bookmarkEnd w:id="219"/>
    <w:bookmarkEnd w:id="220"/>
    <w:p>
      <w:pPr>
        <w:pStyle w:val="5"/>
        <w:rPr>
          <w:rFonts w:eastAsiaTheme="minorEastAsia"/>
          <w:color w:val="auto"/>
        </w:rPr>
      </w:pPr>
      <w:r>
        <w:rPr>
          <w:rFonts w:eastAsiaTheme="minorEastAsia"/>
          <w:color w:val="auto"/>
        </w:rPr>
        <w:t>强化风险意识、加强安全管理</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ascii="Times New Roman" w:hAnsi="Times New Roman" w:eastAsiaTheme="minorEastAsia"/>
          <w:color w:val="FF0000"/>
          <w:sz w:val="24"/>
          <w:szCs w:val="24"/>
          <w:u w:val="single"/>
        </w:rPr>
        <w:t>安全生产是企业立厂之本，对存储及使用危化品事故风险较大的企业来说，一定要强化风险意识、加强安全管理，具体要求如下：</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hint="eastAsia" w:ascii="宋体" w:hAnsi="宋体" w:cs="宋体"/>
          <w:color w:val="FF0000"/>
          <w:sz w:val="24"/>
          <w:szCs w:val="24"/>
          <w:u w:val="single"/>
        </w:rPr>
        <w:t>⑴</w:t>
      </w:r>
      <w:r>
        <w:rPr>
          <w:rFonts w:ascii="Times New Roman" w:hAnsi="Times New Roman" w:eastAsiaTheme="minorEastAsia"/>
          <w:color w:val="FF0000"/>
          <w:sz w:val="24"/>
          <w:szCs w:val="24"/>
          <w:u w:val="single"/>
        </w:rPr>
        <w:t xml:space="preserve"> 必须将“安全第一，以防为主”作为公司经营的基本原则；</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hint="eastAsia" w:ascii="宋体" w:hAnsi="宋体" w:cs="宋体"/>
          <w:color w:val="FF0000"/>
          <w:sz w:val="24"/>
          <w:szCs w:val="24"/>
          <w:u w:val="single"/>
        </w:rPr>
        <w:t>⑵</w:t>
      </w:r>
      <w:r>
        <w:rPr>
          <w:rFonts w:ascii="Times New Roman" w:hAnsi="Times New Roman" w:eastAsiaTheme="minorEastAsia"/>
          <w:color w:val="FF0000"/>
          <w:sz w:val="24"/>
          <w:szCs w:val="24"/>
          <w:u w:val="single"/>
        </w:rPr>
        <w:t xml:space="preserve"> 必须将“ESH（环保、安全、健康）”作为一线经理的首要责任和义务；</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hint="eastAsia" w:ascii="宋体" w:hAnsi="宋体" w:cs="宋体"/>
          <w:color w:val="FF0000"/>
          <w:sz w:val="24"/>
          <w:szCs w:val="24"/>
          <w:u w:val="single"/>
        </w:rPr>
        <w:t>⑶</w:t>
      </w:r>
      <w:r>
        <w:rPr>
          <w:rFonts w:ascii="Times New Roman" w:hAnsi="Times New Roman" w:eastAsiaTheme="minorEastAsia"/>
          <w:color w:val="FF0000"/>
          <w:sz w:val="24"/>
          <w:szCs w:val="24"/>
          <w:u w:val="single"/>
        </w:rPr>
        <w:t xml:space="preserve"> 必须进行广泛系统的培训，使所有操作人员熟悉自己的岗位，树立严谨规范的操作作风，并且在任何紧急状况下都能随时对工艺装置进行控制，并及时、独立、正确地实施相关应急措施。</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hint="eastAsia" w:ascii="宋体" w:hAnsi="宋体" w:cs="宋体"/>
          <w:color w:val="FF0000"/>
          <w:sz w:val="24"/>
          <w:szCs w:val="24"/>
          <w:u w:val="single"/>
        </w:rPr>
        <w:t>⑷</w:t>
      </w:r>
      <w:r>
        <w:rPr>
          <w:rFonts w:ascii="Times New Roman" w:hAnsi="Times New Roman" w:eastAsiaTheme="minorEastAsia"/>
          <w:color w:val="FF0000"/>
          <w:sz w:val="24"/>
          <w:szCs w:val="24"/>
          <w:u w:val="single"/>
        </w:rPr>
        <w:t xml:space="preserve"> 设立安全环保部门，负责全厂的安全管理，应聘请具有丰富经验的人才担当负责人，每个车间和主要装置设置专职或兼职安全员，兼职安全员原则上由工艺员担任。</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hint="eastAsia" w:ascii="宋体" w:hAnsi="宋体" w:cs="宋体"/>
          <w:color w:val="FF0000"/>
          <w:sz w:val="24"/>
          <w:szCs w:val="24"/>
          <w:u w:val="single"/>
        </w:rPr>
        <w:t>⑸</w:t>
      </w:r>
      <w:r>
        <w:rPr>
          <w:rFonts w:ascii="Times New Roman" w:hAnsi="Times New Roman" w:eastAsiaTheme="minorEastAsia"/>
          <w:color w:val="FF0000"/>
          <w:sz w:val="24"/>
          <w:szCs w:val="24"/>
          <w:u w:val="single"/>
        </w:rPr>
        <w:t xml:space="preserve"> 全厂设立安全生产领导小组，由厂长亲自单人领导小组组长，各车间主任担任小组组员，形成领导负总责，全厂参与的管理模式。</w:t>
      </w:r>
    </w:p>
    <w:p>
      <w:pPr>
        <w:adjustRightInd w:val="0"/>
        <w:snapToGrid w:val="0"/>
        <w:spacing w:line="360" w:lineRule="auto"/>
        <w:ind w:firstLine="480" w:firstLineChars="200"/>
        <w:rPr>
          <w:rFonts w:ascii="Times New Roman" w:hAnsi="Times New Roman" w:eastAsiaTheme="minorEastAsia"/>
          <w:color w:val="FF0000"/>
          <w:sz w:val="24"/>
          <w:szCs w:val="24"/>
          <w:u w:val="single"/>
        </w:rPr>
      </w:pPr>
      <w:r>
        <w:rPr>
          <w:rFonts w:hint="eastAsia" w:ascii="宋体" w:hAnsi="宋体" w:cs="宋体"/>
          <w:color w:val="FF0000"/>
          <w:sz w:val="24"/>
          <w:szCs w:val="24"/>
          <w:u w:val="single"/>
        </w:rPr>
        <w:t>⑹</w:t>
      </w:r>
      <w:r>
        <w:rPr>
          <w:rFonts w:ascii="Times New Roman" w:hAnsi="Times New Roman" w:eastAsiaTheme="minorEastAsia"/>
          <w:color w:val="FF0000"/>
          <w:sz w:val="24"/>
          <w:szCs w:val="24"/>
          <w:u w:val="single"/>
        </w:rPr>
        <w:t xml:space="preserve"> 在开展ISO14001认证的基础上，积极开展ESH审计和OHSAS18001认证，全面提高安全管理水平。</w:t>
      </w:r>
    </w:p>
    <w:p>
      <w:pPr>
        <w:adjustRightInd w:val="0"/>
        <w:snapToGrid w:val="0"/>
        <w:spacing w:line="360" w:lineRule="auto"/>
        <w:ind w:firstLine="480" w:firstLineChars="200"/>
        <w:rPr>
          <w:rFonts w:ascii="Times New Roman" w:hAnsi="Times New Roman" w:eastAsiaTheme="minorEastAsia"/>
          <w:color w:val="FF0000"/>
          <w:u w:val="single"/>
        </w:rPr>
      </w:pPr>
      <w:r>
        <w:rPr>
          <w:rFonts w:hint="eastAsia" w:ascii="宋体" w:hAnsi="宋体" w:cs="宋体"/>
          <w:color w:val="FF0000"/>
          <w:sz w:val="24"/>
          <w:szCs w:val="24"/>
          <w:u w:val="single"/>
        </w:rPr>
        <w:t>⑺</w:t>
      </w:r>
      <w:r>
        <w:rPr>
          <w:rFonts w:ascii="Times New Roman" w:hAnsi="Times New Roman" w:eastAsiaTheme="minorEastAsia"/>
          <w:color w:val="FF0000"/>
          <w:sz w:val="24"/>
          <w:szCs w:val="24"/>
          <w:u w:val="single"/>
        </w:rPr>
        <w:t xml:space="preserve"> 按照《劳动法》有关规定，为职工提供劳动安全卫生条件和劳动防护用品，厂区医院必须配备足够的医疗药品和其他救助品，便于事故应急处置和救援。</w:t>
      </w:r>
    </w:p>
    <w:p>
      <w:pPr>
        <w:pStyle w:val="5"/>
        <w:rPr>
          <w:rFonts w:eastAsiaTheme="minorEastAsia"/>
          <w:color w:val="auto"/>
        </w:rPr>
      </w:pPr>
      <w:r>
        <w:rPr>
          <w:rFonts w:eastAsiaTheme="minorEastAsia"/>
          <w:color w:val="auto"/>
        </w:rPr>
        <w:t>制定事故应急计划</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本次评价主要针对溢油风险提出具体的风险应急措施及预案要求，如下：</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1、应急组织指挥机构</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事故溢油应急组织指挥机构见图6.7-1。</w:t>
      </w:r>
    </w:p>
    <w:p>
      <w:pPr>
        <w:jc w:val="center"/>
        <w:rPr>
          <w:rFonts w:ascii="Times New Roman" w:hAnsi="Times New Roman" w:eastAsiaTheme="minorEastAsia"/>
        </w:rPr>
      </w:pPr>
      <w:r>
        <w:rPr>
          <w:rFonts w:ascii="Times New Roman" w:hAnsi="Times New Roman" w:eastAsiaTheme="minorEastAsia"/>
        </w:rPr>
        <mc:AlternateContent>
          <mc:Choice Requires="wpc">
            <w:drawing>
              <wp:inline distT="0" distB="0" distL="0" distR="0">
                <wp:extent cx="5615305" cy="4356735"/>
                <wp:effectExtent l="0" t="0" r="23495" b="24765"/>
                <wp:docPr id="69" name="画布 69"/>
                <wp:cNvGraphicFramePr/>
                <a:graphic xmlns:a="http://schemas.openxmlformats.org/drawingml/2006/main">
                  <a:graphicData uri="http://schemas.microsoft.com/office/word/2010/wordprocessingCanvas">
                    <wpc:wpc>
                      <wpc:bg>
                        <a:noFill/>
                      </wpc:bg>
                      <wpc:whole>
                        <a:ln w="19050" cap="flat" cmpd="sng" algn="ctr">
                          <a:solidFill>
                            <a:srgbClr val="000000"/>
                          </a:solidFill>
                          <a:prstDash val="solid"/>
                          <a:miter lim="800000"/>
                          <a:headEnd type="none" w="med" len="med"/>
                          <a:tailEnd type="none" w="med" len="med"/>
                        </a:ln>
                      </wpc:whole>
                      <wps:wsp>
                        <wps:cNvPr id="70" name="Text Box 39256"/>
                        <wps:cNvSpPr txBox="1">
                          <a:spLocks noChangeArrowheads="1"/>
                        </wps:cNvSpPr>
                        <wps:spPr bwMode="auto">
                          <a:xfrm>
                            <a:off x="1540693" y="85800"/>
                            <a:ext cx="2525917" cy="267801"/>
                          </a:xfrm>
                          <a:prstGeom prst="rect">
                            <a:avLst/>
                          </a:prstGeom>
                          <a:solidFill>
                            <a:srgbClr val="FFFFFF"/>
                          </a:solidFill>
                          <a:ln w="9525">
                            <a:solidFill>
                              <a:srgbClr val="000000"/>
                            </a:solidFill>
                            <a:miter lim="800000"/>
                          </a:ln>
                        </wps:spPr>
                        <wps:txbx>
                          <w:txbxContent>
                            <w:p>
                              <w:pPr>
                                <w:jc w:val="center"/>
                              </w:pPr>
                              <w:r>
                                <w:rPr>
                                  <w:rFonts w:hint="eastAsia"/>
                                </w:rPr>
                                <w:t>岳阳海事局海事监管中心（事故总指挥）</w:t>
                              </w:r>
                            </w:p>
                          </w:txbxContent>
                        </wps:txbx>
                        <wps:bodyPr rot="0" vert="horz" wrap="square" lIns="0" tIns="45720" rIns="0" bIns="45720" anchor="t" anchorCtr="0" upright="1">
                          <a:noAutofit/>
                        </wps:bodyPr>
                      </wps:wsp>
                      <wps:wsp>
                        <wps:cNvPr id="71" name="Line 39257"/>
                        <wps:cNvCnPr>
                          <a:cxnSpLocks noChangeShapeType="1"/>
                        </wps:cNvCnPr>
                        <wps:spPr bwMode="auto">
                          <a:xfrm>
                            <a:off x="2283787" y="349301"/>
                            <a:ext cx="0" cy="263501"/>
                          </a:xfrm>
                          <a:prstGeom prst="line">
                            <a:avLst/>
                          </a:prstGeom>
                          <a:noFill/>
                          <a:ln w="9525">
                            <a:solidFill>
                              <a:srgbClr val="000000"/>
                            </a:solidFill>
                            <a:round/>
                            <a:tailEnd type="triangle" w="sm" len="lg"/>
                          </a:ln>
                        </wps:spPr>
                        <wps:bodyPr/>
                      </wps:wsp>
                      <wps:wsp>
                        <wps:cNvPr id="72" name="Text Box 39258"/>
                        <wps:cNvSpPr txBox="1">
                          <a:spLocks noChangeArrowheads="1"/>
                        </wps:cNvSpPr>
                        <wps:spPr bwMode="auto">
                          <a:xfrm>
                            <a:off x="1540693" y="621302"/>
                            <a:ext cx="1383274" cy="293098"/>
                          </a:xfrm>
                          <a:prstGeom prst="rect">
                            <a:avLst/>
                          </a:prstGeom>
                          <a:solidFill>
                            <a:srgbClr val="FFFFFF"/>
                          </a:solidFill>
                          <a:ln w="9525">
                            <a:solidFill>
                              <a:srgbClr val="000000"/>
                            </a:solidFill>
                            <a:miter lim="800000"/>
                          </a:ln>
                        </wps:spPr>
                        <wps:txbx>
                          <w:txbxContent>
                            <w:p>
                              <w:pPr>
                                <w:jc w:val="center"/>
                              </w:pPr>
                              <w:r>
                                <w:rPr>
                                  <w:rFonts w:hint="eastAsia"/>
                                </w:rPr>
                                <w:t>环保主管部门</w:t>
                              </w:r>
                            </w:p>
                          </w:txbxContent>
                        </wps:txbx>
                        <wps:bodyPr rot="0" vert="horz" wrap="square" lIns="91440" tIns="45720" rIns="91440" bIns="45720" anchor="t" anchorCtr="0" upright="1">
                          <a:noAutofit/>
                        </wps:bodyPr>
                      </wps:wsp>
                      <wps:wsp>
                        <wps:cNvPr id="73" name="Line 39259"/>
                        <wps:cNvCnPr>
                          <a:cxnSpLocks noChangeShapeType="1"/>
                        </wps:cNvCnPr>
                        <wps:spPr bwMode="auto">
                          <a:xfrm>
                            <a:off x="2264184" y="952004"/>
                            <a:ext cx="0" cy="349401"/>
                          </a:xfrm>
                          <a:prstGeom prst="line">
                            <a:avLst/>
                          </a:prstGeom>
                          <a:noFill/>
                          <a:ln w="9525">
                            <a:solidFill>
                              <a:srgbClr val="000000"/>
                            </a:solidFill>
                            <a:round/>
                            <a:tailEnd type="triangle" w="sm" len="lg"/>
                          </a:ln>
                        </wps:spPr>
                        <wps:bodyPr/>
                      </wps:wsp>
                      <wps:wsp>
                        <wps:cNvPr id="74" name="Text Box 39260"/>
                        <wps:cNvSpPr txBox="1">
                          <a:spLocks noChangeArrowheads="1"/>
                        </wps:cNvSpPr>
                        <wps:spPr bwMode="auto">
                          <a:xfrm>
                            <a:off x="796000" y="1308105"/>
                            <a:ext cx="3624910" cy="258401"/>
                          </a:xfrm>
                          <a:prstGeom prst="rect">
                            <a:avLst/>
                          </a:prstGeom>
                          <a:solidFill>
                            <a:srgbClr val="FFFFFF"/>
                          </a:solidFill>
                          <a:ln w="9525">
                            <a:solidFill>
                              <a:srgbClr val="000000"/>
                            </a:solidFill>
                            <a:miter lim="800000"/>
                          </a:ln>
                        </wps:spPr>
                        <wps:txbx>
                          <w:txbxContent>
                            <w:p>
                              <w:pPr>
                                <w:jc w:val="center"/>
                              </w:pPr>
                              <w:r>
                                <w:rPr>
                                  <w:rFonts w:hint="eastAsia"/>
                                </w:rPr>
                                <w:t>华能岳阳电厂生产安全部（现场总监）</w:t>
                              </w:r>
                            </w:p>
                          </w:txbxContent>
                        </wps:txbx>
                        <wps:bodyPr rot="0" vert="horz" wrap="square" lIns="91440" tIns="45720" rIns="91440" bIns="45720" anchor="t" anchorCtr="0" upright="1">
                          <a:noAutofit/>
                        </wps:bodyPr>
                      </wps:wsp>
                      <wps:wsp>
                        <wps:cNvPr id="75" name="Line 39261"/>
                        <wps:cNvCnPr>
                          <a:cxnSpLocks noChangeShapeType="1"/>
                        </wps:cNvCnPr>
                        <wps:spPr bwMode="auto">
                          <a:xfrm>
                            <a:off x="2264184" y="1575106"/>
                            <a:ext cx="0" cy="235501"/>
                          </a:xfrm>
                          <a:prstGeom prst="line">
                            <a:avLst/>
                          </a:prstGeom>
                          <a:noFill/>
                          <a:ln w="9525">
                            <a:solidFill>
                              <a:srgbClr val="000000"/>
                            </a:solidFill>
                            <a:round/>
                            <a:headEnd type="triangle" w="med" len="med"/>
                            <a:tailEnd type="triangle" w="med" len="med"/>
                          </a:ln>
                        </wps:spPr>
                        <wps:bodyPr/>
                      </wps:wsp>
                      <wps:wsp>
                        <wps:cNvPr id="76" name="Line 39262"/>
                        <wps:cNvCnPr>
                          <a:cxnSpLocks noChangeShapeType="1"/>
                        </wps:cNvCnPr>
                        <wps:spPr bwMode="auto">
                          <a:xfrm>
                            <a:off x="1270259" y="197201"/>
                            <a:ext cx="0" cy="992004"/>
                          </a:xfrm>
                          <a:prstGeom prst="line">
                            <a:avLst/>
                          </a:prstGeom>
                          <a:noFill/>
                          <a:ln w="9525">
                            <a:solidFill>
                              <a:srgbClr val="000000"/>
                            </a:solidFill>
                            <a:round/>
                          </a:ln>
                        </wps:spPr>
                        <wps:bodyPr/>
                      </wps:wsp>
                      <wps:wsp>
                        <wps:cNvPr id="77" name="Line 39263"/>
                        <wps:cNvCnPr>
                          <a:cxnSpLocks noChangeShapeType="1"/>
                        </wps:cNvCnPr>
                        <wps:spPr bwMode="auto">
                          <a:xfrm>
                            <a:off x="1260058" y="1173004"/>
                            <a:ext cx="904614" cy="0"/>
                          </a:xfrm>
                          <a:prstGeom prst="line">
                            <a:avLst/>
                          </a:prstGeom>
                          <a:noFill/>
                          <a:ln w="9525">
                            <a:solidFill>
                              <a:srgbClr val="000000"/>
                            </a:solidFill>
                            <a:round/>
                            <a:tailEnd type="triangle" w="sm" len="lg"/>
                          </a:ln>
                        </wps:spPr>
                        <wps:bodyPr/>
                      </wps:wsp>
                      <wps:wsp>
                        <wps:cNvPr id="78" name="Line 39264"/>
                        <wps:cNvCnPr>
                          <a:cxnSpLocks noChangeShapeType="1"/>
                        </wps:cNvCnPr>
                        <wps:spPr bwMode="auto">
                          <a:xfrm>
                            <a:off x="1224354" y="1809707"/>
                            <a:ext cx="2141669" cy="0"/>
                          </a:xfrm>
                          <a:prstGeom prst="line">
                            <a:avLst/>
                          </a:prstGeom>
                          <a:noFill/>
                          <a:ln w="9525">
                            <a:solidFill>
                              <a:srgbClr val="000000"/>
                            </a:solidFill>
                            <a:round/>
                          </a:ln>
                        </wps:spPr>
                        <wps:bodyPr/>
                      </wps:wsp>
                      <wps:wsp>
                        <wps:cNvPr id="79" name="Line 39265"/>
                        <wps:cNvCnPr>
                          <a:cxnSpLocks noChangeShapeType="1"/>
                        </wps:cNvCnPr>
                        <wps:spPr bwMode="auto">
                          <a:xfrm>
                            <a:off x="1224354" y="1809707"/>
                            <a:ext cx="0" cy="234601"/>
                          </a:xfrm>
                          <a:prstGeom prst="line">
                            <a:avLst/>
                          </a:prstGeom>
                          <a:noFill/>
                          <a:ln w="9525">
                            <a:solidFill>
                              <a:srgbClr val="000000"/>
                            </a:solidFill>
                            <a:round/>
                            <a:tailEnd type="triangle" w="sm" len="lg"/>
                          </a:ln>
                        </wps:spPr>
                        <wps:bodyPr/>
                      </wps:wsp>
                      <wps:wsp>
                        <wps:cNvPr id="80" name="Line 39266"/>
                        <wps:cNvCnPr>
                          <a:cxnSpLocks noChangeShapeType="1"/>
                        </wps:cNvCnPr>
                        <wps:spPr bwMode="auto">
                          <a:xfrm>
                            <a:off x="3363522" y="1809707"/>
                            <a:ext cx="0" cy="234601"/>
                          </a:xfrm>
                          <a:prstGeom prst="line">
                            <a:avLst/>
                          </a:prstGeom>
                          <a:noFill/>
                          <a:ln w="9525">
                            <a:solidFill>
                              <a:srgbClr val="000000"/>
                            </a:solidFill>
                            <a:round/>
                            <a:tailEnd type="triangle" w="sm" len="lg"/>
                          </a:ln>
                        </wps:spPr>
                        <wps:bodyPr/>
                      </wps:wsp>
                      <wps:wsp>
                        <wps:cNvPr id="81" name="Text Box 39267"/>
                        <wps:cNvSpPr txBox="1">
                          <a:spLocks noChangeArrowheads="1"/>
                        </wps:cNvSpPr>
                        <wps:spPr bwMode="auto">
                          <a:xfrm>
                            <a:off x="725291" y="2044308"/>
                            <a:ext cx="938618" cy="261001"/>
                          </a:xfrm>
                          <a:prstGeom prst="rect">
                            <a:avLst/>
                          </a:prstGeom>
                          <a:solidFill>
                            <a:srgbClr val="FFFFFF"/>
                          </a:solidFill>
                          <a:ln w="9525">
                            <a:solidFill>
                              <a:srgbClr val="000000"/>
                            </a:solidFill>
                            <a:miter lim="800000"/>
                          </a:ln>
                        </wps:spPr>
                        <wps:txbx>
                          <w:txbxContent>
                            <w:p>
                              <w:pPr>
                                <w:jc w:val="center"/>
                              </w:pPr>
                              <w:r>
                                <w:rPr>
                                  <w:rFonts w:hint="eastAsia"/>
                                </w:rPr>
                                <w:t>码头区工作人员</w:t>
                              </w:r>
                            </w:p>
                          </w:txbxContent>
                        </wps:txbx>
                        <wps:bodyPr rot="0" vert="horz" wrap="square" lIns="0" tIns="45720" rIns="0" bIns="45720" anchor="t" anchorCtr="0" upright="1">
                          <a:noAutofit/>
                        </wps:bodyPr>
                      </wps:wsp>
                      <wps:wsp>
                        <wps:cNvPr id="82" name="Text Box 39268"/>
                        <wps:cNvSpPr txBox="1">
                          <a:spLocks noChangeArrowheads="1"/>
                        </wps:cNvSpPr>
                        <wps:spPr bwMode="auto">
                          <a:xfrm>
                            <a:off x="1766622" y="2008508"/>
                            <a:ext cx="3290408" cy="271101"/>
                          </a:xfrm>
                          <a:prstGeom prst="rect">
                            <a:avLst/>
                          </a:prstGeom>
                          <a:solidFill>
                            <a:srgbClr val="FFFFFF"/>
                          </a:solidFill>
                          <a:ln w="9525">
                            <a:solidFill>
                              <a:srgbClr val="000000"/>
                            </a:solidFill>
                            <a:miter lim="800000"/>
                          </a:ln>
                        </wps:spPr>
                        <wps:txbx>
                          <w:txbxContent>
                            <w:p>
                              <w:pPr>
                                <w:jc w:val="center"/>
                              </w:pPr>
                              <w:r>
                                <w:rPr>
                                  <w:rFonts w:hint="eastAsia"/>
                                </w:rPr>
                                <w:t>华能岳阳电厂生产安全部应急小组</w:t>
                              </w:r>
                            </w:p>
                          </w:txbxContent>
                        </wps:txbx>
                        <wps:bodyPr rot="0" vert="horz" wrap="square" lIns="0" tIns="45720" rIns="0" bIns="45720" anchor="t" anchorCtr="0" upright="1">
                          <a:noAutofit/>
                        </wps:bodyPr>
                      </wps:wsp>
                      <wps:wsp>
                        <wps:cNvPr id="83" name="Line 39269"/>
                        <wps:cNvCnPr>
                          <a:cxnSpLocks noChangeShapeType="1"/>
                        </wps:cNvCnPr>
                        <wps:spPr bwMode="auto">
                          <a:xfrm>
                            <a:off x="3349020" y="2278109"/>
                            <a:ext cx="0" cy="232901"/>
                          </a:xfrm>
                          <a:prstGeom prst="line">
                            <a:avLst/>
                          </a:prstGeom>
                          <a:noFill/>
                          <a:ln w="9525">
                            <a:solidFill>
                              <a:srgbClr val="000000"/>
                            </a:solidFill>
                            <a:round/>
                            <a:headEnd type="triangle" w="med" len="med"/>
                            <a:tailEnd type="triangle" w="med" len="med"/>
                          </a:ln>
                        </wps:spPr>
                        <wps:bodyPr/>
                      </wps:wsp>
                      <wps:wsp>
                        <wps:cNvPr id="84" name="Line 39270"/>
                        <wps:cNvCnPr>
                          <a:cxnSpLocks noChangeShapeType="1"/>
                        </wps:cNvCnPr>
                        <wps:spPr bwMode="auto">
                          <a:xfrm>
                            <a:off x="2445307" y="2512710"/>
                            <a:ext cx="1807527" cy="0"/>
                          </a:xfrm>
                          <a:prstGeom prst="line">
                            <a:avLst/>
                          </a:prstGeom>
                          <a:noFill/>
                          <a:ln w="9525">
                            <a:solidFill>
                              <a:srgbClr val="000000"/>
                            </a:solidFill>
                            <a:round/>
                          </a:ln>
                        </wps:spPr>
                        <wps:bodyPr/>
                      </wps:wsp>
                      <wps:wsp>
                        <wps:cNvPr id="85" name="Line 39271"/>
                        <wps:cNvCnPr>
                          <a:cxnSpLocks noChangeShapeType="1"/>
                        </wps:cNvCnPr>
                        <wps:spPr bwMode="auto">
                          <a:xfrm>
                            <a:off x="2445307" y="2512710"/>
                            <a:ext cx="0" cy="234601"/>
                          </a:xfrm>
                          <a:prstGeom prst="line">
                            <a:avLst/>
                          </a:prstGeom>
                          <a:noFill/>
                          <a:ln w="9525">
                            <a:solidFill>
                              <a:srgbClr val="000000"/>
                            </a:solidFill>
                            <a:round/>
                            <a:tailEnd type="triangle" w="sm" len="lg"/>
                          </a:ln>
                        </wps:spPr>
                        <wps:bodyPr/>
                      </wps:wsp>
                      <wps:wsp>
                        <wps:cNvPr id="86" name="Text Box 39272"/>
                        <wps:cNvSpPr txBox="1">
                          <a:spLocks noChangeArrowheads="1"/>
                        </wps:cNvSpPr>
                        <wps:spPr bwMode="auto">
                          <a:xfrm>
                            <a:off x="2354296" y="2746479"/>
                            <a:ext cx="271234" cy="1268930"/>
                          </a:xfrm>
                          <a:prstGeom prst="rect">
                            <a:avLst/>
                          </a:prstGeom>
                          <a:solidFill>
                            <a:srgbClr val="FFFFFF"/>
                          </a:solidFill>
                          <a:ln w="9525">
                            <a:solidFill>
                              <a:srgbClr val="000000"/>
                            </a:solidFill>
                            <a:miter lim="800000"/>
                          </a:ln>
                        </wps:spPr>
                        <wps:txbx>
                          <w:txbxContent>
                            <w:p>
                              <w:pPr>
                                <w:jc w:val="center"/>
                              </w:pPr>
                              <w:r>
                                <w:rPr>
                                  <w:rFonts w:hint="eastAsia"/>
                                </w:rPr>
                                <w:t>组长副组长</w:t>
                              </w:r>
                            </w:p>
                          </w:txbxContent>
                        </wps:txbx>
                        <wps:bodyPr rot="0" vert="horz" wrap="square" lIns="0" tIns="45720" rIns="0" bIns="45720" anchor="t" anchorCtr="0" upright="1">
                          <a:noAutofit/>
                        </wps:bodyPr>
                      </wps:wsp>
                      <wps:wsp>
                        <wps:cNvPr id="87" name="Line 39273"/>
                        <wps:cNvCnPr>
                          <a:cxnSpLocks noChangeShapeType="1"/>
                        </wps:cNvCnPr>
                        <wps:spPr bwMode="auto">
                          <a:xfrm>
                            <a:off x="3077886" y="2512710"/>
                            <a:ext cx="0" cy="234601"/>
                          </a:xfrm>
                          <a:prstGeom prst="line">
                            <a:avLst/>
                          </a:prstGeom>
                          <a:noFill/>
                          <a:ln w="9525">
                            <a:solidFill>
                              <a:srgbClr val="000000"/>
                            </a:solidFill>
                            <a:round/>
                            <a:tailEnd type="triangle" w="sm" len="lg"/>
                          </a:ln>
                        </wps:spPr>
                        <wps:bodyPr/>
                      </wps:wsp>
                      <wps:wsp>
                        <wps:cNvPr id="88" name="Text Box 39274"/>
                        <wps:cNvSpPr txBox="1">
                          <a:spLocks noChangeArrowheads="1"/>
                        </wps:cNvSpPr>
                        <wps:spPr bwMode="auto">
                          <a:xfrm>
                            <a:off x="2949470" y="2746844"/>
                            <a:ext cx="271234" cy="1339582"/>
                          </a:xfrm>
                          <a:prstGeom prst="rect">
                            <a:avLst/>
                          </a:prstGeom>
                          <a:solidFill>
                            <a:srgbClr val="FFFFFF"/>
                          </a:solidFill>
                          <a:ln w="9525">
                            <a:solidFill>
                              <a:srgbClr val="000000"/>
                            </a:solidFill>
                            <a:miter lim="800000"/>
                          </a:ln>
                        </wps:spPr>
                        <wps:txbx>
                          <w:txbxContent>
                            <w:p>
                              <w:pPr>
                                <w:jc w:val="center"/>
                              </w:pPr>
                              <w:r>
                                <w:rPr>
                                  <w:rFonts w:hint="eastAsia"/>
                                </w:rPr>
                                <w:t>预测评估人员</w:t>
                              </w:r>
                            </w:p>
                          </w:txbxContent>
                        </wps:txbx>
                        <wps:bodyPr rot="0" vert="horz" wrap="square" lIns="91440" tIns="45720" rIns="91440" bIns="45720" anchor="t" anchorCtr="0" upright="1">
                          <a:noAutofit/>
                        </wps:bodyPr>
                      </wps:wsp>
                      <wps:wsp>
                        <wps:cNvPr id="89" name="Line 39275"/>
                        <wps:cNvCnPr>
                          <a:cxnSpLocks noChangeShapeType="1"/>
                        </wps:cNvCnPr>
                        <wps:spPr bwMode="auto">
                          <a:xfrm>
                            <a:off x="3612654" y="2512710"/>
                            <a:ext cx="0" cy="234601"/>
                          </a:xfrm>
                          <a:prstGeom prst="line">
                            <a:avLst/>
                          </a:prstGeom>
                          <a:noFill/>
                          <a:ln w="9525">
                            <a:solidFill>
                              <a:srgbClr val="000000"/>
                            </a:solidFill>
                            <a:round/>
                            <a:tailEnd type="triangle" w="sm" len="lg"/>
                          </a:ln>
                        </wps:spPr>
                        <wps:bodyPr/>
                      </wps:wsp>
                      <wps:wsp>
                        <wps:cNvPr id="91" name="Text Box 39276"/>
                        <wps:cNvSpPr txBox="1">
                          <a:spLocks noChangeArrowheads="1"/>
                        </wps:cNvSpPr>
                        <wps:spPr bwMode="auto">
                          <a:xfrm>
                            <a:off x="3522542" y="2746844"/>
                            <a:ext cx="271134" cy="1355482"/>
                          </a:xfrm>
                          <a:prstGeom prst="rect">
                            <a:avLst/>
                          </a:prstGeom>
                          <a:solidFill>
                            <a:srgbClr val="FFFFFF"/>
                          </a:solidFill>
                          <a:ln w="9525">
                            <a:solidFill>
                              <a:srgbClr val="000000"/>
                            </a:solidFill>
                            <a:miter lim="800000"/>
                          </a:ln>
                        </wps:spPr>
                        <wps:txbx>
                          <w:txbxContent>
                            <w:p>
                              <w:pPr>
                                <w:jc w:val="center"/>
                              </w:pPr>
                              <w:r>
                                <w:rPr>
                                  <w:rFonts w:hint="eastAsia"/>
                                </w:rPr>
                                <w:t>应急处理人员</w:t>
                              </w:r>
                            </w:p>
                          </w:txbxContent>
                        </wps:txbx>
                        <wps:bodyPr rot="0" vert="horz" wrap="square" lIns="91440" tIns="45720" rIns="91440" bIns="45720" anchor="t" anchorCtr="0" upright="1">
                          <a:noAutofit/>
                        </wps:bodyPr>
                      </wps:wsp>
                      <wps:wsp>
                        <wps:cNvPr id="92" name="Line 39277"/>
                        <wps:cNvCnPr>
                          <a:cxnSpLocks noChangeShapeType="1"/>
                        </wps:cNvCnPr>
                        <wps:spPr bwMode="auto">
                          <a:xfrm>
                            <a:off x="4252834" y="2512710"/>
                            <a:ext cx="0" cy="234601"/>
                          </a:xfrm>
                          <a:prstGeom prst="line">
                            <a:avLst/>
                          </a:prstGeom>
                          <a:noFill/>
                          <a:ln w="9525">
                            <a:solidFill>
                              <a:srgbClr val="000000"/>
                            </a:solidFill>
                            <a:round/>
                            <a:tailEnd type="triangle" w="sm" len="lg"/>
                          </a:ln>
                        </wps:spPr>
                        <wps:bodyPr/>
                      </wps:wsp>
                      <wps:wsp>
                        <wps:cNvPr id="93" name="Text Box 39278"/>
                        <wps:cNvSpPr txBox="1">
                          <a:spLocks noChangeArrowheads="1"/>
                        </wps:cNvSpPr>
                        <wps:spPr bwMode="auto">
                          <a:xfrm>
                            <a:off x="4162723" y="2747310"/>
                            <a:ext cx="271234" cy="861103"/>
                          </a:xfrm>
                          <a:prstGeom prst="rect">
                            <a:avLst/>
                          </a:prstGeom>
                          <a:solidFill>
                            <a:srgbClr val="FFFFFF"/>
                          </a:solidFill>
                          <a:ln w="9525">
                            <a:solidFill>
                              <a:srgbClr val="000000"/>
                            </a:solidFill>
                            <a:miter lim="800000"/>
                          </a:ln>
                        </wps:spPr>
                        <wps:txbx>
                          <w:txbxContent>
                            <w:p>
                              <w:pPr>
                                <w:jc w:val="center"/>
                              </w:pPr>
                              <w:r>
                                <w:rPr>
                                  <w:rFonts w:hint="eastAsia"/>
                                </w:rPr>
                                <w:t>值班人员</w:t>
                              </w:r>
                            </w:p>
                          </w:txbxContent>
                        </wps:txbx>
                        <wps:bodyPr rot="0" vert="horz" wrap="square" lIns="91440" tIns="45720" rIns="91440" bIns="45720" anchor="t" anchorCtr="0" upright="1">
                          <a:noAutofit/>
                        </wps:bodyPr>
                      </wps:wsp>
                      <wps:wsp>
                        <wps:cNvPr id="94" name="Line 39279"/>
                        <wps:cNvCnPr>
                          <a:cxnSpLocks noChangeShapeType="1"/>
                        </wps:cNvCnPr>
                        <wps:spPr bwMode="auto">
                          <a:xfrm>
                            <a:off x="1217553" y="2278109"/>
                            <a:ext cx="0" cy="232901"/>
                          </a:xfrm>
                          <a:prstGeom prst="line">
                            <a:avLst/>
                          </a:prstGeom>
                          <a:noFill/>
                          <a:ln w="9525">
                            <a:solidFill>
                              <a:srgbClr val="000000"/>
                            </a:solidFill>
                            <a:round/>
                            <a:headEnd type="triangle" w="sm" len="lg"/>
                            <a:tailEnd type="none" w="sm" len="lg"/>
                          </a:ln>
                        </wps:spPr>
                        <wps:bodyPr/>
                      </wps:wsp>
                      <wps:wsp>
                        <wps:cNvPr id="95" name="Line 39280"/>
                        <wps:cNvCnPr>
                          <a:cxnSpLocks noChangeShapeType="1"/>
                        </wps:cNvCnPr>
                        <wps:spPr bwMode="auto">
                          <a:xfrm>
                            <a:off x="727891" y="2512710"/>
                            <a:ext cx="903713" cy="0"/>
                          </a:xfrm>
                          <a:prstGeom prst="line">
                            <a:avLst/>
                          </a:prstGeom>
                          <a:noFill/>
                          <a:ln w="9525">
                            <a:solidFill>
                              <a:srgbClr val="000000"/>
                            </a:solidFill>
                            <a:round/>
                          </a:ln>
                        </wps:spPr>
                        <wps:bodyPr/>
                      </wps:wsp>
                      <wps:wsp>
                        <wps:cNvPr id="96" name="Line 39281"/>
                        <wps:cNvCnPr>
                          <a:cxnSpLocks noChangeShapeType="1"/>
                        </wps:cNvCnPr>
                        <wps:spPr bwMode="auto">
                          <a:xfrm>
                            <a:off x="727891" y="2511010"/>
                            <a:ext cx="0" cy="235501"/>
                          </a:xfrm>
                          <a:prstGeom prst="line">
                            <a:avLst/>
                          </a:prstGeom>
                          <a:noFill/>
                          <a:ln w="9525">
                            <a:solidFill>
                              <a:srgbClr val="000000"/>
                            </a:solidFill>
                            <a:round/>
                            <a:tailEnd type="triangle" w="sm" len="lg"/>
                          </a:ln>
                        </wps:spPr>
                        <wps:bodyPr/>
                      </wps:wsp>
                      <wps:wsp>
                        <wps:cNvPr id="97" name="Line 39282"/>
                        <wps:cNvCnPr>
                          <a:cxnSpLocks noChangeShapeType="1"/>
                        </wps:cNvCnPr>
                        <wps:spPr bwMode="auto">
                          <a:xfrm>
                            <a:off x="1631605" y="2512710"/>
                            <a:ext cx="0" cy="234601"/>
                          </a:xfrm>
                          <a:prstGeom prst="line">
                            <a:avLst/>
                          </a:prstGeom>
                          <a:noFill/>
                          <a:ln w="9525">
                            <a:solidFill>
                              <a:srgbClr val="000000"/>
                            </a:solidFill>
                            <a:round/>
                            <a:tailEnd type="triangle" w="sm" len="lg"/>
                          </a:ln>
                        </wps:spPr>
                        <wps:bodyPr/>
                      </wps:wsp>
                      <wps:wsp>
                        <wps:cNvPr id="98" name="Text Box 39283"/>
                        <wps:cNvSpPr txBox="1">
                          <a:spLocks noChangeArrowheads="1"/>
                        </wps:cNvSpPr>
                        <wps:spPr bwMode="auto">
                          <a:xfrm>
                            <a:off x="637780" y="2747310"/>
                            <a:ext cx="270334" cy="861103"/>
                          </a:xfrm>
                          <a:prstGeom prst="rect">
                            <a:avLst/>
                          </a:prstGeom>
                          <a:solidFill>
                            <a:srgbClr val="FFFFFF"/>
                          </a:solidFill>
                          <a:ln w="9525">
                            <a:solidFill>
                              <a:srgbClr val="000000"/>
                            </a:solidFill>
                            <a:miter lim="800000"/>
                          </a:ln>
                        </wps:spPr>
                        <wps:txbx>
                          <w:txbxContent>
                            <w:p>
                              <w:r>
                                <w:rPr>
                                  <w:rFonts w:hint="eastAsia"/>
                                </w:rPr>
                                <w:t>码</w:t>
                              </w:r>
                            </w:p>
                            <w:p>
                              <w:r>
                                <w:rPr>
                                  <w:rFonts w:hint="eastAsia"/>
                                </w:rPr>
                                <w:t>头</w:t>
                              </w:r>
                            </w:p>
                            <w:p>
                              <w:r>
                                <w:rPr>
                                  <w:rFonts w:hint="eastAsia"/>
                                </w:rPr>
                                <w:t>长</w:t>
                              </w:r>
                            </w:p>
                          </w:txbxContent>
                        </wps:txbx>
                        <wps:bodyPr rot="0" vert="horz" wrap="square" lIns="91440" tIns="45720" rIns="91440" bIns="45720" anchor="t" anchorCtr="0" upright="1">
                          <a:noAutofit/>
                        </wps:bodyPr>
                      </wps:wsp>
                      <wps:wsp>
                        <wps:cNvPr id="99" name="Text Box 39284"/>
                        <wps:cNvSpPr txBox="1">
                          <a:spLocks noChangeArrowheads="1"/>
                        </wps:cNvSpPr>
                        <wps:spPr bwMode="auto">
                          <a:xfrm>
                            <a:off x="1540693" y="2746577"/>
                            <a:ext cx="271134" cy="1340393"/>
                          </a:xfrm>
                          <a:prstGeom prst="rect">
                            <a:avLst/>
                          </a:prstGeom>
                          <a:solidFill>
                            <a:srgbClr val="FFFFFF"/>
                          </a:solidFill>
                          <a:ln w="9525">
                            <a:solidFill>
                              <a:srgbClr val="000000"/>
                            </a:solidFill>
                            <a:miter lim="800000"/>
                          </a:ln>
                        </wps:spPr>
                        <wps:txbx>
                          <w:txbxContent>
                            <w:p>
                              <w:pPr>
                                <w:jc w:val="center"/>
                              </w:pPr>
                              <w:r>
                                <w:rPr>
                                  <w:rFonts w:hint="eastAsia"/>
                                </w:rPr>
                                <w:t>码头值班人员</w:t>
                              </w:r>
                            </w:p>
                          </w:txbxContent>
                        </wps:txbx>
                        <wps:bodyPr rot="0" vert="horz" wrap="square" lIns="91440" tIns="45720" rIns="91440" bIns="45720" anchor="t" anchorCtr="0" upright="1">
                          <a:noAutofit/>
                        </wps:bodyPr>
                      </wps:wsp>
                      <wps:wsp>
                        <wps:cNvPr id="100" name="Line 39285"/>
                        <wps:cNvCnPr>
                          <a:cxnSpLocks noChangeShapeType="1"/>
                        </wps:cNvCnPr>
                        <wps:spPr bwMode="auto">
                          <a:xfrm>
                            <a:off x="1217553" y="2512710"/>
                            <a:ext cx="0" cy="234601"/>
                          </a:xfrm>
                          <a:prstGeom prst="line">
                            <a:avLst/>
                          </a:prstGeom>
                          <a:noFill/>
                          <a:ln w="9525">
                            <a:solidFill>
                              <a:srgbClr val="000000"/>
                            </a:solidFill>
                            <a:round/>
                            <a:tailEnd type="triangle" w="sm" len="lg"/>
                          </a:ln>
                        </wps:spPr>
                        <wps:bodyPr/>
                      </wps:wsp>
                      <wps:wsp>
                        <wps:cNvPr id="101" name="Text Box 39286"/>
                        <wps:cNvSpPr txBox="1">
                          <a:spLocks noChangeArrowheads="1"/>
                        </wps:cNvSpPr>
                        <wps:spPr bwMode="auto">
                          <a:xfrm>
                            <a:off x="1089237" y="2746578"/>
                            <a:ext cx="271134" cy="1356295"/>
                          </a:xfrm>
                          <a:prstGeom prst="rect">
                            <a:avLst/>
                          </a:prstGeom>
                          <a:solidFill>
                            <a:srgbClr val="FFFFFF"/>
                          </a:solidFill>
                          <a:ln w="9525">
                            <a:solidFill>
                              <a:srgbClr val="000000"/>
                            </a:solidFill>
                            <a:miter lim="800000"/>
                          </a:ln>
                        </wps:spPr>
                        <wps:txbx>
                          <w:txbxContent>
                            <w:p>
                              <w:pPr>
                                <w:jc w:val="center"/>
                              </w:pPr>
                              <w:r>
                                <w:rPr>
                                  <w:rFonts w:hint="eastAsia"/>
                                </w:rPr>
                                <w:t>码头工作人员</w:t>
                              </w:r>
                            </w:p>
                          </w:txbxContent>
                        </wps:txbx>
                        <wps:bodyPr rot="0" vert="horz" wrap="square" lIns="91440" tIns="45720" rIns="91440" bIns="45720" anchor="t" anchorCtr="0" upright="1">
                          <a:noAutofit/>
                        </wps:bodyPr>
                      </wps:wsp>
                      <wps:wsp>
                        <wps:cNvPr id="102" name="Line 39287"/>
                        <wps:cNvCnPr>
                          <a:cxnSpLocks noChangeShapeType="1"/>
                        </wps:cNvCnPr>
                        <wps:spPr bwMode="auto">
                          <a:xfrm flipV="1">
                            <a:off x="2174073" y="368001"/>
                            <a:ext cx="0" cy="235501"/>
                          </a:xfrm>
                          <a:prstGeom prst="line">
                            <a:avLst/>
                          </a:prstGeom>
                          <a:noFill/>
                          <a:ln w="9525">
                            <a:solidFill>
                              <a:srgbClr val="000000"/>
                            </a:solidFill>
                            <a:round/>
                            <a:tailEnd type="triangle" w="sm" len="lg"/>
                          </a:ln>
                        </wps:spPr>
                        <wps:bodyPr/>
                      </wps:wsp>
                      <wps:wsp>
                        <wps:cNvPr id="103" name="Line 39288"/>
                        <wps:cNvCnPr>
                          <a:cxnSpLocks noChangeShapeType="1"/>
                        </wps:cNvCnPr>
                        <wps:spPr bwMode="auto">
                          <a:xfrm flipV="1">
                            <a:off x="2174073" y="952004"/>
                            <a:ext cx="0" cy="329801"/>
                          </a:xfrm>
                          <a:prstGeom prst="line">
                            <a:avLst/>
                          </a:prstGeom>
                          <a:noFill/>
                          <a:ln w="9525">
                            <a:solidFill>
                              <a:srgbClr val="000000"/>
                            </a:solidFill>
                            <a:round/>
                            <a:tailEnd type="triangle" w="sm" len="lg"/>
                          </a:ln>
                        </wps:spPr>
                        <wps:bodyPr/>
                      </wps:wsp>
                      <wps:wsp>
                        <wps:cNvPr id="104" name="Line 39289"/>
                        <wps:cNvCnPr>
                          <a:cxnSpLocks noChangeShapeType="1"/>
                        </wps:cNvCnPr>
                        <wps:spPr bwMode="auto">
                          <a:xfrm>
                            <a:off x="1270259" y="215901"/>
                            <a:ext cx="270434" cy="0"/>
                          </a:xfrm>
                          <a:prstGeom prst="line">
                            <a:avLst/>
                          </a:prstGeom>
                          <a:noFill/>
                          <a:ln w="9525">
                            <a:solidFill>
                              <a:srgbClr val="000000"/>
                            </a:solidFill>
                            <a:round/>
                          </a:ln>
                        </wps:spPr>
                        <wps:bodyPr/>
                      </wps:wsp>
                      <wps:wsp>
                        <wps:cNvPr id="105" name="Text Box 39290"/>
                        <wps:cNvSpPr txBox="1">
                          <a:spLocks noChangeArrowheads="1"/>
                        </wps:cNvSpPr>
                        <wps:spPr bwMode="auto">
                          <a:xfrm>
                            <a:off x="3258109" y="621302"/>
                            <a:ext cx="1265959" cy="329001"/>
                          </a:xfrm>
                          <a:prstGeom prst="rect">
                            <a:avLst/>
                          </a:prstGeom>
                          <a:solidFill>
                            <a:srgbClr val="FFFFFF"/>
                          </a:solidFill>
                          <a:ln w="9525">
                            <a:solidFill>
                              <a:srgbClr val="000000"/>
                            </a:solidFill>
                            <a:miter lim="800000"/>
                          </a:ln>
                        </wps:spPr>
                        <wps:txbx>
                          <w:txbxContent>
                            <w:p>
                              <w:pPr>
                                <w:jc w:val="center"/>
                              </w:pPr>
                              <w:r>
                                <w:rPr>
                                  <w:rFonts w:hint="eastAsia"/>
                                </w:rPr>
                                <w:t>技术咨询专家评估</w:t>
                              </w:r>
                            </w:p>
                          </w:txbxContent>
                        </wps:txbx>
                        <wps:bodyPr rot="0" vert="horz" wrap="square" lIns="91440" tIns="45720" rIns="91440" bIns="45720" anchor="t" anchorCtr="0" upright="1">
                          <a:noAutofit/>
                        </wps:bodyPr>
                      </wps:wsp>
                      <wps:wsp>
                        <wps:cNvPr id="106" name="Line 39291"/>
                        <wps:cNvCnPr>
                          <a:cxnSpLocks noChangeShapeType="1"/>
                        </wps:cNvCnPr>
                        <wps:spPr bwMode="auto">
                          <a:xfrm>
                            <a:off x="2939269" y="843203"/>
                            <a:ext cx="309439" cy="0"/>
                          </a:xfrm>
                          <a:prstGeom prst="line">
                            <a:avLst/>
                          </a:prstGeom>
                          <a:noFill/>
                          <a:ln w="9525">
                            <a:solidFill>
                              <a:srgbClr val="000000"/>
                            </a:solidFill>
                            <a:round/>
                            <a:tailEnd type="triangle" w="sm" len="lg"/>
                          </a:ln>
                        </wps:spPr>
                        <wps:bodyPr/>
                      </wps:wsp>
                      <wps:wsp>
                        <wps:cNvPr id="107" name="Line 39292"/>
                        <wps:cNvCnPr>
                          <a:cxnSpLocks noChangeShapeType="1"/>
                        </wps:cNvCnPr>
                        <wps:spPr bwMode="auto">
                          <a:xfrm>
                            <a:off x="2911165" y="727603"/>
                            <a:ext cx="308639" cy="0"/>
                          </a:xfrm>
                          <a:prstGeom prst="line">
                            <a:avLst/>
                          </a:prstGeom>
                          <a:noFill/>
                          <a:ln w="9525">
                            <a:solidFill>
                              <a:srgbClr val="000000"/>
                            </a:solidFill>
                            <a:round/>
                            <a:headEnd type="triangle" w="sm" len="lg"/>
                          </a:ln>
                        </wps:spPr>
                        <wps:bodyPr/>
                      </wps:wsp>
                    </wpc:wpc>
                  </a:graphicData>
                </a:graphic>
              </wp:inline>
            </w:drawing>
          </mc:Choice>
          <mc:Fallback>
            <w:pict>
              <v:group id="_x0000_s1026" o:spid="_x0000_s1026" o:spt="203" style="height:343.05pt;width:442.15pt;" coordsize="5615305,4356735" editas="canvas" o:gfxdata="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">
                <o:lock v:ext="edit" aspectratio="f"/>
                <v:shape id="_x0000_s1026" o:spid="_x0000_s1026" style="position:absolute;left:0;top:0;height:4356735;width:5615305;" filled="f" stroked="t" coordsize="21600,21600" o:gfxdata="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">
                  <v:fill on="f" focussize="0,0"/>
                  <v:stroke weight="1.5pt" color="#000000" miterlimit="8" joinstyle="miter"/>
                  <v:imagedata o:title=""/>
                  <o:lock v:ext="edit" aspectratio="f"/>
                </v:shape>
                <v:shape id="Text Box 39256" o:spid="_x0000_s1026" o:spt="202" type="#_x0000_t202" style="position:absolute;left:1540693;top:85800;height:267801;width:2525917;" fillcolor="#FFFFFF" filled="t" stroked="t" coordsize="21600,21600" o:gfxdata="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ypqBZ1QAAAAUB&#10;AAAPAAAAAAAAAAEAIAAAACIAAABkcnMvZG93bnJldi54bWxQSwECFAAUAAAACACHTuJATpK+gh4C&#10;AAA/BAAADgAAAAAAAAABACAAAAAkAQAAZHJzL2Uyb0RvYy54bWxQSwUGAAAAAAYABgBZAQAAtAUA&#10;AAAA&#10;">
                  <v:fill on="t" focussize="0,0"/>
                  <v:stroke color="#000000" miterlimit="8" joinstyle="miter"/>
                  <v:imagedata o:title=""/>
                  <o:lock v:ext="edit" aspectratio="f"/>
                  <v:textbox inset="0mm,1.27mm,0mm,1.27mm">
                    <w:txbxContent>
                      <w:p>
                        <w:pPr>
                          <w:jc w:val="center"/>
                        </w:pPr>
                        <w:r>
                          <w:rPr>
                            <w:rFonts w:hint="eastAsia"/>
                          </w:rPr>
                          <w:t>岳阳海事局海事监管中心（事故总指挥）</w:t>
                        </w:r>
                      </w:p>
                    </w:txbxContent>
                  </v:textbox>
                </v:shape>
                <v:line id="Line 39257" o:spid="_x0000_s1026" o:spt="20" style="position:absolute;left:2283787;top:349301;height:263501;width:0;" filled="f" stroked="t" coordsize="21600,21600" o:gfxdata="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ym9WbXAAAABQEAAA8AAAAAAAAA&#10;AQAgAAAAIgAAAGRycy9kb3ducmV2LnhtbFBLAQIUABQAAAAIAIdO4kDRyplE2QEAAIwDAAAOAAAA&#10;AAAAAAEAIAAAACYBAABkcnMvZTJvRG9jLnhtbFBLBQYAAAAABgAGAFkBAABxBQAAAAA=&#10;">
                  <v:fill on="f" focussize="0,0"/>
                  <v:stroke color="#000000" joinstyle="round" endarrow="block" endarrowwidth="narrow" endarrowlength="long"/>
                  <v:imagedata o:title=""/>
                  <o:lock v:ext="edit" aspectratio="f"/>
                </v:line>
                <v:shape id="Text Box 39258" o:spid="_x0000_s1026" o:spt="202" type="#_x0000_t202" style="position:absolute;left:1540693;top:621302;height:293098;width:1383274;" fillcolor="#FFFFFF" filled="t" stroked="t" coordsize="21600,21600" o:gfxdata="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xkXN&#10;eNYAAAAFAQAADwAAAAAAAAABACAAAAAiAAAAZHJzL2Rvd25yZXYueG1sUEsBAhQAFAAAAAgAh07i&#10;QAytLEgkAgAASAQAAA4AAAAAAAAAAQAgAAAAJQEAAGRycy9lMm9Eb2MueG1sUEsFBgAAAAAGAAYA&#10;WQEAALsFAAAAAA==&#10;">
                  <v:fill on="t" focussize="0,0"/>
                  <v:stroke color="#000000" miterlimit="8" joinstyle="miter"/>
                  <v:imagedata o:title=""/>
                  <o:lock v:ext="edit" aspectratio="f"/>
                  <v:textbox>
                    <w:txbxContent>
                      <w:p>
                        <w:pPr>
                          <w:jc w:val="center"/>
                        </w:pPr>
                        <w:r>
                          <w:rPr>
                            <w:rFonts w:hint="eastAsia"/>
                          </w:rPr>
                          <w:t>环保主管部门</w:t>
                        </w:r>
                      </w:p>
                    </w:txbxContent>
                  </v:textbox>
                </v:shape>
                <v:line id="Line 39259" o:spid="_x0000_s1026" o:spt="20" style="position:absolute;left:2264184;top:952004;height:349401;width:0;" filled="f" stroked="t" coordsize="21600,21600" o:gfxdata="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ym9WbXAAAABQEAAA8AAAAAAAAAAQAg&#10;AAAAIgAAAGRycy9kb3ducmV2LnhtbFBLAQIUABQAAAAIAIdO4kCaJcCs1gEAAIwDAAAOAAAAAAAA&#10;AAEAIAAAACYBAABkcnMvZTJvRG9jLnhtbFBLBQYAAAAABgAGAFkBAABuBQAAAAA=&#10;">
                  <v:fill on="f" focussize="0,0"/>
                  <v:stroke color="#000000" joinstyle="round" endarrow="block" endarrowwidth="narrow" endarrowlength="long"/>
                  <v:imagedata o:title=""/>
                  <o:lock v:ext="edit" aspectratio="f"/>
                </v:line>
                <v:shape id="Text Box 39260" o:spid="_x0000_s1026" o:spt="202" type="#_x0000_t202" style="position:absolute;left:796000;top:1308105;height:258401;width:3624910;" fillcolor="#FFFFFF" filled="t" stroked="t" coordsize="21600,21600" o:gfxdata="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kXNeNYAAAAFAQAADwAAAAAAAAABACAAAAAiAAAAZHJzL2Rvd25yZXYueG1sUEsBAhQAFAAAAAgA&#10;h07iQJKow3AnAgAASAQAAA4AAAAAAAAAAQAgAAAAJQEAAGRycy9lMm9Eb2MueG1sUEsFBgAAAAAG&#10;AAYAWQEAAL4FAAAAAA==&#10;">
                  <v:fill on="t" focussize="0,0"/>
                  <v:stroke color="#000000" miterlimit="8" joinstyle="miter"/>
                  <v:imagedata o:title=""/>
                  <o:lock v:ext="edit" aspectratio="f"/>
                  <v:textbox>
                    <w:txbxContent>
                      <w:p>
                        <w:pPr>
                          <w:jc w:val="center"/>
                        </w:pPr>
                        <w:r>
                          <w:rPr>
                            <w:rFonts w:hint="eastAsia"/>
                          </w:rPr>
                          <w:t>华能岳阳电厂生产安全部（现场总监）</w:t>
                        </w:r>
                      </w:p>
                    </w:txbxContent>
                  </v:textbox>
                </v:shape>
                <v:line id="Line 39261" o:spid="_x0000_s1026" o:spt="20" style="position:absolute;left:2264184;top:1575106;height:235501;width:0;" filled="f" stroked="t" coordsize="21600,21600" o:gfxdata="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Xktb9YAAAAFAQAA&#10;DwAAAAAAAAABACAAAAAiAAAAZHJzL2Rvd25yZXYueG1sUEsBAhQAFAAAAAgAh07iQC3s9YriAQAA&#10;vQMAAA4AAAAAAAAAAQAgAAAAJQEAAGRycy9lMm9Eb2MueG1sUEsFBgAAAAAGAAYAWQEAAHkFAAAA&#10;AA==&#10;">
                  <v:fill on="f" focussize="0,0"/>
                  <v:stroke color="#000000" joinstyle="round" startarrow="block" endarrow="block"/>
                  <v:imagedata o:title=""/>
                  <o:lock v:ext="edit" aspectratio="f"/>
                </v:line>
                <v:line id="Line 39262" o:spid="_x0000_s1026" o:spt="20" style="position:absolute;left:1270259;top:197201;height:992004;width:0;" filled="f" stroked="t" coordsize="21600,21600" o:gfxdata="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J63WeNUAAAAFAQAADwAAAAAAAAABACAAAAAiAAAAZHJzL2Rvd25yZXYueG1sUEsBAhQA&#10;FAAAAAgAh07iQCz1K4K8AQAAYAMAAA4AAAAAAAAAAQAgAAAAJAEAAGRycy9lMm9Eb2MueG1sUEsF&#10;BgAAAAAGAAYAWQEAAFIFAAAAAA==&#10;">
                  <v:fill on="f" focussize="0,0"/>
                  <v:stroke color="#000000" joinstyle="round"/>
                  <v:imagedata o:title=""/>
                  <o:lock v:ext="edit" aspectratio="f"/>
                </v:line>
                <v:line id="Line 39263" o:spid="_x0000_s1026" o:spt="20" style="position:absolute;left:1260058;top:1173004;height:0;width:904614;" filled="f" stroked="t" coordsize="21600,21600" o:gfxdata="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ym9WbXAAAABQEAAA8AAAAAAAAA&#10;AQAgAAAAIgAAAGRycy9kb3ducmV2LnhtbFBLAQIUABQAAAAIAIdO4kBci7wX2QEAAI0DAAAOAAAA&#10;AAAAAAEAIAAAACYBAABkcnMvZTJvRG9jLnhtbFBLBQYAAAAABgAGAFkBAABxBQAAAAA=&#10;">
                  <v:fill on="f" focussize="0,0"/>
                  <v:stroke color="#000000" joinstyle="round" endarrow="block" endarrowwidth="narrow" endarrowlength="long"/>
                  <v:imagedata o:title=""/>
                  <o:lock v:ext="edit" aspectratio="f"/>
                </v:line>
                <v:line id="Line 39264" o:spid="_x0000_s1026" o:spt="20" style="position:absolute;left:1224354;top:1809707;height:0;width:2141669;" filled="f" stroked="t" coordsize="21600,21600" o:gfxdata="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63WeNUAAAAFAQAADwAAAAAAAAABACAAAAAiAAAAZHJzL2Rvd25yZXYueG1s&#10;UEsBAhQAFAAAAAgAh07iQJqXHE/CAQAAYgMAAA4AAAAAAAAAAQAgAAAAJAEAAGRycy9lMm9Eb2Mu&#10;eG1sUEsFBgAAAAAGAAYAWQEAAFgFAAAAAA==&#10;">
                  <v:fill on="f" focussize="0,0"/>
                  <v:stroke color="#000000" joinstyle="round"/>
                  <v:imagedata o:title=""/>
                  <o:lock v:ext="edit" aspectratio="f"/>
                </v:line>
                <v:line id="Line 39265" o:spid="_x0000_s1026" o:spt="20" style="position:absolute;left:1224354;top:1809707;height:234601;width:0;" filled="f" stroked="t" coordsize="21600,21600" o:gfxdata="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ym9WbXAAAABQEAAA8AAAAAAAAA&#10;AQAgAAAAIgAAAGRycy9kb3ducmV2LnhtbFBLAQIUABQAAAAIAIdO4kAm5JRJ2QEAAI0DAAAOAAAA&#10;AAAAAAEAIAAAACYBAABkcnMvZTJvRG9jLnhtbFBLBQYAAAAABgAGAFkBAABxBQAAAAA=&#10;">
                  <v:fill on="f" focussize="0,0"/>
                  <v:stroke color="#000000" joinstyle="round" endarrow="block" endarrowwidth="narrow" endarrowlength="long"/>
                  <v:imagedata o:title=""/>
                  <o:lock v:ext="edit" aspectratio="f"/>
                </v:line>
                <v:line id="Line 39266" o:spid="_x0000_s1026" o:spt="20" style="position:absolute;left:3363522;top:1809707;height:234601;width:0;" filled="f" stroked="t" coordsize="21600,21600" o:gfxdata="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ym9WbXAAAABQEAAA8AAAAAAAAA&#10;AQAgAAAAIgAAAGRycy9kb3ducmV2LnhtbFBLAQIUABQAAAAIAIdO4kDVAMvC2QEAAI0DAAAOAAAA&#10;AAAAAAEAIAAAACYBAABkcnMvZTJvRG9jLnhtbFBLBQYAAAAABgAGAFkBAABxBQAAAAA=&#10;">
                  <v:fill on="f" focussize="0,0"/>
                  <v:stroke color="#000000" joinstyle="round" endarrow="block" endarrowwidth="narrow" endarrowlength="long"/>
                  <v:imagedata o:title=""/>
                  <o:lock v:ext="edit" aspectratio="f"/>
                </v:line>
                <v:shape id="Text Box 39267" o:spid="_x0000_s1026" o:spt="202" type="#_x0000_t202" style="position:absolute;left:725291;top:2044308;height:261001;width:938618;" fillcolor="#FFFFFF" filled="t" stroked="t" coordsize="21600,21600" o:gfxdata="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ypqBZ1QAAAAUB&#10;AAAPAAAAAAAAAAEAIAAAACIAAABkcnMvZG93bnJldi54bWxQSwECFAAUAAAACACHTuJAAYZF3B4C&#10;AAA/BAAADgAAAAAAAAABACAAAAAkAQAAZHJzL2Uyb0RvYy54bWxQSwUGAAAAAAYABgBZAQAAtAUA&#10;AAAA&#10;">
                  <v:fill on="t" focussize="0,0"/>
                  <v:stroke color="#000000" miterlimit="8" joinstyle="miter"/>
                  <v:imagedata o:title=""/>
                  <o:lock v:ext="edit" aspectratio="f"/>
                  <v:textbox inset="0mm,1.27mm,0mm,1.27mm">
                    <w:txbxContent>
                      <w:p>
                        <w:pPr>
                          <w:jc w:val="center"/>
                        </w:pPr>
                        <w:r>
                          <w:rPr>
                            <w:rFonts w:hint="eastAsia"/>
                          </w:rPr>
                          <w:t>码头区工作人员</w:t>
                        </w:r>
                      </w:p>
                    </w:txbxContent>
                  </v:textbox>
                </v:shape>
                <v:shape id="Text Box 39268" o:spid="_x0000_s1026" o:spt="202" type="#_x0000_t202" style="position:absolute;left:1766622;top:2008508;height:271101;width:3290408;" fillcolor="#FFFFFF" filled="t" stroked="t" coordsize="21600,21600" o:gfxdata="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qagWdUAAAAF&#10;AQAADwAAAAAAAAABACAAAAAiAAAAZHJzL2Rvd25yZXYueG1sUEsBAhQAFAAAAAgAh07iQONC4m4f&#10;AgAAQQQAAA4AAAAAAAAAAQAgAAAAJAEAAGRycy9lMm9Eb2MueG1sUEsFBgAAAAAGAAYAWQEAALUF&#10;AAAAAA==&#10;">
                  <v:fill on="t" focussize="0,0"/>
                  <v:stroke color="#000000" miterlimit="8" joinstyle="miter"/>
                  <v:imagedata o:title=""/>
                  <o:lock v:ext="edit" aspectratio="f"/>
                  <v:textbox inset="0mm,1.27mm,0mm,1.27mm">
                    <w:txbxContent>
                      <w:p>
                        <w:pPr>
                          <w:jc w:val="center"/>
                        </w:pPr>
                        <w:r>
                          <w:rPr>
                            <w:rFonts w:hint="eastAsia"/>
                          </w:rPr>
                          <w:t>华能岳阳电厂生产安全部应急小组</w:t>
                        </w:r>
                      </w:p>
                    </w:txbxContent>
                  </v:textbox>
                </v:shape>
                <v:line id="Line 39269" o:spid="_x0000_s1026" o:spt="20" style="position:absolute;left:3349020;top:2278109;height:232901;width:0;" filled="f" stroked="t" coordsize="21600,21600" o:gfxdata="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JeS1v1gAAAAUBAAAP&#10;AAAAAAAAAAEAIAAAACIAAABkcnMvZG93bnJldi54bWxQSwECFAAUAAAACACHTuJAdFbKUuEBAAC9&#10;AwAADgAAAAAAAAABACAAAAAlAQAAZHJzL2Uyb0RvYy54bWxQSwUGAAAAAAYABgBZAQAAeAUAAAAA&#10;">
                  <v:fill on="f" focussize="0,0"/>
                  <v:stroke color="#000000" joinstyle="round" startarrow="block" endarrow="block"/>
                  <v:imagedata o:title=""/>
                  <o:lock v:ext="edit" aspectratio="f"/>
                </v:line>
                <v:line id="Line 39270" o:spid="_x0000_s1026" o:spt="20" style="position:absolute;left:2445307;top:2512710;height:0;width:1807527;" filled="f" stroked="t" coordsize="21600,21600" o:gfxdata="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63WeNUAAAAFAQAADwAAAAAAAAABACAAAAAiAAAAZHJzL2Rvd25yZXYueG1s&#10;UEsBAhQAFAAAAAgAh07iQEXCjuDCAQAAYgMAAA4AAAAAAAAAAQAgAAAAJAEAAGRycy9lMm9Eb2Mu&#10;eG1sUEsFBgAAAAAGAAYAWQEAAFgFAAAAAA==&#10;">
                  <v:fill on="f" focussize="0,0"/>
                  <v:stroke color="#000000" joinstyle="round"/>
                  <v:imagedata o:title=""/>
                  <o:lock v:ext="edit" aspectratio="f"/>
                </v:line>
                <v:line id="Line 39271" o:spid="_x0000_s1026" o:spt="20" style="position:absolute;left:2445307;top:2512710;height:234601;width:0;" filled="f" stroked="t" coordsize="21600,21600" o:gfxdata="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8pvVm1wAAAAUBAAAPAAAAAAAAAAEA&#10;IAAAACIAAABkcnMvZG93bnJldi54bWxQSwECFAAUAAAACACHTuJAKkAT59cBAACNAwAADgAAAAAA&#10;AAABACAAAAAmAQAAZHJzL2Uyb0RvYy54bWxQSwUGAAAAAAYABgBZAQAAbwUAAAAA&#10;">
                  <v:fill on="f" focussize="0,0"/>
                  <v:stroke color="#000000" joinstyle="round" endarrow="block" endarrowwidth="narrow" endarrowlength="long"/>
                  <v:imagedata o:title=""/>
                  <o:lock v:ext="edit" aspectratio="f"/>
                </v:line>
                <v:shape id="Text Box 39272" o:spid="_x0000_s1026" o:spt="202" type="#_x0000_t202" style="position:absolute;left:2354296;top:2746479;height:1268930;width:271234;" fillcolor="#FFFFFF" filled="t" stroked="t" coordsize="21600,21600" o:gfxdata="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KmoFnVAAAA&#10;BQEAAA8AAAAAAAAAAQAgAAAAIgAAAGRycy9kb3ducmV2LnhtbFBLAQIUABQAAAAIAIdO4kCe1/6U&#10;IAIAAEEEAAAOAAAAAAAAAAEAIAAAACQBAABkcnMvZTJvRG9jLnhtbFBLBQYAAAAABgAGAFkBAAC2&#10;BQAAAAA=&#10;">
                  <v:fill on="t" focussize="0,0"/>
                  <v:stroke color="#000000" miterlimit="8" joinstyle="miter"/>
                  <v:imagedata o:title=""/>
                  <o:lock v:ext="edit" aspectratio="f"/>
                  <v:textbox inset="0mm,1.27mm,0mm,1.27mm">
                    <w:txbxContent>
                      <w:p>
                        <w:pPr>
                          <w:jc w:val="center"/>
                        </w:pPr>
                        <w:r>
                          <w:rPr>
                            <w:rFonts w:hint="eastAsia"/>
                          </w:rPr>
                          <w:t>组长副组长</w:t>
                        </w:r>
                      </w:p>
                    </w:txbxContent>
                  </v:textbox>
                </v:shape>
                <v:line id="Line 39273" o:spid="_x0000_s1026" o:spt="20" style="position:absolute;left:3077886;top:2512710;height:234601;width:0;" filled="f" stroked="t" coordsize="21600,21600" o:gfxdata="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ym9WbXAAAABQEAAA8AAAAAAAAA&#10;AQAgAAAAIgAAAGRycy9kb3ducmV2LnhtbFBLAQIUABQAAAAIAIdO4kBPOLYc2QEAAI0DAAAOAAAA&#10;AAAAAAEAIAAAACYBAABkcnMvZTJvRG9jLnhtbFBLBQYAAAAABgAGAFkBAABxBQAAAAA=&#10;">
                  <v:fill on="f" focussize="0,0"/>
                  <v:stroke color="#000000" joinstyle="round" endarrow="block" endarrowwidth="narrow" endarrowlength="long"/>
                  <v:imagedata o:title=""/>
                  <o:lock v:ext="edit" aspectratio="f"/>
                </v:line>
                <v:shape id="Text Box 39274" o:spid="_x0000_s1026" o:spt="202" type="#_x0000_t202" style="position:absolute;left:2949470;top:2746844;height:1339582;width:271234;" fillcolor="#FFFFFF" filled="t" stroked="t" coordsize="21600,21600" o:gfxdata="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ZF&#10;zXjWAAAABQEAAA8AAAAAAAAAAQAgAAAAIgAAAGRycy9kb3ducmV2LnhtbFBLAQIUABQAAAAIAIdO&#10;4kAky0vaJQIAAEkEAAAOAAAAAAAAAAEAIAAAACUBAABkcnMvZTJvRG9jLnhtbFBLBQYAAAAABgAG&#10;AFkBAAC8BQAAAAA=&#10;">
                  <v:fill on="t" focussize="0,0"/>
                  <v:stroke color="#000000" miterlimit="8" joinstyle="miter"/>
                  <v:imagedata o:title=""/>
                  <o:lock v:ext="edit" aspectratio="f"/>
                  <v:textbox>
                    <w:txbxContent>
                      <w:p>
                        <w:pPr>
                          <w:jc w:val="center"/>
                        </w:pPr>
                        <w:r>
                          <w:rPr>
                            <w:rFonts w:hint="eastAsia"/>
                          </w:rPr>
                          <w:t>预测评估人员</w:t>
                        </w:r>
                      </w:p>
                    </w:txbxContent>
                  </v:textbox>
                </v:shape>
                <v:line id="Line 39275" o:spid="_x0000_s1026" o:spt="20" style="position:absolute;left:3612654;top:2512710;height:234601;width:0;" filled="f" stroked="t" coordsize="21600,21600" o:gfxdata="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ym9WbXAAAABQEAAA8AAAAAAAAA&#10;AQAgAAAAIgAAAGRycy9kb3ducmV2LnhtbFBLAQIUABQAAAAIAIdO4kDiK54z2QEAAI0DAAAOAAAA&#10;AAAAAAEAIAAAACYBAABkcnMvZTJvRG9jLnhtbFBLBQYAAAAABgAGAFkBAABxBQAAAAA=&#10;">
                  <v:fill on="f" focussize="0,0"/>
                  <v:stroke color="#000000" joinstyle="round" endarrow="block" endarrowwidth="narrow" endarrowlength="long"/>
                  <v:imagedata o:title=""/>
                  <o:lock v:ext="edit" aspectratio="f"/>
                </v:line>
                <v:shape id="Text Box 39276" o:spid="_x0000_s1026" o:spt="202" type="#_x0000_t202" style="position:absolute;left:3522542;top:2746844;height:1355482;width:271134;" fillcolor="#FFFFFF" filled="t" stroked="t" coordsize="21600,21600" o:gfxdata="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G&#10;Rc141gAAAAUBAAAPAAAAAAAAAAEAIAAAACIAAABkcnMvZG93bnJldi54bWxQSwECFAAUAAAACACH&#10;TuJALiWluSYCAABJBAAADgAAAAAAAAABACAAAAAlAQAAZHJzL2Uyb0RvYy54bWxQSwUGAAAAAAYA&#10;BgBZAQAAvQUAAAAA&#10;">
                  <v:fill on="t" focussize="0,0"/>
                  <v:stroke color="#000000" miterlimit="8" joinstyle="miter"/>
                  <v:imagedata o:title=""/>
                  <o:lock v:ext="edit" aspectratio="f"/>
                  <v:textbox>
                    <w:txbxContent>
                      <w:p>
                        <w:pPr>
                          <w:jc w:val="center"/>
                        </w:pPr>
                        <w:r>
                          <w:rPr>
                            <w:rFonts w:hint="eastAsia"/>
                          </w:rPr>
                          <w:t>应急处理人员</w:t>
                        </w:r>
                      </w:p>
                    </w:txbxContent>
                  </v:textbox>
                </v:shape>
                <v:line id="Line 39277" o:spid="_x0000_s1026" o:spt="20" style="position:absolute;left:4252834;top:2512710;height:234601;width:0;" filled="f" stroked="t" coordsize="21600,21600" o:gfxdata="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vKb1ZtcAAAAFAQAADwAAAAAAAAAB&#10;ACAAAAAiAAAAZHJzL2Rvd25yZXYueG1sUEsBAhQAFAAAAAgAh07iQLLYOKfYAQAAjQMAAA4AAAAA&#10;AAAAAQAgAAAAJgEAAGRycy9lMm9Eb2MueG1sUEsFBgAAAAAGAAYAWQEAAHAFAAAAAA==&#10;">
                  <v:fill on="f" focussize="0,0"/>
                  <v:stroke color="#000000" joinstyle="round" endarrow="block" endarrowwidth="narrow" endarrowlength="long"/>
                  <v:imagedata o:title=""/>
                  <o:lock v:ext="edit" aspectratio="f"/>
                </v:line>
                <v:shape id="Text Box 39278" o:spid="_x0000_s1026" o:spt="202" type="#_x0000_t202" style="position:absolute;left:4162723;top:2747310;height:861103;width:271234;" fillcolor="#FFFFFF" filled="t" stroked="t" coordsize="21600,21600" o:gfxdata="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GRc14&#10;1gAAAAUBAAAPAAAAAAAAAAEAIAAAACIAAABkcnMvZG93bnJldi54bWxQSwECFAAUAAAACACHTuJA&#10;rJH5YiMCAABIBAAADgAAAAAAAAABACAAAAAlAQAAZHJzL2Uyb0RvYy54bWxQSwUGAAAAAAYABgBZ&#10;AQAAugUAAAAA&#10;">
                  <v:fill on="t" focussize="0,0"/>
                  <v:stroke color="#000000" miterlimit="8" joinstyle="miter"/>
                  <v:imagedata o:title=""/>
                  <o:lock v:ext="edit" aspectratio="f"/>
                  <v:textbox>
                    <w:txbxContent>
                      <w:p>
                        <w:pPr>
                          <w:jc w:val="center"/>
                        </w:pPr>
                        <w:r>
                          <w:rPr>
                            <w:rFonts w:hint="eastAsia"/>
                          </w:rPr>
                          <w:t>值班人员</w:t>
                        </w:r>
                      </w:p>
                    </w:txbxContent>
                  </v:textbox>
                </v:shape>
                <v:line id="Line 39279" o:spid="_x0000_s1026" o:spt="20" style="position:absolute;left:1217553;top:2278109;height:232901;width:0;" filled="f" stroked="t" coordsize="21600,21600" o:gfxdata="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99W7V1gAAAAUB&#10;AAAPAAAAAAAAAAEAIAAAACIAAABkcnMvZG93bnJldi54bWxQSwECFAAUAAAACACHTuJAgbgqauQB&#10;AAC1AwAADgAAAAAAAAABACAAAAAlAQAAZHJzL2Uyb0RvYy54bWxQSwUGAAAAAAYABgBZAQAAewUA&#10;AAAA&#10;">
                  <v:fill on="f" focussize="0,0"/>
                  <v:stroke color="#000000" joinstyle="round" startarrow="block" startarrowwidth="narrow" startarrowlength="long" endarrowwidth="narrow" endarrowlength="long"/>
                  <v:imagedata o:title=""/>
                  <o:lock v:ext="edit" aspectratio="f"/>
                </v:line>
                <v:line id="Line 39280" o:spid="_x0000_s1026" o:spt="20" style="position:absolute;left:727891;top:2512710;height:0;width:903713;" filled="f" stroked="t" coordsize="21600,21600" o:gfxdata="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63WeNUAAAAFAQAADwAAAAAAAAABACAAAAAiAAAAZHJzL2Rvd25yZXYueG1sUEsB&#10;AhQAFAAAAAgAh07iQM7QYEq/AQAAYAMAAA4AAAAAAAAAAQAgAAAAJAEAAGRycy9lMm9Eb2MueG1s&#10;UEsFBgAAAAAGAAYAWQEAAFUFAAAAAA==&#10;">
                  <v:fill on="f" focussize="0,0"/>
                  <v:stroke color="#000000" joinstyle="round"/>
                  <v:imagedata o:title=""/>
                  <o:lock v:ext="edit" aspectratio="f"/>
                </v:line>
                <v:line id="Line 39281" o:spid="_x0000_s1026" o:spt="20" style="position:absolute;left:727891;top:2511010;height:235501;width:0;" filled="f" stroked="t" coordsize="21600,21600" o:gfxdata="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8pvVm1wAAAAUBAAAPAAAAAAAAAAEA&#10;IAAAACIAAABkcnMvZG93bnJldi54bWxQSwECFAAUAAAACACHTuJApNaMwdcBAACMAwAADgAAAAAA&#10;AAABACAAAAAmAQAAZHJzL2Uyb0RvYy54bWxQSwUGAAAAAAYABgBZAQAAbwUAAAAA&#10;">
                  <v:fill on="f" focussize="0,0"/>
                  <v:stroke color="#000000" joinstyle="round" endarrow="block" endarrowwidth="narrow" endarrowlength="long"/>
                  <v:imagedata o:title=""/>
                  <o:lock v:ext="edit" aspectratio="f"/>
                </v:line>
                <v:line id="Line 39282" o:spid="_x0000_s1026" o:spt="20" style="position:absolute;left:1631605;top:2512710;height:234601;width:0;" filled="f" stroked="t" coordsize="21600,21600" o:gfxdata="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8pvVm1wAAAAUBAAAPAAAAAAAAAAEA&#10;IAAAACIAAABkcnMvZG93bnJldi54bWxQSwECFAAUAAAACACHTuJAHMkDTdcBAACNAwAADgAAAAAA&#10;AAABACAAAAAmAQAAZHJzL2Uyb0RvYy54bWxQSwUGAAAAAAYABgBZAQAAbwUAAAAA&#10;">
                  <v:fill on="f" focussize="0,0"/>
                  <v:stroke color="#000000" joinstyle="round" endarrow="block" endarrowwidth="narrow" endarrowlength="long"/>
                  <v:imagedata o:title=""/>
                  <o:lock v:ext="edit" aspectratio="f"/>
                </v:line>
                <v:shape id="Text Box 39283" o:spid="_x0000_s1026" o:spt="202" type="#_x0000_t202" style="position:absolute;left:637780;top:2747310;height:861103;width:270334;" fillcolor="#FFFFFF" filled="t" stroked="t" coordsize="21600,21600" o:gfxdata="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kXNeNYA&#10;AAAFAQAADwAAAAAAAAABACAAAAAiAAAAZHJzL2Rvd25yZXYueG1sUEsBAhQAFAAAAAgAh07iQFBc&#10;g7AhAgAARwQAAA4AAAAAAAAAAQAgAAAAJQEAAGRycy9lMm9Eb2MueG1sUEsFBgAAAAAGAAYAWQEA&#10;ALgFAAAAAA==&#10;">
                  <v:fill on="t" focussize="0,0"/>
                  <v:stroke color="#000000" miterlimit="8" joinstyle="miter"/>
                  <v:imagedata o:title=""/>
                  <o:lock v:ext="edit" aspectratio="f"/>
                  <v:textbox>
                    <w:txbxContent>
                      <w:p>
                        <w:r>
                          <w:rPr>
                            <w:rFonts w:hint="eastAsia"/>
                          </w:rPr>
                          <w:t>码</w:t>
                        </w:r>
                      </w:p>
                      <w:p>
                        <w:r>
                          <w:rPr>
                            <w:rFonts w:hint="eastAsia"/>
                          </w:rPr>
                          <w:t>头</w:t>
                        </w:r>
                      </w:p>
                      <w:p>
                        <w:r>
                          <w:rPr>
                            <w:rFonts w:hint="eastAsia"/>
                          </w:rPr>
                          <w:t>长</w:t>
                        </w:r>
                      </w:p>
                    </w:txbxContent>
                  </v:textbox>
                </v:shape>
                <v:shape id="Text Box 39284" o:spid="_x0000_s1026" o:spt="202" type="#_x0000_t202" style="position:absolute;left:1540693;top:2746577;height:1340393;width:271134;" fillcolor="#FFFFFF" filled="t" stroked="t" coordsize="21600,21600" o:gfxdata="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ZFzXjW&#10;AAAABQEAAA8AAAAAAAAAAQAgAAAAIgAAAGRycy9kb3ducmV2LnhtbFBLAQIUABQAAAAIAIdO4kD7&#10;wfQWIgIAAEkEAAAOAAAAAAAAAAEAIAAAACUBAABkcnMvZTJvRG9jLnhtbFBLBQYAAAAABgAGAFkB&#10;AAC5BQAAAAA=&#10;">
                  <v:fill on="t" focussize="0,0"/>
                  <v:stroke color="#000000" miterlimit="8" joinstyle="miter"/>
                  <v:imagedata o:title=""/>
                  <o:lock v:ext="edit" aspectratio="f"/>
                  <v:textbox>
                    <w:txbxContent>
                      <w:p>
                        <w:pPr>
                          <w:jc w:val="center"/>
                        </w:pPr>
                        <w:r>
                          <w:rPr>
                            <w:rFonts w:hint="eastAsia"/>
                          </w:rPr>
                          <w:t>码头值班人员</w:t>
                        </w:r>
                      </w:p>
                    </w:txbxContent>
                  </v:textbox>
                </v:shape>
                <v:line id="Line 39285" o:spid="_x0000_s1026" o:spt="20" style="position:absolute;left:1217553;top:2512710;height:234601;width:0;" filled="f" stroked="t" coordsize="21600,21600" o:gfxdata="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8pvVm1wAAAAUBAAAPAAAAAAAAAAEA&#10;IAAAACIAAABkcnMvZG93bnJldi54bWxQSwECFAAUAAAACACHTuJA9ddw7dcBAACOAwAADgAAAAAA&#10;AAABACAAAAAmAQAAZHJzL2Uyb0RvYy54bWxQSwUGAAAAAAYABgBZAQAAbwUAAAAA&#10;">
                  <v:fill on="f" focussize="0,0"/>
                  <v:stroke color="#000000" joinstyle="round" endarrow="block" endarrowwidth="narrow" endarrowlength="long"/>
                  <v:imagedata o:title=""/>
                  <o:lock v:ext="edit" aspectratio="f"/>
                </v:line>
                <v:shape id="Text Box 39286" o:spid="_x0000_s1026" o:spt="202" type="#_x0000_t202" style="position:absolute;left:1089237;top:2746578;height:1356295;width:271134;" fillcolor="#FFFFFF" filled="t" stroked="t" coordsize="21600,21600" o:gfxdata="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ZF&#10;zXjWAAAABQEAAA8AAAAAAAAAAQAgAAAAIgAAAGRycy9kb3ducmV2LnhtbFBLAQIUABQAAAAIAIdO&#10;4kBvVsUiJQIAAEoEAAAOAAAAAAAAAAEAIAAAACUBAABkcnMvZTJvRG9jLnhtbFBLBQYAAAAABgAG&#10;AFkBAAC8BQAAAAA=&#10;">
                  <v:fill on="t" focussize="0,0"/>
                  <v:stroke color="#000000" miterlimit="8" joinstyle="miter"/>
                  <v:imagedata o:title=""/>
                  <o:lock v:ext="edit" aspectratio="f"/>
                  <v:textbox>
                    <w:txbxContent>
                      <w:p>
                        <w:pPr>
                          <w:jc w:val="center"/>
                        </w:pPr>
                        <w:r>
                          <w:rPr>
                            <w:rFonts w:hint="eastAsia"/>
                          </w:rPr>
                          <w:t>码头工作人员</w:t>
                        </w:r>
                      </w:p>
                    </w:txbxContent>
                  </v:textbox>
                </v:shape>
                <v:line id="Line 39287" o:spid="_x0000_s1026" o:spt="20" style="position:absolute;left:2174073;top:368001;flip:y;height:235501;width:0;" filled="f" stroked="t" coordsize="21600,21600" o:gfxdata="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U7V7b9EAAAAFAQAADwAAAAAAAAAB&#10;ACAAAAAiAAAAZHJzL2Rvd25yZXYueG1sUEsBAhQAFAAAAAgAh07iQJTsyQjeAQAAlwMAAA4AAAAA&#10;AAAAAQAgAAAAIAEAAGRycy9lMm9Eb2MueG1sUEsFBgAAAAAGAAYAWQEAAHAFAAAAAA==&#10;">
                  <v:fill on="f" focussize="0,0"/>
                  <v:stroke color="#000000" joinstyle="round" endarrow="block" endarrowwidth="narrow" endarrowlength="long"/>
                  <v:imagedata o:title=""/>
                  <o:lock v:ext="edit" aspectratio="f"/>
                </v:line>
                <v:line id="Line 39288" o:spid="_x0000_s1026" o:spt="20" style="position:absolute;left:2174073;top:952004;flip:y;height:329801;width:0;" filled="f" stroked="t" coordsize="21600,21600" o:gfxdata="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O1e2/RAAAABQEAAA8AAAAAAAAAAQAg&#10;AAAAIgAAAGRycy9kb3ducmV2LnhtbFBLAQIUABQAAAAIAIdO4kCDGpxV3AEAAJcDAAAOAAAAAAAA&#10;AAEAIAAAACABAABkcnMvZTJvRG9jLnhtbFBLBQYAAAAABgAGAFkBAABuBQAAAAA=&#10;">
                  <v:fill on="f" focussize="0,0"/>
                  <v:stroke color="#000000" joinstyle="round" endarrow="block" endarrowwidth="narrow" endarrowlength="long"/>
                  <v:imagedata o:title=""/>
                  <o:lock v:ext="edit" aspectratio="f"/>
                </v:line>
                <v:line id="Line 39289" o:spid="_x0000_s1026" o:spt="20" style="position:absolute;left:1270259;top:215901;height:0;width:270434;" filled="f" stroked="t" coordsize="21600,21600" o:gfxdata="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63WeNUAAAAFAQAADwAAAAAAAAABACAAAAAiAAAAZHJzL2Rvd25yZXYueG1sUEsB&#10;AhQAFAAAAAgAh07iQGpxAf6/AQAAYQMAAA4AAAAAAAAAAQAgAAAAJAEAAGRycy9lMm9Eb2MueG1s&#10;UEsFBgAAAAAGAAYAWQEAAFUFAAAAAA==&#10;">
                  <v:fill on="f" focussize="0,0"/>
                  <v:stroke color="#000000" joinstyle="round"/>
                  <v:imagedata o:title=""/>
                  <o:lock v:ext="edit" aspectratio="f"/>
                </v:line>
                <v:shape id="Text Box 39290" o:spid="_x0000_s1026" o:spt="202" type="#_x0000_t202" style="position:absolute;left:3258109;top:621302;height:329001;width:1265959;" fillcolor="#FFFFFF" filled="t" stroked="t" coordsize="21600,21600" o:gfxdata="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xkXN&#10;eNYAAAAFAQAADwAAAAAAAAABACAAAAAiAAAAZHJzL2Rvd25yZXYueG1sUEsBAhQAFAAAAAgAh07i&#10;QD+39n8kAgAASQQAAA4AAAAAAAAAAQAgAAAAJQEAAGRycy9lMm9Eb2MueG1sUEsFBgAAAAAGAAYA&#10;WQEAALsFAAAAAA==&#10;">
                  <v:fill on="t" focussize="0,0"/>
                  <v:stroke color="#000000" miterlimit="8" joinstyle="miter"/>
                  <v:imagedata o:title=""/>
                  <o:lock v:ext="edit" aspectratio="f"/>
                  <v:textbox>
                    <w:txbxContent>
                      <w:p>
                        <w:pPr>
                          <w:jc w:val="center"/>
                        </w:pPr>
                        <w:r>
                          <w:rPr>
                            <w:rFonts w:hint="eastAsia"/>
                          </w:rPr>
                          <w:t>技术咨询专家评估</w:t>
                        </w:r>
                      </w:p>
                    </w:txbxContent>
                  </v:textbox>
                </v:shape>
                <v:line id="Line 39291" o:spid="_x0000_s1026" o:spt="20" style="position:absolute;left:2939269;top:843203;height:0;width:309439;" filled="f" stroked="t" coordsize="21600,21600" o:gfxdata="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vKb1ZtcAAAAFAQAADwAAAAAAAAAB&#10;ACAAAAAiAAAAZHJzL2Rvd25yZXYueG1sUEsBAhQAFAAAAAgAh07iQKeL/ufYAQAAjQMAAA4AAAAA&#10;AAAAAQAgAAAAJgEAAGRycy9lMm9Eb2MueG1sUEsFBgAAAAAGAAYAWQEAAHAFAAAAAA==&#10;">
                  <v:fill on="f" focussize="0,0"/>
                  <v:stroke color="#000000" joinstyle="round" endarrow="block" endarrowwidth="narrow" endarrowlength="long"/>
                  <v:imagedata o:title=""/>
                  <o:lock v:ext="edit" aspectratio="f"/>
                </v:line>
                <v:line id="Line 39292" o:spid="_x0000_s1026" o:spt="20" style="position:absolute;left:2911165;top:727603;height:0;width:308639;" filled="f" stroked="t" coordsize="21600,21600" o:gfxdata="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pqmOzVAAAABQEAAA8AAAAAAAAA&#10;AQAgAAAAIgAAAGRycy9kb3ducmV2LnhtbFBLAQIUABQAAAAIAIdO4kA6RdPT2wEAAI0DAAAOAAAA&#10;AAAAAAEAIAAAACQBAABkcnMvZTJvRG9jLnhtbFBLBQYAAAAABgAGAFkBAABxBQAAAAA=&#10;">
                  <v:fill on="f" focussize="0,0"/>
                  <v:stroke color="#000000" joinstyle="round" startarrow="block" startarrowwidth="narrow" startarrowlength="long"/>
                  <v:imagedata o:title=""/>
                  <o:lock v:ext="edit" aspectratio="f"/>
                </v:line>
                <w10:wrap type="none"/>
                <w10:anchorlock/>
              </v:group>
            </w:pict>
          </mc:Fallback>
        </mc:AlternateContent>
      </w:r>
    </w:p>
    <w:p>
      <w:pPr>
        <w:adjustRightInd w:val="0"/>
        <w:snapToGrid w:val="0"/>
        <w:spacing w:line="360" w:lineRule="auto"/>
        <w:jc w:val="center"/>
        <w:rPr>
          <w:rFonts w:ascii="Times New Roman" w:hAnsi="Times New Roman" w:eastAsiaTheme="minorEastAsia"/>
          <w:b/>
          <w:sz w:val="24"/>
          <w:szCs w:val="24"/>
        </w:rPr>
      </w:pPr>
      <w:r>
        <w:rPr>
          <w:rFonts w:ascii="Times New Roman" w:hAnsi="Times New Roman" w:eastAsiaTheme="minorEastAsia"/>
          <w:b/>
          <w:sz w:val="24"/>
          <w:szCs w:val="24"/>
        </w:rPr>
        <w:t>图6.7-1  组织指挥机构框图</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应急组织指挥机构由岳阳海事局海事处领导、华能岳阳电厂生产安全部领导、生产安全部应急小组领导成员、以及相关的技术咨询专家组成。华能岳阳电厂生产安全部应急小组组长在岳阳海事局海事处领导、公司生产安全部领导未到达事故现场时担任应急指挥，待有关领导抵达现场时移交指挥。</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应急组织指挥机构成员职责见表6.7-15。</w:t>
      </w:r>
    </w:p>
    <w:p>
      <w:pPr>
        <w:adjustRightInd w:val="0"/>
        <w:snapToGrid w:val="0"/>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表6.7-15  应急组织指挥机构成员职责一览表</w:t>
      </w:r>
    </w:p>
    <w:tbl>
      <w:tblPr>
        <w:tblStyle w:val="71"/>
        <w:tblW w:w="91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91"/>
        <w:gridCol w:w="1349"/>
        <w:gridCol w:w="5851"/>
        <w:gridCol w:w="14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jc w:val="center"/>
        </w:trPr>
        <w:tc>
          <w:tcPr>
            <w:tcW w:w="491" w:type="dxa"/>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序号</w:t>
            </w:r>
          </w:p>
        </w:tc>
        <w:tc>
          <w:tcPr>
            <w:tcW w:w="1349" w:type="dxa"/>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机构成员</w:t>
            </w:r>
          </w:p>
        </w:tc>
        <w:tc>
          <w:tcPr>
            <w:tcW w:w="5851" w:type="dxa"/>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职责</w:t>
            </w:r>
          </w:p>
        </w:tc>
        <w:tc>
          <w:tcPr>
            <w:tcW w:w="1409" w:type="dxa"/>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91"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w:t>
            </w:r>
          </w:p>
        </w:tc>
        <w:tc>
          <w:tcPr>
            <w:tcW w:w="1349"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岳阳海事局海事处</w:t>
            </w:r>
          </w:p>
        </w:tc>
        <w:tc>
          <w:tcPr>
            <w:tcW w:w="5851"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接收水上事故险情报告，负责监督油污应急计划的实施，必要时协调水上专业救助队伍和交通行业有关部门的应急行动，调动各部门拥有的溢油应急反应的人力、物力、后勤支援，召集应急专家为本码头提供技术咨询支持。</w:t>
            </w:r>
          </w:p>
        </w:tc>
        <w:tc>
          <w:tcPr>
            <w:tcW w:w="1409"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91" w:type="dxa"/>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w:t>
            </w:r>
          </w:p>
        </w:tc>
        <w:tc>
          <w:tcPr>
            <w:tcW w:w="1349" w:type="dxa"/>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环保主管部门</w:t>
            </w:r>
          </w:p>
        </w:tc>
        <w:tc>
          <w:tcPr>
            <w:tcW w:w="5851" w:type="dxa"/>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组织有关专家提供技术咨询，负责事故可能造成环境危害的监测组织、指导工作，组织有关单位人员进行现场监测，密切关注上下游水厂取水口水域水质变化情况，提供相应的环保监测技术支持。对事故处理后的吸油毡处置、溢油回收、清污作业等提出技术要求。</w:t>
            </w:r>
          </w:p>
        </w:tc>
        <w:tc>
          <w:tcPr>
            <w:tcW w:w="1409"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湖南省生态环境厅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91" w:type="dxa"/>
            <w:vMerge w:val="continue"/>
            <w:vAlign w:val="center"/>
          </w:tcPr>
          <w:p>
            <w:pPr>
              <w:adjustRightInd w:val="0"/>
              <w:snapToGrid w:val="0"/>
              <w:jc w:val="center"/>
              <w:rPr>
                <w:rFonts w:ascii="Times New Roman" w:hAnsi="Times New Roman" w:eastAsiaTheme="minorEastAsia"/>
              </w:rPr>
            </w:pPr>
          </w:p>
        </w:tc>
        <w:tc>
          <w:tcPr>
            <w:tcW w:w="1349" w:type="dxa"/>
            <w:vMerge w:val="continue"/>
            <w:vAlign w:val="center"/>
          </w:tcPr>
          <w:p>
            <w:pPr>
              <w:adjustRightInd w:val="0"/>
              <w:snapToGrid w:val="0"/>
              <w:jc w:val="center"/>
              <w:rPr>
                <w:rFonts w:ascii="Times New Roman" w:hAnsi="Times New Roman" w:eastAsiaTheme="minorEastAsia"/>
              </w:rPr>
            </w:pPr>
          </w:p>
        </w:tc>
        <w:tc>
          <w:tcPr>
            <w:tcW w:w="5851" w:type="dxa"/>
            <w:vMerge w:val="continue"/>
            <w:vAlign w:val="center"/>
          </w:tcPr>
          <w:p>
            <w:pPr>
              <w:adjustRightInd w:val="0"/>
              <w:snapToGrid w:val="0"/>
              <w:jc w:val="center"/>
              <w:rPr>
                <w:rFonts w:ascii="Times New Roman" w:hAnsi="Times New Roman" w:eastAsiaTheme="minorEastAsia"/>
              </w:rPr>
            </w:pPr>
          </w:p>
        </w:tc>
        <w:tc>
          <w:tcPr>
            <w:tcW w:w="1409"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岳阳市生态环境局、岳阳市生态环境局云溪分局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91"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w:t>
            </w:r>
          </w:p>
        </w:tc>
        <w:tc>
          <w:tcPr>
            <w:tcW w:w="1349"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技术咨询专家组</w:t>
            </w:r>
          </w:p>
        </w:tc>
        <w:tc>
          <w:tcPr>
            <w:tcW w:w="5851"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由海事、环保等部门组织有关专家成立技术咨询专家组，为应急反应提供技术咨询参加应急反应决策支持工作。还将视事故影响程度聘请国内溢油应急反应专家，对事故影响预测、应急决策、清污作业和事故后的污染赔偿等处理提供咨询。</w:t>
            </w:r>
          </w:p>
        </w:tc>
        <w:tc>
          <w:tcPr>
            <w:tcW w:w="1409"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事故发生时临时组建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6" w:hRule="atLeast"/>
          <w:jc w:val="center"/>
        </w:trPr>
        <w:tc>
          <w:tcPr>
            <w:tcW w:w="491" w:type="dxa"/>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w:t>
            </w:r>
          </w:p>
        </w:tc>
        <w:tc>
          <w:tcPr>
            <w:tcW w:w="1349" w:type="dxa"/>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华能岳阳电厂生产安全部</w:t>
            </w:r>
          </w:p>
        </w:tc>
        <w:tc>
          <w:tcPr>
            <w:tcW w:w="5851" w:type="dxa"/>
            <w:vMerge w:val="restar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应急指挥中心主任在应急指挥中担任本码头现场应急总指挥，下达调动本分公司各种力量参加抢险、救援命令，决策重大事故处理方案，决定向本系统上级汇报或请求其它救援的时间、方式等。</w:t>
            </w:r>
          </w:p>
        </w:tc>
        <w:tc>
          <w:tcPr>
            <w:tcW w:w="1409"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法人代表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91" w:type="dxa"/>
            <w:vMerge w:val="continue"/>
            <w:vAlign w:val="center"/>
          </w:tcPr>
          <w:p>
            <w:pPr>
              <w:adjustRightInd w:val="0"/>
              <w:snapToGrid w:val="0"/>
              <w:jc w:val="center"/>
              <w:rPr>
                <w:rFonts w:ascii="Times New Roman" w:hAnsi="Times New Roman" w:eastAsiaTheme="minorEastAsia"/>
              </w:rPr>
            </w:pPr>
          </w:p>
        </w:tc>
        <w:tc>
          <w:tcPr>
            <w:tcW w:w="1349" w:type="dxa"/>
            <w:vMerge w:val="continue"/>
            <w:vAlign w:val="center"/>
          </w:tcPr>
          <w:p>
            <w:pPr>
              <w:adjustRightInd w:val="0"/>
              <w:snapToGrid w:val="0"/>
              <w:jc w:val="center"/>
              <w:rPr>
                <w:rFonts w:ascii="Times New Roman" w:hAnsi="Times New Roman" w:eastAsiaTheme="minorEastAsia"/>
              </w:rPr>
            </w:pPr>
          </w:p>
        </w:tc>
        <w:tc>
          <w:tcPr>
            <w:tcW w:w="5851" w:type="dxa"/>
            <w:vMerge w:val="continue"/>
            <w:vAlign w:val="center"/>
          </w:tcPr>
          <w:p>
            <w:pPr>
              <w:adjustRightInd w:val="0"/>
              <w:snapToGrid w:val="0"/>
              <w:jc w:val="center"/>
              <w:rPr>
                <w:rFonts w:ascii="Times New Roman" w:hAnsi="Times New Roman" w:eastAsiaTheme="minorEastAsia"/>
              </w:rPr>
            </w:pPr>
          </w:p>
        </w:tc>
        <w:tc>
          <w:tcPr>
            <w:tcW w:w="1409"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部门负责人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491"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w:t>
            </w:r>
          </w:p>
        </w:tc>
        <w:tc>
          <w:tcPr>
            <w:tcW w:w="1349"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华能岳阳电厂生产安全部应急小组</w:t>
            </w:r>
          </w:p>
        </w:tc>
        <w:tc>
          <w:tcPr>
            <w:tcW w:w="5851"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组长全面负责本计划实施。在接到现场事故报告后组织本港区人员采取应急措施，并在海事局主管部门领导、公司应急小组领导抵达现场前担任应急指挥。组长不在现场时，副组长担任总监相应的职责，依此类推。小组成员执行组长或应急总指挥下达的命令，具体负责组织现场人员回收或消除溢油等工作。</w:t>
            </w:r>
          </w:p>
        </w:tc>
        <w:tc>
          <w:tcPr>
            <w:tcW w:w="1409" w:type="dxa"/>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项目建成后组建</w:t>
            </w:r>
          </w:p>
        </w:tc>
      </w:tr>
    </w:tbl>
    <w:p>
      <w:pPr>
        <w:adjustRightInd w:val="0"/>
        <w:snapToGrid w:val="0"/>
        <w:spacing w:line="360" w:lineRule="auto"/>
        <w:rPr>
          <w:rFonts w:ascii="Times New Roman" w:hAnsi="Times New Roman" w:eastAsiaTheme="minorEastAsia"/>
          <w:b/>
          <w:sz w:val="24"/>
          <w:szCs w:val="24"/>
        </w:rPr>
      </w:pP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2、应急防治队伍</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成立专职应急队伍，可选择平时从事围油栏铺设作业、回收和处理污染物水及残油、以及码头装卸作业人员等，发生污染事故时，可以立即投入应急行动。</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3、工程应急反应</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在码头出现和可能出现事故溢油时，码头区调度室及值班人员应视溢油程度需要快速向应急小组报告。应急小组在接到事故现场人员报告后，迅速组织技术评估人员立即评估溢油规模，预计溢油漂移趋势及对码头上、下游水厂取水口造成影响，初步确定应急方案。</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在经过溢油事故初始评估后，应急小组组长决定是否启动应急计划。若溢油事故规模较小，码头人员、设备具备处理的能力，应立即组织人员、调用设备进行处理，若码头人员、设备不具备处理的能力，应立即启动应急计划。</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应急计划反应内容包括：由组长或其指定的人员向上级主管部门以及与事故相关海事、环保等部门报告。报告内容应包括：</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事故发生的时间、地点、船名、位置；</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sz w:val="24"/>
          <w:szCs w:val="24"/>
        </w:rPr>
        <w:t xml:space="preserve"> 事故发生江段气象、水文情况；</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⑶</w:t>
      </w:r>
      <w:r>
        <w:rPr>
          <w:rFonts w:ascii="Times New Roman" w:hAnsi="Times New Roman" w:eastAsiaTheme="minorEastAsia"/>
          <w:sz w:val="24"/>
          <w:szCs w:val="24"/>
        </w:rPr>
        <w:t xml:space="preserve"> 油污染源、溢油原因（包括船名、船型、碰撞/搁浅、船东或货主）、溢油单位（名称、地址、电话、联系人/代理人）、油品种类和数量以及进一步溢油的可能性、油膜的描述，包括移动方向、长度、宽度和形状；</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⑷</w:t>
      </w:r>
      <w:r>
        <w:rPr>
          <w:rFonts w:ascii="Times New Roman" w:hAnsi="Times New Roman" w:eastAsiaTheme="minorEastAsia"/>
          <w:sz w:val="24"/>
          <w:szCs w:val="24"/>
        </w:rPr>
        <w:t xml:space="preserve"> 事故发生后已经采取的措施及控制情况；</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⑸</w:t>
      </w:r>
      <w:r>
        <w:rPr>
          <w:rFonts w:ascii="Times New Roman" w:hAnsi="Times New Roman" w:eastAsiaTheme="minorEastAsia"/>
          <w:sz w:val="24"/>
          <w:szCs w:val="24"/>
        </w:rPr>
        <w:t xml:space="preserve"> 事故发展势态、可能发生的严重后果；</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⑹</w:t>
      </w:r>
      <w:r>
        <w:rPr>
          <w:rFonts w:ascii="Times New Roman" w:hAnsi="Times New Roman" w:eastAsiaTheme="minorEastAsia"/>
          <w:sz w:val="24"/>
          <w:szCs w:val="24"/>
        </w:rPr>
        <w:t xml:space="preserve"> 需要的援助（应急设施和物资、人员、环境监测、医疗援助等）；</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⑺</w:t>
      </w:r>
      <w:r>
        <w:rPr>
          <w:rFonts w:ascii="Times New Roman" w:hAnsi="Times New Roman" w:eastAsiaTheme="minorEastAsia"/>
          <w:sz w:val="24"/>
          <w:szCs w:val="24"/>
        </w:rPr>
        <w:t xml:space="preserve"> 事故报警单位、联系人及联系电话等。</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采取的行动：</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发出溢油事故报警或紧急通报，用电话和传真通知上级部门；</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sz w:val="24"/>
          <w:szCs w:val="24"/>
        </w:rPr>
        <w:t xml:space="preserve"> 编制溢油源位置及漂移方向情况报告（根据实际情况至少每隔1小时报告一次）；</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⑶</w:t>
      </w:r>
      <w:r>
        <w:rPr>
          <w:rFonts w:ascii="Times New Roman" w:hAnsi="Times New Roman" w:eastAsiaTheme="minorEastAsia"/>
          <w:sz w:val="24"/>
          <w:szCs w:val="24"/>
        </w:rPr>
        <w:t xml:space="preserve"> 安排后勤保障，估计/预测污油运动方向（经常处于变化中）；</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⑷</w:t>
      </w:r>
      <w:r>
        <w:rPr>
          <w:rFonts w:ascii="Times New Roman" w:hAnsi="Times New Roman" w:eastAsiaTheme="minorEastAsia"/>
          <w:sz w:val="24"/>
          <w:szCs w:val="24"/>
        </w:rPr>
        <w:t xml:space="preserve"> 派出船艇对溢油源/浮油区域周围实行警戒或交通管制，监视溢油在水上的扩散情况。必要和可能时，实行空中监视；</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⑸</w:t>
      </w:r>
      <w:r>
        <w:rPr>
          <w:rFonts w:ascii="Times New Roman" w:hAnsi="Times New Roman" w:eastAsiaTheme="minorEastAsia"/>
          <w:sz w:val="24"/>
          <w:szCs w:val="24"/>
        </w:rPr>
        <w:t xml:space="preserve"> 判别受威胁的敏感区域/设施，通知可能受威胁的单位；</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⑹</w:t>
      </w:r>
      <w:r>
        <w:rPr>
          <w:rFonts w:ascii="Times New Roman" w:hAnsi="Times New Roman" w:eastAsiaTheme="minorEastAsia"/>
          <w:sz w:val="24"/>
          <w:szCs w:val="24"/>
        </w:rPr>
        <w:t xml:space="preserve"> 根据溢油源的类型、规模、溢出地点、溢出油的种类、溢油扩散方向等，考虑采取相应的防治措施；</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⑺</w:t>
      </w:r>
      <w:r>
        <w:rPr>
          <w:rFonts w:ascii="Times New Roman" w:hAnsi="Times New Roman" w:eastAsiaTheme="minorEastAsia"/>
          <w:sz w:val="24"/>
          <w:szCs w:val="24"/>
        </w:rPr>
        <w:t xml:space="preserve"> 策划并执行清除作业，指定人员做好相关记录；</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⑻</w:t>
      </w:r>
      <w:r>
        <w:rPr>
          <w:rFonts w:ascii="Times New Roman" w:hAnsi="Times New Roman" w:eastAsiaTheme="minorEastAsia"/>
          <w:sz w:val="24"/>
          <w:szCs w:val="24"/>
        </w:rPr>
        <w:t xml:space="preserve"> 适时发布终止作业的命令和解除警报。</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各有关部门接到油污事件报警或通报后，应及时按计划规定和要求做好溢油事故防备和应急反应的各项工作，及时将采取或可能采取的措施反馈给油污应急指挥中心，听从应急指挥中心的统一指挥和行动现场总指挥的调动及安排，做好行动中的情况记录配合工作。</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应急小组全体成员立即采取应急措施，包括溢油控制与清除，溢油的监测和监视等。同时，在事故发生第一时间应立即通知码头下游各水厂，组织有关单位人员对取水口水域水质进行密集监测，一旦发现污染超标现象，立即停止取水。</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应急行动反应图见图6.7-2。</w:t>
      </w:r>
    </w:p>
    <w:p>
      <w:pPr>
        <w:spacing w:line="360" w:lineRule="auto"/>
        <w:jc w:val="center"/>
        <w:rPr>
          <w:rFonts w:ascii="Times New Roman" w:hAnsi="Times New Roman" w:eastAsiaTheme="minorEastAsia"/>
        </w:rPr>
      </w:pPr>
      <w:r>
        <w:rPr>
          <w:rFonts w:ascii="Times New Roman" w:hAnsi="Times New Roman" w:eastAsiaTheme="minorEastAsia"/>
        </w:rPr>
        <w:object>
          <v:shape id="_x0000_i1031" o:spt="75" type="#_x0000_t75" style="height:512.25pt;width:319.5pt;" o:ole="t" filled="f" o:preferrelative="t" stroked="f" coordsize="21600,21600">
            <v:path/>
            <v:fill on="f" focussize="0,0"/>
            <v:stroke on="f" joinstyle="miter"/>
            <v:imagedata r:id="rId75" o:title=""/>
            <o:lock v:ext="edit" aspectratio="f"/>
            <w10:wrap type="none"/>
            <w10:anchorlock/>
          </v:shape>
          <o:OLEObject Type="Embed" ProgID="Visio.Drawing.15" ShapeID="_x0000_i1031" DrawAspect="Content" ObjectID="_1468075731" r:id="rId74">
            <o:LockedField>false</o:LockedField>
          </o:OLEObject>
        </w:object>
      </w:r>
    </w:p>
    <w:p>
      <w:pPr>
        <w:adjustRightInd w:val="0"/>
        <w:snapToGrid w:val="0"/>
        <w:spacing w:line="360" w:lineRule="auto"/>
        <w:jc w:val="center"/>
        <w:rPr>
          <w:rFonts w:ascii="Times New Roman" w:hAnsi="Times New Roman" w:eastAsiaTheme="minorEastAsia"/>
          <w:b/>
          <w:sz w:val="24"/>
          <w:szCs w:val="24"/>
        </w:rPr>
      </w:pPr>
      <w:r>
        <w:rPr>
          <w:rFonts w:ascii="Times New Roman" w:hAnsi="Times New Roman" w:eastAsiaTheme="minorEastAsia"/>
          <w:b/>
          <w:sz w:val="24"/>
          <w:szCs w:val="24"/>
        </w:rPr>
        <w:t>图6.7-2  应急反应行动图</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4、溢油回收</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吸油毡回收后可重复使用。</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sz w:val="24"/>
          <w:szCs w:val="24"/>
        </w:rPr>
        <w:t xml:space="preserve"> 处置大量油污物时，先选择油污物的临时存储场所，存储过程分为两阶段：从岸线运到暂存地点，从暂存地点运到处置场所。将在室温下能泵吸的油泵入密封油柜中存储，将高粘度的油放在料车、桶等开口的容器里。对回收的污油和油污废弃物，应视溢油的不同类型和数量，采取不同的合理利用和处置方案。</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⑶</w:t>
      </w:r>
      <w:r>
        <w:rPr>
          <w:rFonts w:ascii="Times New Roman" w:hAnsi="Times New Roman" w:eastAsiaTheme="minorEastAsia"/>
          <w:sz w:val="24"/>
          <w:szCs w:val="24"/>
        </w:rPr>
        <w:t xml:space="preserve"> 溢油回收后，应送岳阳海事局认可的油类废弃物回收单位处理。</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5、事故报告制度</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发生污染事故时应及时报告，事故处理完毕后，华能岳阳电厂生产安全部应对事故原因、溢油量、污染清除处理过程、污染范围和影响程度报告海事局和环保局，由海事局、环保局等部门组织调查，按实际情况确定由事故溢油造成受损失的赔偿费用，经法院最终裁决后，给予经济赔偿。</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6、人员培训</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码头应急反应的有关管理人员、设施操作人员、应急清污人员应通过专业培训和在职培训，掌握履行其职责所需的相关知识，逐步实现应急反应人员持证上岗，使应急人员具备应急反应理论和溢油控制及清污的实践经验。</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7、演习</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为了提高应对水上突发事件的应急处置水平和应急指挥能力，增强应急队伍应急处置和安全保护技能，加强各应急救助单位之间的配合与沟通，检验参与单位应急能力，应适时组织举办综合演习。</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①</w:t>
      </w:r>
      <w:r>
        <w:rPr>
          <w:rFonts w:ascii="Times New Roman" w:hAnsi="Times New Roman" w:eastAsiaTheme="minorEastAsia"/>
          <w:sz w:val="24"/>
          <w:szCs w:val="24"/>
        </w:rPr>
        <w:t xml:space="preserve"> 每年举行一次溢油应急演习，检验各个环节是否能快速、协调、有效地实施。</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②</w:t>
      </w:r>
      <w:r>
        <w:rPr>
          <w:rFonts w:ascii="Times New Roman" w:hAnsi="Times New Roman" w:eastAsiaTheme="minorEastAsia"/>
          <w:sz w:val="24"/>
          <w:szCs w:val="24"/>
        </w:rPr>
        <w:t xml:space="preserve"> 演习分室内演习和现场实地模拟事故演习。</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③</w:t>
      </w:r>
      <w:r>
        <w:rPr>
          <w:rFonts w:ascii="Times New Roman" w:hAnsi="Times New Roman" w:eastAsiaTheme="minorEastAsia"/>
          <w:sz w:val="24"/>
          <w:szCs w:val="24"/>
        </w:rPr>
        <w:t xml:space="preserve"> 演习前，溢油应急指挥部办公室做好演习方案。</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演习内容：</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①</w:t>
      </w:r>
      <w:r>
        <w:rPr>
          <w:rFonts w:ascii="Times New Roman" w:hAnsi="Times New Roman" w:eastAsiaTheme="minorEastAsia"/>
          <w:sz w:val="24"/>
          <w:szCs w:val="24"/>
        </w:rPr>
        <w:t xml:space="preserve"> 执行指挥人员的指示。</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②</w:t>
      </w:r>
      <w:r>
        <w:rPr>
          <w:rFonts w:ascii="Times New Roman" w:hAnsi="Times New Roman" w:eastAsiaTheme="minorEastAsia"/>
          <w:sz w:val="24"/>
          <w:szCs w:val="24"/>
        </w:rPr>
        <w:t xml:space="preserve"> 使用各种设备和器材。</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③</w:t>
      </w:r>
      <w:r>
        <w:rPr>
          <w:rFonts w:ascii="Times New Roman" w:hAnsi="Times New Roman" w:eastAsiaTheme="minorEastAsia"/>
          <w:sz w:val="24"/>
          <w:szCs w:val="24"/>
        </w:rPr>
        <w:t xml:space="preserve"> 完成溢油围油栏和清除作业。</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④</w:t>
      </w:r>
      <w:r>
        <w:rPr>
          <w:rFonts w:ascii="Times New Roman" w:hAnsi="Times New Roman" w:eastAsiaTheme="minorEastAsia"/>
          <w:sz w:val="24"/>
          <w:szCs w:val="24"/>
        </w:rPr>
        <w:t xml:space="preserve"> 清除受影响地区的溢油。</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⑤</w:t>
      </w:r>
      <w:r>
        <w:rPr>
          <w:rFonts w:ascii="Times New Roman" w:hAnsi="Times New Roman" w:eastAsiaTheme="minorEastAsia"/>
          <w:sz w:val="24"/>
          <w:szCs w:val="24"/>
        </w:rPr>
        <w:t xml:space="preserve"> 回收、清洁、修复和储存各种设备。</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8、定期检查</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本应急计划保证相关人员人手一册，并且每年进行一次计划检查，及时对应急组织指挥机构成员及其联系方式进行修改更新。</w:t>
      </w:r>
    </w:p>
    <w:p>
      <w:pPr>
        <w:pStyle w:val="4"/>
        <w:rPr>
          <w:rFonts w:eastAsiaTheme="minorEastAsia"/>
        </w:rPr>
      </w:pPr>
      <w:bookmarkStart w:id="221" w:name="_Toc353885903"/>
      <w:bookmarkStart w:id="222" w:name="_Toc224829300"/>
      <w:bookmarkStart w:id="223" w:name="_Toc46930698"/>
      <w:bookmarkStart w:id="224" w:name="_Toc224362753"/>
      <w:bookmarkStart w:id="225" w:name="_Toc23429156"/>
      <w:bookmarkStart w:id="226" w:name="_Toc225244515"/>
      <w:bookmarkStart w:id="227" w:name="_Toc173081358"/>
      <w:bookmarkStart w:id="228" w:name="_Toc312680487"/>
      <w:bookmarkStart w:id="229" w:name="_Toc491031789"/>
      <w:bookmarkStart w:id="230" w:name="_Toc171486942"/>
      <w:r>
        <w:rPr>
          <w:rFonts w:eastAsiaTheme="minorEastAsia"/>
        </w:rPr>
        <w:t>风险评价结论</w:t>
      </w:r>
      <w:bookmarkEnd w:id="221"/>
      <w:bookmarkEnd w:id="222"/>
      <w:bookmarkEnd w:id="223"/>
      <w:bookmarkEnd w:id="224"/>
      <w:bookmarkEnd w:id="225"/>
      <w:bookmarkEnd w:id="226"/>
      <w:bookmarkEnd w:id="227"/>
      <w:bookmarkEnd w:id="228"/>
      <w:bookmarkEnd w:id="229"/>
      <w:bookmarkEnd w:id="230"/>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综合以上分析，本项目风险评价综述如下：</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本项目涉及的化学品类型主要为油品类，风险主要为船舶本身出现设施损废，或者发生船舶碰撞发生水域溢油风险。</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sz w:val="24"/>
          <w:szCs w:val="24"/>
        </w:rPr>
        <w:t xml:space="preserve"> 当码头船舶发生溢油事故时，未采取任何措施的情况下，由于水流弥散作用，燃料油将向下游迁移，拟建码头下游同岸最近取水口为岳阳市云溪区道仁矶水厂长江取水口，距离约为6700m，油膜到达时间约为3240</w:t>
      </w:r>
      <w:r>
        <w:rPr>
          <w:rFonts w:hint="eastAsia" w:ascii="Times New Roman" w:hAnsi="Times New Roman" w:eastAsiaTheme="minorEastAsia"/>
          <w:sz w:val="24"/>
          <w:szCs w:val="24"/>
          <w:lang w:val="en-US" w:eastAsia="zh-CN"/>
        </w:rPr>
        <w:t>s</w:t>
      </w:r>
      <w:r>
        <w:rPr>
          <w:rFonts w:ascii="Times New Roman" w:hAnsi="Times New Roman" w:eastAsiaTheme="minorEastAsia"/>
          <w:sz w:val="24"/>
          <w:szCs w:val="24"/>
        </w:rPr>
        <w:t>（约54min、0.9h），油膜等效直径约为279m，厚度约0.13mm，污染团的面积约68280m</w:t>
      </w:r>
      <w:r>
        <w:rPr>
          <w:rFonts w:ascii="Times New Roman" w:hAnsi="Times New Roman" w:eastAsiaTheme="minorEastAsia"/>
          <w:sz w:val="24"/>
          <w:szCs w:val="24"/>
          <w:vertAlign w:val="superscript"/>
        </w:rPr>
        <w:t>2</w:t>
      </w:r>
      <w:r>
        <w:rPr>
          <w:rFonts w:ascii="Times New Roman" w:hAnsi="Times New Roman" w:eastAsiaTheme="minorEastAsia"/>
          <w:sz w:val="24"/>
          <w:szCs w:val="24"/>
        </w:rPr>
        <w:t>。油膜漂移会对下游三处取水口水质造成影响。</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⑶</w:t>
      </w:r>
      <w:r>
        <w:rPr>
          <w:rFonts w:ascii="Times New Roman" w:hAnsi="Times New Roman" w:eastAsiaTheme="minorEastAsia"/>
          <w:sz w:val="24"/>
          <w:szCs w:val="24"/>
        </w:rPr>
        <w:t xml:space="preserve"> 石油类对水生生物产生中毒影响的浓度阈值普遍较低，因此项目营运期一旦发生溢油污染，将会造成污染水域内鱼类急性中毒和鱼的致突变性等，对浮游植物和动物也会产生一定的中毒影响，严重的影响将会造成部分鱼类、水生动植物中毒死亡事故。</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⑷</w:t>
      </w:r>
      <w:r>
        <w:rPr>
          <w:rFonts w:ascii="Times New Roman" w:hAnsi="Times New Roman" w:eastAsiaTheme="minorEastAsia"/>
          <w:sz w:val="24"/>
          <w:szCs w:val="24"/>
        </w:rPr>
        <w:t xml:space="preserve"> 发生溢油事故时，码头前沿溢油会对产将水质产生产生影响，鉴于本项目配备有足够的应急处理系统，事故发生时可以在较短时间内启动应急预案，可以实施有效拦截，从而有效控制溢油对长江水污染，因此，码头建设风险水平是可以接受的。</w:t>
      </w:r>
    </w:p>
    <w:p>
      <w:pPr>
        <w:pStyle w:val="3"/>
        <w:ind w:left="578" w:hanging="578"/>
        <w:rPr>
          <w:rFonts w:hint="default" w:ascii="Times New Roman" w:hAnsi="Times New Roman" w:cs="Times New Roman" w:eastAsiaTheme="minorEastAsia"/>
          <w:b/>
        </w:rPr>
      </w:pPr>
      <w:bookmarkStart w:id="231" w:name="_Toc17521"/>
      <w:bookmarkStart w:id="232" w:name="_Toc23549"/>
      <w:bookmarkStart w:id="233" w:name="_Toc19928"/>
      <w:r>
        <w:rPr>
          <w:rFonts w:hint="default" w:ascii="Times New Roman" w:hAnsi="Times New Roman" w:cs="Times New Roman" w:eastAsiaTheme="minorEastAsia"/>
          <w:b/>
        </w:rPr>
        <w:t>相关专题影响分析</w:t>
      </w:r>
      <w:bookmarkEnd w:id="231"/>
      <w:bookmarkEnd w:id="232"/>
      <w:bookmarkEnd w:id="233"/>
    </w:p>
    <w:p>
      <w:pPr>
        <w:pStyle w:val="4"/>
        <w:ind w:left="578" w:hanging="578"/>
        <w:rPr>
          <w:rFonts w:hint="default" w:ascii="Times New Roman" w:hAnsi="Times New Roman" w:cs="Times New Roman" w:eastAsiaTheme="minorEastAsia"/>
        </w:rPr>
      </w:pPr>
      <w:r>
        <w:rPr>
          <w:rFonts w:hint="default" w:ascii="Times New Roman" w:hAnsi="Times New Roman" w:cs="Times New Roman" w:eastAsiaTheme="minorEastAsia"/>
        </w:rPr>
        <w:t>对区域河势及防洪的影响分析</w:t>
      </w:r>
    </w:p>
    <w:p>
      <w:pPr>
        <w:adjustRightInd w:val="0"/>
        <w:snapToGrid w:val="0"/>
        <w:spacing w:line="360" w:lineRule="auto"/>
        <w:ind w:firstLine="480" w:firstLineChars="200"/>
        <w:rPr>
          <w:rFonts w:hint="default" w:ascii="Times New Roman" w:hAnsi="Times New Roman" w:cs="Times New Roman" w:eastAsiaTheme="minorEastAsia"/>
          <w:color w:val="FF0000"/>
          <w:kern w:val="0"/>
          <w:sz w:val="24"/>
          <w:szCs w:val="24"/>
          <w:u w:val="single"/>
        </w:rPr>
      </w:pPr>
      <w:r>
        <w:rPr>
          <w:rFonts w:hint="default" w:ascii="Times New Roman" w:hAnsi="Times New Roman" w:cs="Times New Roman" w:eastAsiaTheme="minorEastAsia"/>
          <w:color w:val="FF0000"/>
          <w:kern w:val="0"/>
          <w:sz w:val="24"/>
          <w:szCs w:val="24"/>
          <w:u w:val="single"/>
        </w:rPr>
        <w:t>引用《华能岳阳电厂码头2#泊位提质改造工程防洪评价报告》中的相关结论。</w:t>
      </w:r>
    </w:p>
    <w:p>
      <w:pPr>
        <w:adjustRightInd w:val="0"/>
        <w:snapToGrid w:val="0"/>
        <w:spacing w:line="360" w:lineRule="auto"/>
        <w:ind w:firstLine="480" w:firstLineChars="200"/>
        <w:rPr>
          <w:rFonts w:hint="default" w:ascii="Times New Roman" w:hAnsi="Times New Roman" w:cs="Times New Roman" w:eastAsiaTheme="minorEastAsia"/>
          <w:color w:val="FF0000"/>
          <w:kern w:val="0"/>
          <w:sz w:val="24"/>
          <w:szCs w:val="24"/>
          <w:u w:val="single"/>
        </w:rPr>
      </w:pPr>
      <w:r>
        <w:rPr>
          <w:rFonts w:hint="default" w:ascii="Times New Roman" w:hAnsi="Times New Roman" w:cs="Times New Roman" w:eastAsiaTheme="minorEastAsia"/>
          <w:color w:val="FF0000"/>
          <w:kern w:val="0"/>
          <w:sz w:val="24"/>
          <w:szCs w:val="24"/>
          <w:u w:val="single"/>
        </w:rPr>
        <w:t>本项目河段河宽一般在1</w:t>
      </w:r>
      <w:r>
        <w:rPr>
          <w:rFonts w:hint="eastAsia" w:ascii="Times New Roman" w:hAnsi="Times New Roman" w:cs="Times New Roman" w:eastAsiaTheme="minorEastAsia"/>
          <w:color w:val="FF0000"/>
          <w:kern w:val="0"/>
          <w:sz w:val="24"/>
          <w:szCs w:val="24"/>
          <w:u w:val="single"/>
          <w:lang w:val="en-US" w:eastAsia="zh-CN"/>
        </w:rPr>
        <w:t>.1</w:t>
      </w:r>
      <w:r>
        <w:rPr>
          <w:rFonts w:hint="default" w:ascii="Times New Roman" w:hAnsi="Times New Roman" w:cs="Times New Roman" w:eastAsiaTheme="minorEastAsia"/>
          <w:color w:val="FF0000"/>
          <w:kern w:val="0"/>
          <w:sz w:val="24"/>
          <w:szCs w:val="24"/>
          <w:u w:val="single"/>
        </w:rPr>
        <w:t>km左右。多年来，虽河势的总体格局变化不大，但由于该段为宽浅河道，江中分布有潜洲，将河道分成左右两槽。受上游主流摆动的影响，工程附近的河道仍有一定的冲淤变化。从近年的水域条件看，基本具备建设码头工程的条件。</w:t>
      </w:r>
    </w:p>
    <w:p>
      <w:pPr>
        <w:adjustRightInd w:val="0"/>
        <w:snapToGrid w:val="0"/>
        <w:spacing w:line="360" w:lineRule="auto"/>
        <w:ind w:firstLine="480" w:firstLineChars="200"/>
        <w:rPr>
          <w:rFonts w:hint="default" w:ascii="Times New Roman" w:hAnsi="Times New Roman" w:cs="Times New Roman" w:eastAsiaTheme="minorEastAsia"/>
          <w:color w:val="FF0000"/>
          <w:kern w:val="0"/>
          <w:sz w:val="24"/>
          <w:szCs w:val="24"/>
          <w:u w:val="single"/>
        </w:rPr>
      </w:pPr>
      <w:r>
        <w:rPr>
          <w:rFonts w:hint="default" w:ascii="Times New Roman" w:hAnsi="Times New Roman" w:cs="Times New Roman" w:eastAsiaTheme="minorEastAsia"/>
          <w:color w:val="FF0000"/>
          <w:kern w:val="0"/>
          <w:sz w:val="24"/>
          <w:szCs w:val="24"/>
          <w:u w:val="single"/>
        </w:rPr>
        <w:t>本项目建成后，其主要阻水建筑物为码头及其引桥结构。根据码头工程河势影响分析数模计算结果，本项目对局部水流影响值不大，影响范围有限，水流结构的调整不足以引起工程附近河床冲淤性质发生大的改变。</w:t>
      </w:r>
    </w:p>
    <w:p>
      <w:pPr>
        <w:adjustRightInd w:val="0"/>
        <w:snapToGrid w:val="0"/>
        <w:spacing w:line="360" w:lineRule="auto"/>
        <w:ind w:firstLine="480" w:firstLineChars="200"/>
        <w:rPr>
          <w:rFonts w:hint="default" w:ascii="Times New Roman" w:hAnsi="Times New Roman" w:cs="Times New Roman" w:eastAsiaTheme="minorEastAsia"/>
          <w:color w:val="FF0000"/>
          <w:kern w:val="0"/>
          <w:sz w:val="24"/>
          <w:szCs w:val="24"/>
          <w:u w:val="single"/>
        </w:rPr>
      </w:pPr>
      <w:r>
        <w:rPr>
          <w:rFonts w:hint="default" w:ascii="Times New Roman" w:hAnsi="Times New Roman" w:cs="Times New Roman" w:eastAsiaTheme="minorEastAsia"/>
          <w:color w:val="FF0000"/>
          <w:kern w:val="0"/>
          <w:sz w:val="24"/>
          <w:szCs w:val="24"/>
          <w:u w:val="single"/>
        </w:rPr>
        <w:t>从计算流场来看，码头平台前沿线与水流基本平顺；在平滩流量条件下，工程后工程附近各监测点水流流向变化一般均在±1°之内，码头工程对水流流向影响不大；工程后工程附近几个监测断面流速分布基本没有变化，工程对河段主流线影响较小，河道主流稳定。</w:t>
      </w:r>
    </w:p>
    <w:p>
      <w:pPr>
        <w:adjustRightInd w:val="0"/>
        <w:snapToGrid w:val="0"/>
        <w:spacing w:line="360" w:lineRule="auto"/>
        <w:ind w:firstLine="480" w:firstLineChars="200"/>
        <w:rPr>
          <w:rFonts w:hint="default" w:ascii="Times New Roman" w:hAnsi="Times New Roman" w:cs="Times New Roman" w:eastAsiaTheme="minorEastAsia"/>
          <w:color w:val="FF0000"/>
          <w:kern w:val="0"/>
          <w:sz w:val="24"/>
          <w:szCs w:val="24"/>
          <w:u w:val="single"/>
        </w:rPr>
      </w:pPr>
      <w:r>
        <w:rPr>
          <w:rFonts w:hint="default" w:ascii="Times New Roman" w:hAnsi="Times New Roman" w:cs="Times New Roman" w:eastAsiaTheme="minorEastAsia"/>
          <w:color w:val="FF0000"/>
          <w:kern w:val="0"/>
          <w:sz w:val="24"/>
          <w:szCs w:val="24"/>
          <w:u w:val="single"/>
        </w:rPr>
        <w:t>总之，由于该码头工程采用阻水作用较小的浮码头结构，码头结构占用河道行洪面积不大，工程修建后对河道阻水作用较小</w:t>
      </w:r>
      <w:r>
        <w:rPr>
          <w:rFonts w:hint="eastAsia" w:ascii="Times New Roman" w:hAnsi="Times New Roman" w:cs="Times New Roman" w:eastAsiaTheme="minorEastAsia"/>
          <w:color w:val="FF0000"/>
          <w:kern w:val="0"/>
          <w:sz w:val="24"/>
          <w:szCs w:val="24"/>
          <w:u w:val="single"/>
          <w:lang w:val="en-US" w:eastAsia="zh-CN"/>
        </w:rPr>
        <w:t>.</w:t>
      </w:r>
      <w:r>
        <w:rPr>
          <w:rFonts w:hint="default" w:ascii="Times New Roman" w:hAnsi="Times New Roman" w:cs="Times New Roman" w:eastAsiaTheme="minorEastAsia"/>
          <w:color w:val="FF0000"/>
          <w:kern w:val="0"/>
          <w:sz w:val="24"/>
          <w:szCs w:val="24"/>
          <w:u w:val="single"/>
        </w:rPr>
        <w:t>因此，工程的修建对河道水位流场影响不大，对工程河段河道行洪影响较小。</w:t>
      </w:r>
    </w:p>
    <w:p>
      <w:pPr>
        <w:adjustRightInd w:val="0"/>
        <w:snapToGrid w:val="0"/>
        <w:spacing w:line="360" w:lineRule="auto"/>
        <w:ind w:firstLine="480" w:firstLineChars="200"/>
        <w:rPr>
          <w:rFonts w:hint="default" w:ascii="Times New Roman" w:hAnsi="Times New Roman" w:cs="Times New Roman" w:eastAsiaTheme="minorEastAsia"/>
          <w:color w:val="FF0000"/>
          <w:kern w:val="0"/>
          <w:sz w:val="24"/>
          <w:szCs w:val="24"/>
          <w:u w:val="single"/>
        </w:rPr>
      </w:pPr>
      <w:r>
        <w:rPr>
          <w:rFonts w:hint="default" w:ascii="Times New Roman" w:hAnsi="Times New Roman" w:cs="Times New Roman" w:eastAsiaTheme="minorEastAsia"/>
          <w:color w:val="FF0000"/>
          <w:kern w:val="0"/>
          <w:sz w:val="24"/>
          <w:szCs w:val="24"/>
          <w:u w:val="single"/>
        </w:rPr>
        <w:t>综上所述，工程的建设与运行对长江行洪、河势稳定影响较小。</w:t>
      </w:r>
    </w:p>
    <w:p>
      <w:pPr>
        <w:pStyle w:val="4"/>
        <w:ind w:left="578" w:hanging="578"/>
        <w:rPr>
          <w:rFonts w:hint="default" w:ascii="Times New Roman" w:hAnsi="Times New Roman" w:cs="Times New Roman" w:eastAsiaTheme="minorEastAsia"/>
        </w:rPr>
      </w:pPr>
      <w:r>
        <w:rPr>
          <w:rFonts w:hint="default" w:ascii="Times New Roman" w:hAnsi="Times New Roman" w:cs="Times New Roman" w:eastAsiaTheme="minorEastAsia"/>
        </w:rPr>
        <w:t>对航道的影响分析</w:t>
      </w:r>
    </w:p>
    <w:p>
      <w:pPr>
        <w:adjustRightInd w:val="0"/>
        <w:snapToGrid w:val="0"/>
        <w:spacing w:line="360" w:lineRule="auto"/>
        <w:ind w:firstLine="480" w:firstLineChars="200"/>
        <w:rPr>
          <w:rFonts w:hint="default" w:ascii="Times New Roman" w:hAnsi="Times New Roman" w:cs="Times New Roman" w:eastAsiaTheme="minorEastAsia"/>
          <w:color w:val="FF0000"/>
          <w:kern w:val="0"/>
          <w:sz w:val="24"/>
          <w:szCs w:val="24"/>
          <w:u w:val="single"/>
        </w:rPr>
      </w:pPr>
      <w:r>
        <w:rPr>
          <w:rFonts w:hint="default" w:ascii="Times New Roman" w:hAnsi="Times New Roman" w:cs="Times New Roman" w:eastAsiaTheme="minorEastAsia"/>
          <w:color w:val="FF0000"/>
          <w:kern w:val="0"/>
          <w:sz w:val="24"/>
          <w:szCs w:val="24"/>
          <w:u w:val="single"/>
        </w:rPr>
        <w:t>引用《华能岳阳电厂码头2#泊位提质改造工程航道影响报告书》中的相关结论。</w:t>
      </w:r>
    </w:p>
    <w:p>
      <w:pPr>
        <w:adjustRightInd w:val="0"/>
        <w:snapToGrid w:val="0"/>
        <w:spacing w:line="360" w:lineRule="auto"/>
        <w:ind w:firstLine="480" w:firstLineChars="200"/>
        <w:rPr>
          <w:rFonts w:hint="default" w:ascii="Times New Roman" w:hAnsi="Times New Roman" w:cs="Times New Roman" w:eastAsiaTheme="minorEastAsia"/>
          <w:color w:val="FF0000"/>
          <w:kern w:val="0"/>
          <w:sz w:val="24"/>
          <w:szCs w:val="24"/>
          <w:u w:val="single"/>
        </w:rPr>
      </w:pPr>
      <w:r>
        <w:rPr>
          <w:rFonts w:hint="eastAsia" w:ascii="Times New Roman" w:hAnsi="Times New Roman" w:cs="Times New Roman" w:eastAsiaTheme="minorEastAsia"/>
          <w:color w:val="FF0000"/>
          <w:kern w:val="0"/>
          <w:sz w:val="24"/>
          <w:szCs w:val="24"/>
          <w:u w:val="single"/>
          <w:lang w:eastAsia="zh-CN"/>
        </w:rPr>
        <w:t>本项目</w:t>
      </w:r>
      <w:r>
        <w:rPr>
          <w:rFonts w:hint="default" w:ascii="Times New Roman" w:hAnsi="Times New Roman" w:cs="Times New Roman" w:eastAsiaTheme="minorEastAsia"/>
          <w:color w:val="FF0000"/>
          <w:kern w:val="0"/>
          <w:sz w:val="24"/>
          <w:szCs w:val="24"/>
          <w:u w:val="single"/>
        </w:rPr>
        <w:t>位于湖南省岳阳市</w:t>
      </w:r>
      <w:r>
        <w:rPr>
          <w:rFonts w:hint="eastAsia" w:ascii="Times New Roman" w:hAnsi="Times New Roman" w:cs="Times New Roman" w:eastAsiaTheme="minorEastAsia"/>
          <w:color w:val="FF0000"/>
          <w:kern w:val="0"/>
          <w:sz w:val="24"/>
          <w:szCs w:val="24"/>
          <w:u w:val="single"/>
          <w:lang w:eastAsia="zh-CN"/>
        </w:rPr>
        <w:t>城陵矶新港区</w:t>
      </w:r>
      <w:r>
        <w:rPr>
          <w:rFonts w:hint="default" w:ascii="Times New Roman" w:hAnsi="Times New Roman" w:cs="Times New Roman" w:eastAsiaTheme="minorEastAsia"/>
          <w:color w:val="FF0000"/>
          <w:kern w:val="0"/>
          <w:sz w:val="24"/>
          <w:szCs w:val="24"/>
          <w:u w:val="single"/>
        </w:rPr>
        <w:t>，</w:t>
      </w:r>
      <w:r>
        <w:rPr>
          <w:rFonts w:ascii="Times New Roman" w:hAnsi="Times New Roman" w:eastAsiaTheme="minorEastAsia"/>
          <w:color w:val="FF0000"/>
          <w:sz w:val="24"/>
          <w:u w:val="single"/>
        </w:rPr>
        <w:t>长江中游仙峰水道上段城陵矶擂鼓台下游约600m处的长江右岸，长江中游航道里程228km</w:t>
      </w:r>
      <w:r>
        <w:rPr>
          <w:rFonts w:hint="eastAsia" w:ascii="Times New Roman" w:hAnsi="Times New Roman" w:eastAsiaTheme="minorEastAsia"/>
          <w:color w:val="FF0000"/>
          <w:sz w:val="24"/>
          <w:u w:val="single"/>
          <w:lang w:eastAsia="zh-CN"/>
        </w:rPr>
        <w:t>。</w:t>
      </w:r>
      <w:r>
        <w:rPr>
          <w:rFonts w:hint="default" w:ascii="Times New Roman" w:hAnsi="Times New Roman" w:cs="Times New Roman" w:eastAsiaTheme="minorEastAsia"/>
          <w:color w:val="FF0000"/>
          <w:kern w:val="0"/>
          <w:sz w:val="24"/>
          <w:szCs w:val="24"/>
          <w:u w:val="single"/>
        </w:rPr>
        <w:t>根据工程河段历史及近期河床演变分析，工程河段整治工程实施后，总体河势稳定，工程局部河段水域开阔，水深条件较好，具备工程建设的水域条件。</w:t>
      </w:r>
    </w:p>
    <w:p>
      <w:pPr>
        <w:adjustRightInd w:val="0"/>
        <w:snapToGrid w:val="0"/>
        <w:spacing w:line="360" w:lineRule="auto"/>
        <w:ind w:firstLine="480" w:firstLineChars="200"/>
        <w:rPr>
          <w:rFonts w:hint="default" w:ascii="Times New Roman" w:hAnsi="Times New Roman" w:cs="Times New Roman" w:eastAsiaTheme="minorEastAsia"/>
          <w:color w:val="FF0000"/>
          <w:kern w:val="0"/>
          <w:sz w:val="24"/>
          <w:szCs w:val="24"/>
          <w:u w:val="single"/>
        </w:rPr>
      </w:pPr>
      <w:r>
        <w:rPr>
          <w:rFonts w:hint="default" w:ascii="Times New Roman" w:hAnsi="Times New Roman" w:cs="Times New Roman" w:eastAsiaTheme="minorEastAsia"/>
          <w:color w:val="FF0000"/>
          <w:kern w:val="0"/>
          <w:sz w:val="24"/>
          <w:szCs w:val="24"/>
          <w:u w:val="single"/>
        </w:rPr>
        <w:t>报告的结论是在现行航道布置及航标配布条件下，</w:t>
      </w:r>
      <w:r>
        <w:rPr>
          <w:rFonts w:hint="eastAsia" w:ascii="Times New Roman" w:hAnsi="Times New Roman" w:cs="Times New Roman" w:eastAsiaTheme="minorEastAsia"/>
          <w:color w:val="FF0000"/>
          <w:kern w:val="0"/>
          <w:sz w:val="24"/>
          <w:szCs w:val="24"/>
          <w:u w:val="single"/>
          <w:lang w:eastAsia="zh-CN"/>
        </w:rPr>
        <w:t>本项目</w:t>
      </w:r>
      <w:r>
        <w:rPr>
          <w:rFonts w:hint="default" w:ascii="Times New Roman" w:hAnsi="Times New Roman" w:cs="Times New Roman" w:eastAsiaTheme="minorEastAsia"/>
          <w:color w:val="FF0000"/>
          <w:kern w:val="0"/>
          <w:sz w:val="24"/>
          <w:szCs w:val="24"/>
          <w:u w:val="single"/>
        </w:rPr>
        <w:t>水工构筑物和停泊水域均未占用主航道及推荐航路水域，对现行航道布置影响较小，码头前沿线布置满足航道维护管理的要求。码头建设期及建成营运后，建议加强码头前沿水域水下地形、水流条件的观测，掌握变化情况，以便及时采取相应措施，以保证工程建设和运行安全。</w:t>
      </w:r>
    </w:p>
    <w:p>
      <w:pPr>
        <w:adjustRightInd w:val="0"/>
        <w:snapToGrid w:val="0"/>
        <w:spacing w:line="360" w:lineRule="auto"/>
        <w:rPr>
          <w:rFonts w:ascii="Times New Roman" w:hAnsi="Times New Roman" w:eastAsiaTheme="minorEastAsia"/>
          <w:kern w:val="0"/>
          <w:sz w:val="24"/>
          <w:szCs w:val="24"/>
        </w:rPr>
      </w:pPr>
    </w:p>
    <w:p>
      <w:pPr>
        <w:rPr>
          <w:rFonts w:ascii="Times New Roman" w:hAnsi="Times New Roman" w:eastAsiaTheme="minorEastAsia"/>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bookmarkStart w:id="234" w:name="_Toc1647856"/>
      <w:bookmarkEnd w:id="234"/>
    </w:p>
    <w:p>
      <w:pPr>
        <w:pStyle w:val="2"/>
        <w:spacing w:line="480" w:lineRule="auto"/>
        <w:ind w:left="431" w:hanging="431"/>
        <w:jc w:val="center"/>
        <w:rPr>
          <w:rFonts w:eastAsiaTheme="minorEastAsia"/>
          <w:b/>
          <w:sz w:val="32"/>
          <w:szCs w:val="32"/>
        </w:rPr>
      </w:pPr>
      <w:bookmarkStart w:id="235" w:name="_Toc28083"/>
      <w:r>
        <w:rPr>
          <w:rFonts w:eastAsiaTheme="minorEastAsia"/>
          <w:b/>
          <w:sz w:val="32"/>
          <w:szCs w:val="32"/>
        </w:rPr>
        <w:t>水产种质资源保护区环境影响评价及保护措施</w:t>
      </w:r>
      <w:bookmarkEnd w:id="235"/>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该章节内容摘录于</w:t>
      </w:r>
      <w:r>
        <w:rPr>
          <w:rFonts w:ascii="Times New Roman" w:hAnsi="Times New Roman"/>
          <w:kern w:val="0"/>
          <w:sz w:val="24"/>
          <w:szCs w:val="24"/>
        </w:rPr>
        <w:t>华中师范大学编制的</w:t>
      </w:r>
      <w:r>
        <w:rPr>
          <w:rFonts w:ascii="Times New Roman" w:hAnsi="Times New Roman" w:eastAsiaTheme="minorEastAsia"/>
          <w:sz w:val="24"/>
          <w:szCs w:val="24"/>
        </w:rPr>
        <w:t>《华能岳阳电厂码头及岸线综合利用工程对洞庭湖口铜鱼短颌鲚水产种质资源保护区影响专题论证报告》的相关内容。</w:t>
      </w:r>
    </w:p>
    <w:p>
      <w:pPr>
        <w:pStyle w:val="3"/>
        <w:ind w:left="0" w:firstLine="0"/>
        <w:rPr>
          <w:rFonts w:ascii="Times New Roman" w:hAnsi="Times New Roman" w:eastAsiaTheme="minorEastAsia"/>
          <w:b/>
        </w:rPr>
      </w:pPr>
      <w:bookmarkStart w:id="236" w:name="_Toc30179"/>
      <w:bookmarkStart w:id="237" w:name="_Toc396840929"/>
      <w:bookmarkStart w:id="238" w:name="_Toc382412924"/>
      <w:bookmarkStart w:id="239" w:name="_Toc29225482"/>
      <w:bookmarkStart w:id="240" w:name="_Toc25051372"/>
      <w:bookmarkStart w:id="241" w:name="_Toc387816903"/>
      <w:r>
        <w:rPr>
          <w:rFonts w:ascii="Times New Roman" w:hAnsi="Times New Roman" w:eastAsiaTheme="minorEastAsia"/>
          <w:b/>
        </w:rPr>
        <w:t>对水生生物资源及保护区生态结构和功能的影响预测与评价</w:t>
      </w:r>
      <w:bookmarkEnd w:id="236"/>
      <w:bookmarkEnd w:id="237"/>
      <w:bookmarkEnd w:id="238"/>
      <w:bookmarkEnd w:id="239"/>
      <w:bookmarkEnd w:id="240"/>
      <w:bookmarkEnd w:id="241"/>
    </w:p>
    <w:p>
      <w:pPr>
        <w:pStyle w:val="4"/>
        <w:rPr>
          <w:rFonts w:eastAsiaTheme="minorEastAsia"/>
        </w:rPr>
      </w:pPr>
      <w:bookmarkStart w:id="242" w:name="_Toc8943568"/>
      <w:bookmarkStart w:id="243" w:name="_Toc505670926"/>
      <w:bookmarkStart w:id="244" w:name="_Toc387816907"/>
      <w:r>
        <w:rPr>
          <w:rFonts w:eastAsiaTheme="minorEastAsia"/>
        </w:rPr>
        <w:t>对鱼类等水生生物区系、种群结构、资源组成的影响</w:t>
      </w:r>
      <w:bookmarkEnd w:id="242"/>
      <w:bookmarkEnd w:id="243"/>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本项目水工建筑主要包括趸船、接岸引桥、转运站及带式输送机廊道等等部分组成。工程（包括趸船、活动钢引桥、转运站等全部水工工程投影）占用保护区面积为3809.73m</w:t>
      </w:r>
      <w:r>
        <w:rPr>
          <w:rFonts w:ascii="Times New Roman" w:hAnsi="Times New Roman" w:eastAsiaTheme="minorEastAsia"/>
          <w:sz w:val="24"/>
          <w:szCs w:val="24"/>
          <w:vertAlign w:val="superscript"/>
        </w:rPr>
        <w:t>2</w:t>
      </w:r>
      <w:r>
        <w:rPr>
          <w:rFonts w:ascii="Times New Roman" w:hAnsi="Times New Roman" w:eastAsiaTheme="minorEastAsia"/>
          <w:sz w:val="24"/>
          <w:szCs w:val="24"/>
        </w:rPr>
        <w:t>，其中桩基占地面积104.88m</w:t>
      </w:r>
      <w:r>
        <w:rPr>
          <w:rFonts w:ascii="Times New Roman" w:hAnsi="Times New Roman" w:eastAsiaTheme="minorEastAsia"/>
          <w:sz w:val="24"/>
          <w:szCs w:val="24"/>
          <w:vertAlign w:val="superscript"/>
        </w:rPr>
        <w:t>2</w:t>
      </w:r>
      <w:r>
        <w:rPr>
          <w:rFonts w:ascii="Times New Roman" w:hAnsi="Times New Roman" w:eastAsiaTheme="minorEastAsia"/>
          <w:sz w:val="24"/>
          <w:szCs w:val="24"/>
        </w:rPr>
        <w:t>。另外临时施工占用保护区面积约5000m</w:t>
      </w:r>
      <w:r>
        <w:rPr>
          <w:rFonts w:ascii="Times New Roman" w:hAnsi="Times New Roman" w:eastAsiaTheme="minorEastAsia"/>
          <w:sz w:val="24"/>
          <w:szCs w:val="24"/>
          <w:vertAlign w:val="superscript"/>
        </w:rPr>
        <w:t>2</w:t>
      </w:r>
      <w:r>
        <w:rPr>
          <w:rFonts w:ascii="Times New Roman" w:hAnsi="Times New Roman" w:eastAsiaTheme="minorEastAsia"/>
          <w:sz w:val="24"/>
          <w:szCs w:val="24"/>
        </w:rPr>
        <w:t>。</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由于涉水工程施工导致的水质破坏，浮游生物、底栖动物等饵料生物量的减少，改变了施工范围内原有鱼类的生存、生长和繁衍条件，鱼类将择水而栖迁到其它地方，施工区域鱼类密度有所降低。常水位线下桩基施工期在水下作业时，搅动水体和河床底泥，局部范围内破坏了鱼类的栖息地，对鱼类有驱赶作用，也会使鱼类远离施工现场。施工期内因饵料减少对渔业资源的影响非常轻微。工程对鱼类资源的影响包括施工期和运行期的影响。</w:t>
      </w:r>
    </w:p>
    <w:p>
      <w:pPr>
        <w:pStyle w:val="5"/>
        <w:rPr>
          <w:b w:val="0"/>
          <w:bCs w:val="0"/>
        </w:rPr>
      </w:pPr>
      <w:r>
        <w:rPr>
          <w:rFonts w:eastAsiaTheme="minorEastAsia"/>
        </w:rPr>
        <w:t>施工期</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工程对鱼类资源的影响主要来自以下4个方面。</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施工产生的悬浮物对鱼类的影响</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常水位线以下桩基切割拆除，重建桩基施工产生的悬浮泥沙会对鱼卵、仔稚鱼和幼体会造成伤害，主要表现为影响胚胎发育、堵塞生物的腮部造成窒息死亡，悬浮物沉积造成水体缺氧而导致死亡等。通常认为，成年鱼类的活动能力较强，在悬浮泥沙浓度超过10mg/L的范围内成鱼可以回避，施工作业对其的影响更多表现为“驱散效应”。</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由于施工区水域面积大，自身净化能力较强，不会形成污染带，鱼类也会本能避开浑浊水域。因此，施工阶段不会对作业区的鱼类带来较大的影响，其主要影响是改变了鱼类的暂时空间分布，不会导致鱼类资源量的明显变化。随着施工期的结束，不利影响也即消失。</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sz w:val="24"/>
          <w:szCs w:val="24"/>
        </w:rPr>
        <w:t xml:space="preserve"> 施工产生的噪声对鱼类的影响</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桩基拆除、重建施工期噪声主要来自机械设备等作业时产生的噪声。这些机械运行时在噪声较大，联合作业时叠加影响更加突出。施工期施工噪音对施工区鱼类产生惊吓效果，不会对鱼类造成明显的伤害或导致其死亡。但是在持续噪音刺激下，一些种类的个体会出现行为紊乱，从而妨碍其正常索饵和繁殖。</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⑶</w:t>
      </w:r>
      <w:r>
        <w:rPr>
          <w:rFonts w:ascii="Times New Roman" w:hAnsi="Times New Roman" w:eastAsiaTheme="minorEastAsia"/>
          <w:sz w:val="24"/>
          <w:szCs w:val="24"/>
        </w:rPr>
        <w:t xml:space="preserve"> 施工产生的废水对鱼类的影响</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施工期间废水主要来自生产和生活，包括机修间含油废水、冲洗废水和生活污水等；施工期因水质污染对鱼类、浮游植物及底栖动物等有一定不利影响，但由于施工期较短，且多为点状施工，影响程度不大。</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⑷</w:t>
      </w:r>
      <w:r>
        <w:rPr>
          <w:rFonts w:ascii="Times New Roman" w:hAnsi="Times New Roman" w:eastAsiaTheme="minorEastAsia"/>
          <w:sz w:val="24"/>
          <w:szCs w:val="24"/>
        </w:rPr>
        <w:t xml:space="preserve"> 施工对鱼类饵料资源的影响</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桩基施工会导致施工区域内鱼类饵料生物损失，浮游生物、底栖生物和水生植物的损失，会造成以浮游生物为主要食物的鳙、以底栖生物为主要食物的青鱼和以水生植物为主要食物的草鱼饵料资源的损失。</w:t>
      </w:r>
    </w:p>
    <w:p>
      <w:pPr>
        <w:pStyle w:val="5"/>
        <w:rPr>
          <w:rFonts w:eastAsiaTheme="minorEastAsia"/>
        </w:rPr>
      </w:pPr>
      <w:r>
        <w:rPr>
          <w:rFonts w:eastAsiaTheme="minorEastAsia"/>
        </w:rPr>
        <w:t>营运期</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本项目建成后，由于本项目货物吞吐量的增加，相应的运输船舶也将相应增加，经预测本项目货物运输船舶将增加约360艘次/年。营运期间航运量增加对保护区鱼类的潜在影响主要表现为以下几个方面：</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项目运营期运输船舶产生噪声会对水产种质资源保护区产生一定干扰，噪音污染对鱼类的影响将增加。</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sz w:val="24"/>
          <w:szCs w:val="24"/>
        </w:rPr>
        <w:t xml:space="preserve"> 鱼类被机械损伤的几率也将增加。船舶往来增加了保护区鱼类被机械损伤的几率。</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⑶</w:t>
      </w:r>
      <w:r>
        <w:rPr>
          <w:rFonts w:ascii="Times New Roman" w:hAnsi="Times New Roman" w:eastAsiaTheme="minorEastAsia"/>
          <w:sz w:val="24"/>
          <w:szCs w:val="24"/>
        </w:rPr>
        <w:t xml:space="preserve"> 常水位以下引桥等桩基对保护区水域的永久占用，建筑投影会影响水下的浮游生物、水生植物等的正常生长，项目运营期造成饵料生物损失，进而对鱼产量产生不利影响。</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⑷</w:t>
      </w:r>
      <w:r>
        <w:rPr>
          <w:rFonts w:ascii="Times New Roman" w:hAnsi="Times New Roman" w:eastAsiaTheme="minorEastAsia"/>
          <w:sz w:val="24"/>
          <w:szCs w:val="24"/>
        </w:rPr>
        <w:t xml:space="preserve"> 船舶废水及码头面雨水、冲洗废水排放的影响。营运期由于船舶舱底含油污水，雨污水含煤炭，若直接排入保护区，则会直接产生污染；同时船上工作人员的生活污水若直接排放，也会对该区域产生影响，从而对保护区的水质造成破坏。</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⑸</w:t>
      </w:r>
      <w:r>
        <w:rPr>
          <w:rFonts w:ascii="Times New Roman" w:hAnsi="Times New Roman" w:eastAsiaTheme="minorEastAsia"/>
          <w:sz w:val="24"/>
          <w:szCs w:val="24"/>
        </w:rPr>
        <w:t xml:space="preserve"> 营运期运输船舶运行对水域有一定扰动，造成浅水区域水中悬浮物浓度增加，水的透明度降低，间接影响水中浮游动植物、鱼类等，但运输船舶航行路线水域较深，距水岸较远，扰动产生的悬浮物有限。</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⑹</w:t>
      </w:r>
      <w:r>
        <w:rPr>
          <w:rFonts w:ascii="Times New Roman" w:hAnsi="Times New Roman" w:eastAsiaTheme="minorEastAsia"/>
          <w:sz w:val="24"/>
          <w:szCs w:val="24"/>
        </w:rPr>
        <w:t xml:space="preserve"> 营运期间长江船舶数量增加约360艘次/年，平均约1艘次/天。由此产生的生活污水及其它生活垃圾也将增加，这些污染物特别是生活污水如果直接排放将可能导致保护区水质的恶化，鱼类等水生生物的生活环境将发生改变。但由于增加数量仅为1艘次/天，相较于保护区内现有通航量295艘次/天，占比极小，通航量增加对保护区影响较小。运营期通过合理处理生活垃圾和废水等，可减少或避免项目实施对水产种质资源保护区的水生态环境带来的影响。</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⑺</w:t>
      </w:r>
      <w:r>
        <w:rPr>
          <w:rFonts w:ascii="Times New Roman" w:hAnsi="Times New Roman" w:eastAsiaTheme="minorEastAsia"/>
          <w:sz w:val="24"/>
          <w:szCs w:val="24"/>
        </w:rPr>
        <w:t xml:space="preserve"> 船舶碰撞、船舶舱底油污水事故等风险增加，对保护区鱼类的危害将会增加，但本项目建设完成后新增运输船舶较少，约增加1艘次/天，增加碰撞的概率较低。</w:t>
      </w:r>
    </w:p>
    <w:bookmarkEnd w:id="244"/>
    <w:p>
      <w:pPr>
        <w:pStyle w:val="4"/>
        <w:rPr>
          <w:rFonts w:eastAsiaTheme="minorEastAsia"/>
        </w:rPr>
      </w:pPr>
      <w:bookmarkStart w:id="245" w:name="_Toc8943569"/>
      <w:bookmarkStart w:id="246" w:name="_Toc505670927"/>
      <w:r>
        <w:rPr>
          <w:rFonts w:eastAsiaTheme="minorEastAsia"/>
        </w:rPr>
        <w:t>对鱼类等水生生物繁殖、索饵和越冬的影响</w:t>
      </w:r>
      <w:bookmarkEnd w:id="245"/>
      <w:bookmarkEnd w:id="246"/>
    </w:p>
    <w:p>
      <w:pPr>
        <w:pStyle w:val="5"/>
        <w:rPr>
          <w:rFonts w:eastAsiaTheme="minorEastAsia"/>
        </w:rPr>
      </w:pPr>
      <w:r>
        <w:rPr>
          <w:rFonts w:eastAsiaTheme="minorEastAsia"/>
        </w:rPr>
        <w:t>对鱼类繁殖的影响</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对产卵场的影响</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评价区鱼类产卵场分布广泛，根据现场调查结果并结合历次调查成果，工程区河段为产漂流性卵鱼类产卵场。</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根据郭国忠等在长江中游洪湖江段鱼类早期资源的研究结果，华能岳阳电厂码头工程区域最近的铜鱼等产漂流性鱼类产卵场为城陵矶-大湾产卵场，产卵场范围约13km，0.3×10</w:t>
      </w:r>
      <w:r>
        <w:rPr>
          <w:rFonts w:ascii="Times New Roman" w:hAnsi="Times New Roman" w:eastAsiaTheme="minorEastAsia"/>
          <w:sz w:val="24"/>
          <w:szCs w:val="24"/>
          <w:vertAlign w:val="superscript"/>
        </w:rPr>
        <w:t>8</w:t>
      </w:r>
      <w:r>
        <w:rPr>
          <w:rFonts w:ascii="Times New Roman" w:hAnsi="Times New Roman" w:eastAsiaTheme="minorEastAsia"/>
          <w:sz w:val="24"/>
          <w:szCs w:val="24"/>
        </w:rPr>
        <w:t>粒。</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码头虽然在产卵场范围内，但鱼类产卵时间多为5~7月，而码头水工建筑物的施工时间在枯水期的2~4月，因此，码头涉水施工对鱼类产卵基本无影响。但运营期，根据卵苗漂流发育过程中“近岸密度大，并逐渐向江心递减”的分布特点，码头建成后，部分鱼卵漂浮到码头附近，可能影响鱼卵的孵化，码头趸船占用长度20m，长江宽约1.5km，影响有限。</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短距离洄游性鱼类资源在保护区鱼类资源中占据较大比例，其产卵繁殖要有流水刺激，在湍流中产卵，但其卵或粘性，或具油球浮性。如鲂、大鳍鳠、黄尾鲴、翘嘴鲌、蒙古鲌、大口鲶、鳜鱼、鳊等鱼类属于此类。该生态类型鱼类繁殖生物学特性来看，只要能形成流水环境，有受精卵附着基质，就能产卵繁殖。本项目布置在长江擂鼓台江段右岸，附近无短距离洄游性鱼类产卵场，工程施工对其产卵繁殖整体影响较小。</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⑶</w:t>
      </w:r>
      <w:r>
        <w:rPr>
          <w:rFonts w:ascii="Times New Roman" w:hAnsi="Times New Roman" w:eastAsiaTheme="minorEastAsia"/>
          <w:sz w:val="24"/>
          <w:szCs w:val="24"/>
        </w:rPr>
        <w:t xml:space="preserve"> 对鱼类繁殖行为和效果的影响</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项目水下建筑桩基等工程选择枯水期2~4月份建设，总工期约12个月。总体施工时间上与保护区部分鱼类的繁殖期是重叠。如鲤、鲫在长江中游繁殖季节为3~5月，盛期为4~5月；鳜繁殖产卵时间为4~7月，盛期为6~7月。在施工区及其相邻水域活动或繁殖的鱼类，受施工产生的浑水等因素的影响，有些个体或种类会产生生理反应，如受惊扰或水质变化因素刺激产生的应激反应等，对性腺发育不利，或产卵不能发生导致产卵行为紊乱，而对繁殖效果产生负面影响。</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项目距离保护区内产卵场、索饵场均较远，工程江段江面宽度在1500m左右，码头前沿停泊水域宽52.4m，回旋水域沿水流方向长275.0m，垂直水流方向长165.0m，工程建设运行对近岸洄游产卵的鱼类造成一定影响、对近岸线浅水区幼鱼的庇护生长产生一定的影响。</w:t>
      </w:r>
    </w:p>
    <w:p>
      <w:pPr>
        <w:pStyle w:val="5"/>
        <w:rPr>
          <w:rFonts w:eastAsiaTheme="minorEastAsia"/>
        </w:rPr>
      </w:pPr>
      <w:r>
        <w:rPr>
          <w:rFonts w:eastAsiaTheme="minorEastAsia"/>
        </w:rPr>
        <w:t>对索饵场的影响</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鳜、鳡、乌鳢、鲌类、鲇科、鲿科鱼类等以鱼类为食鱼类的索饵场，随其生活习性及摄食鱼群的分布而分布。本项目施工所占水域面积较小，施工时间较短，施工区域之外，还有大量适宜鳜、鳡、乌鳢、鲌类、鲇科、鲿科等肉食性鱼类的索饵场所，因此工程对这类鱼类的索饵影响较小。</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鲤、鲫等杂食性鱼类索饵场的环境基本特征是缓流或静水，水深0~0.5cm，其间有砾石、礁石、沙质岸边，这些区域易于躲避敌害，同时，这些地方小型饵料丰富，敌害生物少，有利于幼鱼的存活。根据现场调查并结合历次调查成果，保护区内距离工程最近的成规模的鱼类索饵场在洞庭湖口，位于工程区上游约20km，因此，工程施工不会对该处索饵场的功能产生影响。</w:t>
      </w:r>
    </w:p>
    <w:p>
      <w:pPr>
        <w:pStyle w:val="5"/>
        <w:rPr>
          <w:rFonts w:eastAsiaTheme="minorEastAsia"/>
        </w:rPr>
      </w:pPr>
      <w:r>
        <w:rPr>
          <w:rFonts w:eastAsiaTheme="minorEastAsia"/>
        </w:rPr>
        <w:t>对越冬场的影响</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鱼类越冬场主要集中在干流的河床深处或坑穴中，工程在长江沿岸施工，不占用鱼类越冬场。施工期对鱼类的影响最主要的是施工期产生的船舶噪音，施工噪音将对施工区鱼类产生惊吓效果，鱼类会产生本能的回避反应，在远离施工区域较远的深水水域越冬。</w:t>
      </w:r>
    </w:p>
    <w:p>
      <w:pPr>
        <w:pStyle w:val="5"/>
        <w:rPr>
          <w:rFonts w:eastAsiaTheme="minorEastAsia"/>
        </w:rPr>
      </w:pPr>
      <w:r>
        <w:rPr>
          <w:rFonts w:eastAsiaTheme="minorEastAsia"/>
        </w:rPr>
        <w:t>对洄游通道的影响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施工江段是许多重要水生动物的洄游通道，如保护物种中华鲟，经济水生动物鳗鲡、四大家鱼等。鳗鲡在秋季（8~10月）汇集结群沿江降河至海中进行产卵繁殖。在其洄游季节，施工作业产生的噪声、浑水等因素可能会对洄游行为产生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通过既有资料和试验监测表明，海中性成熟中华鲟可能于9~10月份通过长监利段上溯产卵，而水下工程施工期为枯水期，避开了中华鲟上溯洄游时间。中华鲟成鱼喜沿着长江主航道的深水槽贴底洄游，本项目建设的码头等建筑物向河道延伸94m，均不在长江主槽内，运营期对9~10月在此洄游的中华鲟的影响主要为船舶航行中产生的噪声及螺旋桨的机械损伤。</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产后亲鲟约12月份底至2月份降河入海。而此阶段刚好是涉水工程施工期间，施工所产生的噪声及悬浮物都将影响幼鱼的正常摄食，施工会造成作为中华鲟饵料生物的底栖生物部分损失，也会阻碍其顺利下行。运营期运输船舶的增加则可能使中华鲟被撞伤的概率增加。</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而人工放流的中华鲟，每年4月从宜昌出发，约经过5天到达长江监利江段。工程若在此期间施工，将对中华鲟入海洄游产生一定影响。</w:t>
      </w:r>
    </w:p>
    <w:p>
      <w:pPr>
        <w:pStyle w:val="4"/>
        <w:rPr>
          <w:rFonts w:eastAsiaTheme="minorEastAsia"/>
        </w:rPr>
      </w:pPr>
      <w:r>
        <w:rPr>
          <w:rFonts w:eastAsiaTheme="minorEastAsia"/>
        </w:rPr>
        <w:t>对饵料生物、底栖生物和水生植物的影响</w:t>
      </w:r>
    </w:p>
    <w:p>
      <w:pPr>
        <w:pStyle w:val="5"/>
        <w:rPr>
          <w:rFonts w:eastAsiaTheme="minorEastAsia"/>
        </w:rPr>
      </w:pPr>
      <w:r>
        <w:rPr>
          <w:rFonts w:eastAsiaTheme="minorEastAsia"/>
        </w:rPr>
        <w:t>对浮游植物的影响评价</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藻类是一群具有叶绿素和其他光合色素，能进行光合作用的低等植物，是自然水体的原始生产者。多数藻类是鱼类或其他水生动物的饵料。码头工程对浮游植物的影响主要是常水位线以下桩基施工打桩阶段产生的悬浮物的影响，局部水域悬浮物浓度增加，使水中浮游植物光合作用暂时降低，不利于藻类生长繁殖，数量减少。施工江段平均水深12m，以泊位岸线长和施工区域外扩10%为工程影响区计算影响水域体积，通过计算，在施工期间，浮游植物的损失量8947.14kg。</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虽然工程施工会使浮游植物的生物量有一定的减少，但由于浮游植物个体小，繁殖速度快，待水质恢复后，浮游植物的数量将会逐步恢复，因此，工程施工对该江段的浮游生物的影响只是局部的、暂时性的。</w:t>
      </w:r>
    </w:p>
    <w:p>
      <w:pPr>
        <w:pStyle w:val="5"/>
        <w:rPr>
          <w:rFonts w:eastAsiaTheme="minorEastAsia"/>
        </w:rPr>
      </w:pPr>
      <w:r>
        <w:rPr>
          <w:rFonts w:eastAsiaTheme="minorEastAsia"/>
        </w:rPr>
        <w:t>对浮游动物的影响评价</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工程导致的局部水域水质浑浊，一方面会直接造成浮游动物的死亡，另一方面这些施工作业会造成作为饵料的浮游植物减少，同样也会加速浮游动物数量和种类的减少。同时，常水位线以下桩基施工扰动底泥导致沉积在江底的有害物质释放，从而导致施工江段及其下游局部水域的水质改变，对浮游动物有一定的致毒作用。施工江段平均水深12m，以泊位岸线长和施工区域外扩10%为工程影响区计算影响水域体积，经计算，在施工期间，浮游动物的损失量1619.53kg。</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同浮游植物一样，工程施工虽然会使浮游动物的生物量有一定的减少，但这种影响只是局部的、暂时性的，因此工程施工对评价区的浮游生物的影响有限。</w:t>
      </w:r>
    </w:p>
    <w:p>
      <w:pPr>
        <w:pStyle w:val="5"/>
        <w:rPr>
          <w:rFonts w:eastAsiaTheme="minorEastAsia"/>
        </w:rPr>
      </w:pPr>
      <w:r>
        <w:rPr>
          <w:rFonts w:eastAsiaTheme="minorEastAsia"/>
        </w:rPr>
        <w:t>对底栖生物的影响评价</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工程施工期间，常水位线以下桩基占用长江底质面积104.88m</w:t>
      </w:r>
      <w:r>
        <w:rPr>
          <w:rFonts w:ascii="Times New Roman" w:hAnsi="Times New Roman"/>
          <w:sz w:val="24"/>
          <w:szCs w:val="24"/>
          <w:vertAlign w:val="superscript"/>
        </w:rPr>
        <w:t>2</w:t>
      </w:r>
      <w:r>
        <w:rPr>
          <w:rFonts w:ascii="Times New Roman" w:hAnsi="Times New Roman"/>
          <w:sz w:val="24"/>
          <w:szCs w:val="24"/>
        </w:rPr>
        <w:t>。在施工期，桩基区域的底栖动物大部分都会死亡，从而对该江段底栖动物的种类和数量产生影响。同时施工所产生的悬浮物也会影响到附近水域底栖动物的呼吸、摄食等生命活动，也直接改变了其栖息环境。经计算，在施工期间，底栖动物的损失量4.37kg。该工程无硬化，不新占用和硬化岸线，仅施工时将现有岸坡地开挖施工后恢复原状，因此，该工程施工对底栖动物主要在施工期，营运期对底栖动物的影响较小。</w:t>
      </w:r>
    </w:p>
    <w:p>
      <w:pPr>
        <w:pStyle w:val="5"/>
        <w:rPr>
          <w:rFonts w:eastAsiaTheme="minorEastAsia"/>
        </w:rPr>
      </w:pPr>
      <w:r>
        <w:rPr>
          <w:rFonts w:eastAsiaTheme="minorEastAsia"/>
        </w:rPr>
        <w:t>对水生维管束植物的影响评价</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工程对水生植被的影响主要是码头施工过程中，引桥、转运墩台等的桩基永久占地和廊道制作场地临时占地对沿岸湿生植被的直接破坏，此外，施工过程中所产生的粉尘等会附着在水生植被上，对水生植被产生一定影响。由于施工区江段常水位以下水生植物稀少，常水位以上以陆生、湿生植物为主。工程区常水位以下水草较少，工程对水生维管束植物的影响很小，但滩涂陆域的临时占用的约5000m</w:t>
      </w:r>
      <w:r>
        <w:rPr>
          <w:rFonts w:ascii="Times New Roman" w:hAnsi="Times New Roman"/>
          <w:sz w:val="24"/>
          <w:szCs w:val="24"/>
          <w:vertAlign w:val="superscript"/>
        </w:rPr>
        <w:t>2</w:t>
      </w:r>
      <w:r>
        <w:rPr>
          <w:rFonts w:ascii="Times New Roman" w:hAnsi="Times New Roman"/>
          <w:sz w:val="24"/>
          <w:szCs w:val="24"/>
        </w:rPr>
        <w:t>区域的陆生和湿生植被破坏较大，造成丰水期间产粘草性卵鱼类和草食性鱼类适宜栖息面积减少。</w:t>
      </w:r>
    </w:p>
    <w:p>
      <w:pPr>
        <w:pStyle w:val="4"/>
        <w:rPr>
          <w:rFonts w:eastAsiaTheme="minorEastAsia"/>
        </w:rPr>
      </w:pPr>
      <w:r>
        <w:rPr>
          <w:rFonts w:eastAsiaTheme="minorEastAsia"/>
        </w:rPr>
        <w:t>对濒危、保护物种的影响评价</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长江既是鱼类洄游通道，也是珍稀濒危物种重要的洄游通道。工程江段江面宽度在1500m左右，而码头所占右岸前沿水域宽度不到80m，工程建设行将对珍稀濒危物种较小，但不排除施工及船员等工作人员捕捉野生动物，应规范管理，严禁捕捉，一经发现应及时救护。</w:t>
      </w:r>
    </w:p>
    <w:p>
      <w:pPr>
        <w:pStyle w:val="5"/>
        <w:rPr>
          <w:rFonts w:eastAsiaTheme="minorEastAsia"/>
        </w:rPr>
      </w:pPr>
      <w:r>
        <w:rPr>
          <w:rFonts w:eastAsiaTheme="minorEastAsia"/>
        </w:rPr>
        <w:t>对长江江豚的影响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根据历史监测考察资料和本次现场调查，认为保护区江段江豚主要分布在洞庭湖湖区及长江七弓岭江段，华能岳阳电厂码头江段附近水域有江豚出现的可能，但不是江豚主要分布水域。码头建设对江豚的影响主要为水下噪声、机械伤害、饵料资源3个方面：</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rPr>
        <w:t>⑴</w:t>
      </w:r>
      <w:r>
        <w:rPr>
          <w:rFonts w:ascii="Times New Roman" w:hAnsi="Times New Roman"/>
          <w:sz w:val="24"/>
          <w:szCs w:val="24"/>
        </w:rPr>
        <w:t xml:space="preserve"> 水下噪声</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长江江豚在水下最主要的感觉系统是声纳系统，因此水下噪声将对它们产生不利影响，例如对豚类声纳系统造成干扰，影响其在水中探测和识别物体的能力，受到水下噪声惊吓后急速游动，容易撞上船只螺旋桨而受到伤害，此外较大强度的噪声将对豚类的听力产生破坏。</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长江江豚发出的回声定位信号的频率都超过100kHz；在听觉方面，长江江豚对45-139kHz的声音极其敏感，长江江豚对10kHz以下的声音，其听阈值为80~100dB re 1</w:t>
      </w:r>
      <w:r>
        <w:rPr>
          <w:rFonts w:ascii="Times New Roman" w:hAnsi="Times New Roman"/>
          <w:sz w:val="24"/>
          <w:szCs w:val="24"/>
        </w:rPr>
        <w:sym w:font="Symbol" w:char="F06D"/>
      </w:r>
      <w:r>
        <w:rPr>
          <w:rFonts w:ascii="Times New Roman" w:hAnsi="Times New Roman"/>
          <w:sz w:val="24"/>
          <w:szCs w:val="24"/>
        </w:rPr>
        <w:t>Pa，而在其各自敏感频率范围内，其听阈值为50~60dB。因此，相对来讲，长江江豚对低频噪声（水流和波浪噪声，10kHz以下）相对不敏感，而对高频噪声（10~100kHz）相对更敏感。由于声传播特性，频率低于10kHz的声音较超声来说能够在衰减之前传播更远的距离，这些频率较低的声音将可能对豚类的听力产生严重的破坏。在施工期，该项目的主要水下噪声源有打桩和施工船舶噪声。运营期，主要为航行船舶噪声。</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rPr>
        <w:t>①</w:t>
      </w:r>
      <w:r>
        <w:rPr>
          <w:rFonts w:ascii="Times New Roman" w:hAnsi="Times New Roman"/>
          <w:sz w:val="24"/>
          <w:szCs w:val="24"/>
        </w:rPr>
        <w:t xml:space="preserve"> 打桩水下噪声</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打桩噪声为低频、高声源级的脉冲信号，其主要能量的频带一般在1kHz以下，打桩噪声的声源级SPLp-p（峰值</w:t>
      </w:r>
      <w:r>
        <w:rPr>
          <w:rFonts w:ascii="Times New Roman" w:hAnsi="Times New Roman"/>
          <w:sz w:val="24"/>
          <w:szCs w:val="24"/>
          <w:highlight w:val="none"/>
        </w:rPr>
        <w:t>-峰</w:t>
      </w:r>
      <w:r>
        <w:rPr>
          <w:rFonts w:ascii="Times New Roman" w:hAnsi="Times New Roman"/>
          <w:sz w:val="24"/>
          <w:szCs w:val="24"/>
        </w:rPr>
        <w:t>值声压级）与SELcum（累积声暴露级）均大于200dBre1µPa。在距打桩点50m范围内，打桩噪声很可能会引起长江江豚暂时性听觉阈移（TTS）；根据打桩水下噪声对长江江豚影响研究（时文静等，2015年），即使在距打桩点362m处的打桩噪声仍明显高于背景噪声，很可能掩蔽动物的目标信号、干扰失散的幼豚寻找母豚。为了缓解打桩噪声对动物的影响，可以用气泡幕或桩体套筒对打桩噪声进行隔离，而缓启动可以使动物在缓启动过程中逃离打桩区域。</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rPr>
        <w:t>②</w:t>
      </w:r>
      <w:r>
        <w:rPr>
          <w:rFonts w:ascii="Times New Roman" w:hAnsi="Times New Roman"/>
          <w:sz w:val="24"/>
          <w:szCs w:val="24"/>
        </w:rPr>
        <w:t xml:space="preserve"> 船舶噪声</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根据《工程可行性研究报告》，码头用途为煤炭进口码头，运输主要采用3000</w:t>
      </w:r>
      <w:r>
        <w:rPr>
          <w:rFonts w:hint="eastAsia" w:ascii="Times New Roman" w:hAnsi="Times New Roman"/>
          <w:sz w:val="24"/>
          <w:szCs w:val="24"/>
          <w:lang w:val="en-US" w:eastAsia="zh-CN"/>
        </w:rPr>
        <w:t>~</w:t>
      </w:r>
      <w:r>
        <w:rPr>
          <w:rFonts w:ascii="Times New Roman" w:hAnsi="Times New Roman"/>
          <w:sz w:val="24"/>
          <w:szCs w:val="24"/>
        </w:rPr>
        <w:t>10000吨级内河机动货船。</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研究表明，大型船舶的航行噪声能量分布频率范围较广（&gt;100kHz），主要集中于中低频（&lt;10kHz）部分，各频率（20-144kHz）处的均方根声压级（SPLrms）对环境背景噪声在该频率处的噪声增量范围为3.7~66.5dB。接收到的1/3倍频程声压级（TOL）在各频率处都&gt;70dB，在80~140kHz频段内都高于长江江豚的听觉阈值。而江豚是主要依赖于声信号进行捕食和个体交流的物种，说明大型船舶的航行噪声可能会对长江江豚个体间的声通讯及听觉带来不利影响，如听觉掩盖（张天赐等，2017年）。</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根据交通运输部2016、2017年交通运输行业发展统计公报，保护区所在的长江中游航道年平均日船舶流量290.8艘和295.1艘，同比增长7.1%和1.5%，长江航道内现有船舶数量较多，且在逐年增加，本项目提质改造后2#泊位船舶约1艘次/天，但相应减少了到1#泊位船舶数量，船舶噪声对江豚存在一定的不利影响，但新增船舶数量占总的船舶数量比例较小，新增噪声对江豚的影响有限。</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rPr>
        <w:t>⑵</w:t>
      </w:r>
      <w:r>
        <w:rPr>
          <w:rFonts w:ascii="Times New Roman" w:hAnsi="Times New Roman"/>
          <w:sz w:val="24"/>
          <w:szCs w:val="24"/>
        </w:rPr>
        <w:t xml:space="preserve"> 机械伤害</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江豚是主要依赖于声信号进行捕食和个体交流的物种，其声呐系统极易受到船舶机械噪声干扰，造成被船舶螺旋桨打伤击毙的机会增多。1998年4月18日，在长江界碑江段发现一头被螺旋桨打死的江豚。据统计，1998-2002年在长江新螺段内发现的死亡江豚中，被螺旋桨打死的占33.33%。多数情况下，长江江豚选择水深3~6m分离区觅食与抚幼活动，江豚在上行船舶之间避让的空间不足3m水深。江豚受干扰后，可以短暂逃避到干流深水中，但未能觅食必须返回分离区，特别是饥饿状态下，江豚会选择在穿梭不息上行船之间觅食。在江西鄱阳湖湖口水域船舶通行对长江江豚发声行为的影响研究中，船舶和江豚出现存在弱的负相关关系，船舶经过时狭窄水域中的江豚躲避船舶干扰可能采取一种“临时性”策略（董首悦等，2012年）。</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码头营运后，来往船舶数量增加，根据《工程可行性研究报告》，本项目提质改造后，货品运输吞吐量预计为200万吨/年，相应的进出船舶平均日船舶流量新增约1艘次，船舶机械伤害江豚概率有所上升，但现阶段长江航段船舶数量约为295艘，新增船舶数量占现阶段总的船舶数量比例较小，新增船舶机械伤害对江豚的影响有限。</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已有研究表明，长江江豚对船舶噪声有主动躲避行为，比如，船舶出现与江豚出现存在负相关关系，在船舶航行轨迹的 0~50m 垂直距离范围内，通常难以观察到江豚，而在 50~100m 范围内却能观察到江豚。尽管长江江豚能主动避船，但在某些特殊情形下，仍容易被航行船舶伤害，比如在捕食时，江豚容易不理会船舶靠近；在相对狭窄的水道内，高速船舶突然接近时，江豚无处躲避或难以在短时间内逃离到安全距离之外。如果运行期内船舶航运量密度过高，船舶之间的距离在 200m 以内，会对江豚产生一定的影响。因此，需控制到港船舶进出量。</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rPr>
        <w:t>⑶</w:t>
      </w:r>
      <w:r>
        <w:rPr>
          <w:rFonts w:ascii="Times New Roman" w:hAnsi="Times New Roman"/>
          <w:sz w:val="24"/>
          <w:szCs w:val="24"/>
        </w:rPr>
        <w:t xml:space="preserve"> 饵料资源</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长江江豚主要以小型鱼类为食，如鲤、黄尾鲴、鲫、短颌鲚、鲇、餐、鲢、鳊、草鱼等在江豚的胃中都有发现。工程施工产生的悬浮泥沙会对鱼卵、仔稚鱼和幼体会造成伤害，影响鱼类资源一定程度减少，从而也影响了江豚的食物来源，导致其食物来源获得性降低。饵料的减少会增加江豚的捕食难度，从而降低抵御危险的能力，另外饵料的短缺还会影响江豚的正常繁殖。工程施工改变了施工影响江段鱼类的暂时空间分布，但由于工程影响范围较小，且不占用产粘沉性鱼类产卵场，因此对长江江豚饵料资源的影响很小。</w:t>
      </w:r>
    </w:p>
    <w:p>
      <w:pPr>
        <w:pStyle w:val="5"/>
        <w:rPr>
          <w:rFonts w:eastAsiaTheme="minorEastAsia"/>
        </w:rPr>
      </w:pPr>
      <w:r>
        <w:rPr>
          <w:rFonts w:eastAsiaTheme="minorEastAsia"/>
        </w:rPr>
        <w:t>对中华鲟的影响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中华鲟具有溯河洄游产卵习性，根据华中农业大学2012年对长江中华鲟生殖洄游和栖息地选择的研究结果，武汉至枝江江段（含保护区江段）存在中华鲟的临时栖息地，且本江段为其到达宜昌产卵场的必经江段。中华鲟为底层鱼类，在洄游途中喜好走深槽沙洲，故沿江河槽水深且为沙丘之处是良好的栖息场所。中华鲟生殖群体上溯进行繁殖时，停止摄食，产卵后亲鲟降河开始摄食。幼鱼的摄食强度大，一般吃浮游生物及底栖的水生昆虫、小型鱼虾及软体动物，成鱼期摄食底栖动物及动植物残渣。目前长江捕鱼渔船时常有误补中华鲟的事件发生，中华鲟在施工江段出现的概率较大。</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通过既有资料和试验监测表明，海中性成熟中华鲟可能于9~10月份通过长江城陵矶段上溯产卵，而水下桩基工程施工期为枯水期，避开了中华鲟上溯洄游时间。中华鲟成鱼喜沿着长江主航道的深水槽贴底洄游，本项目建设的码头等建筑物向河道延伸94m，均不在长江主槽内，运营期对9~10月在此洄游的中华鲟的影响主要为船舶航行中产生的噪声及螺旋桨的机械损伤。</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产后亲鲟约12月底至2月份降河入海，而此阶段刚好是涉水工程施工期间，施工所产生的噪音及悬浮物都将影响幼鱼的正常摄食，施工会造成作为中华鲟饵料生物的底栖生物部分损失，也会阻碍其顺利下行。运营期运输船舶的增加则可能使中华鲟被撞伤的概率增加。据记录，1996、1997、2003年秋季在长江界碑、龙口和乌林江段发现过中华鲟残体，切割明显（熊远辉，2004）。但中华鲟趋避活动能力较强，受惊扰后会主动逃离施工区域，且本项目提质改造完成后，新增船舶仅约为1艘次/天，因此船只对其产生伤害的几率较小。</w:t>
      </w:r>
    </w:p>
    <w:p>
      <w:pPr>
        <w:pStyle w:val="5"/>
        <w:rPr>
          <w:rFonts w:eastAsiaTheme="minorEastAsia"/>
        </w:rPr>
      </w:pPr>
      <w:r>
        <w:rPr>
          <w:rFonts w:eastAsiaTheme="minorEastAsia"/>
        </w:rPr>
        <w:t>对胭脂鱼的影响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胭脂鱼广泛分布于长江水系的干、支流。长江干流，岷江、沱江、赤水河、嘉陵江、乌江、清江、汉江等支流，洞庭湖和鄱阳湖等沿江湖泊都有捕捞胭脂鱼的记录。繁殖季节为春季的3~4月，在水流湍急的石滩上产卵，卵具粘性。产卵场分布在宜宾至重庆的长江上游以及金沙江、岷江、嘉陵江等支流下游，主要产卵场集中在金沙江、岷江、赤水河和长江交汇的附近江段。工程不会对胭脂鱼的洄游产生过多影响，但是施工产生的污水、施工期噪音会驱赶施工区域附近的胭脂鱼到其它水域，但施工结束后施工区鱼类分布会回归正常水平。运营期运输船舶的增加会使胭脂鱼被撞伤的概率增加。</w:t>
      </w:r>
    </w:p>
    <w:p>
      <w:pPr>
        <w:pStyle w:val="5"/>
        <w:rPr>
          <w:rFonts w:eastAsiaTheme="minorEastAsia"/>
        </w:rPr>
      </w:pPr>
      <w:r>
        <w:rPr>
          <w:rFonts w:eastAsiaTheme="minorEastAsia"/>
        </w:rPr>
        <w:t>对湖南省重点保护野生水生动物的影响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评价区内太湖新银鱼、胭脂鱼、鯮、鳤、胡子鲇和月鳢被列入湖南省重点保护野生水生动物。近年来由于过度捕捞、江湖阻隔而影响鳤、鯮幼鱼进入湖泊生活与肥育、长江中鱼类资源总体下降而使大型凶猛肉食鱼类的食物短缺等原因，导致鳤、鯮的种群个体数量显著减少，目前已很难见到其个体。因此，鳤、鯮在施工区出现的概率很低，且工程施工并未对其繁殖洄游有明显阻碍作用，但是施工造成的鱼类资源损失会对以鱼类为主要食物的鳤、鯮饵料生物资源有一定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胭脂鱼主要分布于我国的长江和闽江。目前，闽江的胭脂鱼种群已几近绝迹，胭脂鱼在长江的分布区域也逐渐缩小。2013年保护区科考在调查区调查到少量胭脂鱼，本次调查未采集到。胭脂鱼在保护区河段数量较少。胭脂鱼有洄游产卵习性，工程水下施工避让了胭脂鱼主要繁殖季节3~4月，不会对胭脂鱼洄游产生影响。施工产生的污水、施工期噪音会驱赶施工区域附近的胭脂鱼到其它水域，但施工结束后施工区鱼类分布会回归正常水平。营运期运输船舶的增加会使胭脂鱼被撞伤的概率增加。</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太湖新银鱼能在湖泊定居。喜栖于湖湾、港叉或清浑两水交汇的“米浑”水的敞水区，清早和黄昏常成群在水的上层觅食，白天在水的中上层。以浮游动物为主食，也吃鱼苗和小虾。繁殖季节在3~4月，秋季也能繁殖。繁殖时，对外界环境条件要求不甚严格，常在湖水处或叉口的微流水区产卵繁殖。工水下施工避让了繁殖季节，对太湖新银鱼影响较小。</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胡子鲇主要分布于洞庭湖湖区，工程施工及运营对胡子鲇基本没有影响。</w:t>
      </w:r>
    </w:p>
    <w:p>
      <w:pPr>
        <w:pStyle w:val="4"/>
        <w:rPr>
          <w:rFonts w:eastAsiaTheme="minorEastAsia"/>
        </w:rPr>
      </w:pPr>
      <w:r>
        <w:rPr>
          <w:rFonts w:eastAsiaTheme="minorEastAsia"/>
        </w:rPr>
        <w:t>对保护区结构和功能的影响</w:t>
      </w:r>
    </w:p>
    <w:p>
      <w:pPr>
        <w:pStyle w:val="5"/>
        <w:rPr>
          <w:rFonts w:eastAsiaTheme="minorEastAsia"/>
        </w:rPr>
      </w:pPr>
      <w:r>
        <w:rPr>
          <w:rFonts w:eastAsiaTheme="minorEastAsia"/>
        </w:rPr>
        <w:t>对保护区主要保护对象的影响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保护区的主要保护对象铜鱼、短颌鲚及四大家鱼（青、草、鲢、鳙）亲鱼于4~7月在江河急流有泡漩水的江段繁殖，产后的亲鱼则洄游至湖泊中摄食，部分仔稚鱼随水流直接进入湖泊，部分在干流的漫滩摄食，生长为幼鱼后顶流进入湖泊索饵育肥。在秋末冬初水位下降时，成鱼开始从较浅的湖泊游到江河干流的河床深处进行越冬洄游，当湖泊中存在深水区（深洼或潭坑）时，也可在这些场所越冬，在繁殖季节，湖泊以及江河下游的亲鱼又洄游到干流的产卵场进行繁殖。</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性成熟四大家鱼在4~7月返回长江干流繁殖，此时段四大家鱼在长江干流的的数量多于其他时段，随着繁殖期结束产卵后亲鱼和仔稚鱼长为幼鱼后进入湖泊索饵，长江干流四大家鱼数量将有所减少。工程位于长江干流“城陵矶”产卵场范围内，水下桩基工程选择枯水期施工，避开了铜鱼、短颌鲚及四大家鱼产卵成鱼和幼鱼大量分布于干流的时间段，因此工程施工对四大家鱼的影响较小。但干流还是会存在一定规模的仔稚鱼，施工产生的悬浮泥沙、噪声、废水以及对饵料食物的影响进而对四大家鱼产生不利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运营期，根据卵苗漂流发育过程中“近岸密度大，并逐渐向江心递减”的分布特点，码头建成后，部分鱼卵漂浮到码头附近，可能影响鱼卵的孵化，码头趸船占用河道宽度20m，长江宽约1.5km，影响有限。由码头提质带来的新增船舶较少，仅为约1艘次/天，新增规模较长江现有通航量比例较小，因此运营期对保护区主要保护对象的影响不大。</w:t>
      </w:r>
    </w:p>
    <w:p>
      <w:pPr>
        <w:pStyle w:val="5"/>
        <w:rPr>
          <w:rFonts w:eastAsiaTheme="minorEastAsia"/>
        </w:rPr>
      </w:pPr>
      <w:r>
        <w:rPr>
          <w:rFonts w:eastAsiaTheme="minorEastAsia"/>
        </w:rPr>
        <w:t>对保护区结构和功能的影响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工程未改变保护区整体水文情势，工程施工、运营未改变保护区水生态系统整体特征，工程施工在枯水期进行，降低了工程建设施工对附近鱼类产卵繁殖、索饵的影响。经计算，保护区总面积2100hm</w:t>
      </w:r>
      <w:r>
        <w:rPr>
          <w:rFonts w:ascii="Times New Roman" w:hAnsi="Times New Roman"/>
          <w:sz w:val="24"/>
          <w:szCs w:val="24"/>
          <w:vertAlign w:val="superscript"/>
        </w:rPr>
        <w:t>2</w:t>
      </w:r>
      <w:r>
        <w:rPr>
          <w:rFonts w:ascii="Times New Roman" w:hAnsi="Times New Roman"/>
          <w:sz w:val="24"/>
          <w:szCs w:val="24"/>
        </w:rPr>
        <w:t>，运行期本项目（含水面趸船、桩柱上引桥等投影）占用保护区约0.38hm</w:t>
      </w:r>
      <w:r>
        <w:rPr>
          <w:rFonts w:ascii="Times New Roman" w:hAnsi="Times New Roman"/>
          <w:sz w:val="24"/>
          <w:szCs w:val="24"/>
          <w:vertAlign w:val="superscript"/>
        </w:rPr>
        <w:t>2</w:t>
      </w:r>
      <w:r>
        <w:rPr>
          <w:rFonts w:ascii="Times New Roman" w:hAnsi="Times New Roman"/>
          <w:sz w:val="24"/>
          <w:szCs w:val="24"/>
        </w:rPr>
        <w:t>，占保护区面积的0.018%，因此工程的建设对保护区水生生物资源的生境影响很小。</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运行期内对水生生物的影响主要为运输船舶数量增加、船舶搁浅、碰撞等风险事故造成的影响。因此，工程本身对保护区水生生物多样性的影响较小，对保护区结构和功能完整性的影响较小，在保护区水生生态系统的可承受范围内。</w:t>
      </w:r>
    </w:p>
    <w:p>
      <w:pPr>
        <w:pStyle w:val="3"/>
        <w:ind w:left="0" w:firstLine="0"/>
        <w:rPr>
          <w:rFonts w:ascii="Times New Roman" w:hAnsi="Times New Roman" w:eastAsiaTheme="minorEastAsia"/>
          <w:b/>
        </w:rPr>
      </w:pPr>
      <w:bookmarkStart w:id="247" w:name="_Toc29225483"/>
      <w:bookmarkStart w:id="248" w:name="_Toc15305"/>
      <w:r>
        <w:rPr>
          <w:rFonts w:ascii="Times New Roman" w:hAnsi="Times New Roman" w:eastAsiaTheme="minorEastAsia"/>
          <w:b/>
        </w:rPr>
        <w:t>保护及补偿措施</w:t>
      </w:r>
      <w:bookmarkEnd w:id="247"/>
      <w:bookmarkEnd w:id="248"/>
    </w:p>
    <w:p>
      <w:pPr>
        <w:pStyle w:val="4"/>
        <w:rPr>
          <w:rFonts w:eastAsiaTheme="minorEastAsia"/>
        </w:rPr>
      </w:pPr>
      <w:bookmarkStart w:id="249" w:name="_Toc18306877"/>
      <w:bookmarkStart w:id="250" w:name="_Toc18306820"/>
      <w:r>
        <w:rPr>
          <w:rFonts w:eastAsiaTheme="minorEastAsia"/>
        </w:rPr>
        <w:t>水环境保护措施</w:t>
      </w:r>
      <w:bookmarkEnd w:id="249"/>
      <w:bookmarkEnd w:id="250"/>
    </w:p>
    <w:p>
      <w:pPr>
        <w:pStyle w:val="5"/>
        <w:rPr>
          <w:rFonts w:eastAsiaTheme="minorEastAsia"/>
        </w:rPr>
      </w:pPr>
      <w:bookmarkStart w:id="251" w:name="_Toc515895911"/>
      <w:bookmarkStart w:id="252" w:name="_Toc21254_WPSOffice_Level3"/>
      <w:bookmarkStart w:id="253" w:name="_Toc18519_WPSOffice_Level3"/>
      <w:r>
        <w:rPr>
          <w:rFonts w:eastAsiaTheme="minorEastAsia"/>
        </w:rPr>
        <w:t>施工期保护措施</w:t>
      </w:r>
      <w:bookmarkEnd w:id="251"/>
      <w:bookmarkEnd w:id="252"/>
      <w:bookmarkEnd w:id="253"/>
    </w:p>
    <w:p>
      <w:pPr>
        <w:adjustRightInd w:val="0"/>
        <w:snapToGrid w:val="0"/>
        <w:spacing w:line="360" w:lineRule="auto"/>
        <w:ind w:firstLine="480" w:firstLineChars="200"/>
        <w:rPr>
          <w:rFonts w:ascii="Times New Roman" w:hAnsi="Times New Roman"/>
          <w:sz w:val="24"/>
          <w:szCs w:val="24"/>
        </w:rPr>
      </w:pPr>
      <w:bookmarkStart w:id="254" w:name="_Toc515895912"/>
      <w:bookmarkStart w:id="255" w:name="_Toc15855_WPSOffice_Level3"/>
      <w:bookmarkStart w:id="256" w:name="_Toc5118_WPSOffice_Level3"/>
      <w:r>
        <w:rPr>
          <w:rFonts w:hint="eastAsia" w:ascii="宋体" w:hAnsi="宋体" w:cs="宋体"/>
          <w:sz w:val="24"/>
          <w:szCs w:val="24"/>
        </w:rPr>
        <w:t>⑴</w:t>
      </w:r>
      <w:r>
        <w:rPr>
          <w:rFonts w:ascii="Times New Roman" w:hAnsi="Times New Roman"/>
          <w:sz w:val="24"/>
          <w:szCs w:val="24"/>
        </w:rPr>
        <w:t xml:space="preserve"> 在工程区域应设置宣传和安全警示标牌，明示非施工人员等相关人员不得进入施工区域。</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rPr>
        <w:t>⑵</w:t>
      </w:r>
      <w:r>
        <w:rPr>
          <w:rFonts w:ascii="Times New Roman" w:hAnsi="Times New Roman"/>
          <w:sz w:val="24"/>
          <w:szCs w:val="24"/>
        </w:rPr>
        <w:t xml:space="preserve"> 制定工程施工管理规程和配套规章制度，严禁施工人员下河捕鱼，严禁捕捉水生野生动物，并对受影响的水生野生动物物种实施保护救护。</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rPr>
        <w:t>⑶</w:t>
      </w:r>
      <w:r>
        <w:rPr>
          <w:rFonts w:ascii="Times New Roman" w:hAnsi="Times New Roman"/>
          <w:sz w:val="24"/>
          <w:szCs w:val="24"/>
        </w:rPr>
        <w:t xml:space="preserve"> 施工期水下施工应合理安排施工进度，最大限度地控制水下施工作业对底泥的搅动范围和强度，减少悬浮泥砂的产生量。陆域钻孔灌注桩施工时在泥浆池四周设置土堤等类型围堰，在溢流口设置土工布，泥浆池设置雨天遮盖装置，该措施的落实可防止钻孔施工时因降雨而产生的悬浮泥沙对长江水体的污染影响。</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rPr>
        <w:t>⑷</w:t>
      </w:r>
      <w:r>
        <w:rPr>
          <w:rFonts w:ascii="Times New Roman" w:hAnsi="Times New Roman"/>
          <w:sz w:val="24"/>
          <w:szCs w:val="24"/>
        </w:rPr>
        <w:t xml:space="preserve"> 施工场地（包括临时工棚、材料堆场、钢筋加工棚等）设置于后方厂区，远离江边滩地，确保含有害物质的建筑材料（如施工水泥）远离水边，各类建筑材料设防雨、遮雨设施。</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rPr>
        <w:t>⑸</w:t>
      </w:r>
      <w:r>
        <w:rPr>
          <w:rFonts w:ascii="Times New Roman" w:hAnsi="Times New Roman"/>
          <w:sz w:val="24"/>
          <w:szCs w:val="24"/>
        </w:rPr>
        <w:t xml:space="preserve"> 施工现场应建立临时排水体系和临时污水收集系统，使施工废水有序排放。临时污水收集系统采用沉淀法处理，对含悬浮物较高的废水处理率可达85%左右，可加入混凝剂进行混凝沉淀，SS去除率可达到90%以上，沉淀后用于施工现场抑尘洒水及砂石料冲洗。</w:t>
      </w:r>
    </w:p>
    <w:p>
      <w:pPr>
        <w:adjustRightInd w:val="0"/>
        <w:snapToGrid w:val="0"/>
        <w:spacing w:line="360" w:lineRule="auto"/>
        <w:ind w:firstLine="480" w:firstLineChars="200"/>
        <w:rPr>
          <w:rFonts w:ascii="Times New Roman" w:hAnsi="Times New Roman"/>
          <w:color w:val="000000"/>
          <w:sz w:val="24"/>
          <w:szCs w:val="24"/>
        </w:rPr>
      </w:pPr>
      <w:r>
        <w:rPr>
          <w:rFonts w:hint="eastAsia" w:ascii="宋体" w:hAnsi="宋体" w:cs="宋体"/>
          <w:sz w:val="24"/>
          <w:szCs w:val="24"/>
        </w:rPr>
        <w:t>⑹</w:t>
      </w:r>
      <w:r>
        <w:rPr>
          <w:rFonts w:ascii="Times New Roman" w:hAnsi="Times New Roman"/>
          <w:sz w:val="24"/>
          <w:szCs w:val="24"/>
        </w:rPr>
        <w:t xml:space="preserve"> 施工人员应充分利用后方厂区卫生间，生活污水禁止排入长江。施工人员的生活垃圾全部进行回收，集中送到岸上，统一处理。</w:t>
      </w:r>
    </w:p>
    <w:p>
      <w:pPr>
        <w:pStyle w:val="5"/>
        <w:rPr>
          <w:rFonts w:eastAsiaTheme="minorEastAsia"/>
          <w:color w:val="auto"/>
        </w:rPr>
      </w:pPr>
      <w:r>
        <w:rPr>
          <w:rFonts w:eastAsiaTheme="minorEastAsia"/>
          <w:color w:val="auto"/>
        </w:rPr>
        <w:t>营运期保护措施</w:t>
      </w:r>
      <w:bookmarkEnd w:id="254"/>
      <w:bookmarkEnd w:id="255"/>
      <w:bookmarkEnd w:id="256"/>
    </w:p>
    <w:p>
      <w:pPr>
        <w:adjustRightInd w:val="0"/>
        <w:snapToGrid w:val="0"/>
        <w:spacing w:line="360" w:lineRule="auto"/>
        <w:ind w:firstLine="480" w:firstLineChars="200"/>
        <w:rPr>
          <w:rFonts w:ascii="Times New Roman" w:hAnsi="Times New Roman"/>
          <w:sz w:val="24"/>
          <w:szCs w:val="24"/>
        </w:rPr>
      </w:pPr>
      <w:bookmarkStart w:id="257" w:name="_Toc515895913"/>
      <w:bookmarkStart w:id="258" w:name="_Toc13783_WPSOffice_Level2"/>
      <w:bookmarkStart w:id="259" w:name="_Toc23265_WPSOffice_Level2"/>
      <w:r>
        <w:rPr>
          <w:rFonts w:hint="eastAsia" w:ascii="宋体" w:hAnsi="宋体" w:cs="宋体"/>
          <w:sz w:val="24"/>
          <w:szCs w:val="24"/>
        </w:rPr>
        <w:t>⑴</w:t>
      </w:r>
      <w:r>
        <w:rPr>
          <w:rFonts w:ascii="Times New Roman" w:hAnsi="Times New Roman"/>
          <w:sz w:val="24"/>
          <w:szCs w:val="24"/>
        </w:rPr>
        <w:t xml:space="preserve"> 所有进出港船舶均应装配油水分离器、生活污水处理装置，严禁将船舶压舱水、生活污水、生产生活垃圾进入保护区水域。</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rPr>
        <w:t>⑵</w:t>
      </w:r>
      <w:r>
        <w:rPr>
          <w:rFonts w:ascii="Times New Roman" w:hAnsi="Times New Roman"/>
          <w:sz w:val="24"/>
          <w:szCs w:val="24"/>
        </w:rPr>
        <w:t xml:space="preserve"> 趸船甲板面装卸操作台周围设置收集坎收集滴漏污水，趸船面冲洗水和初期雨水汇流至趸船污水箱中，滴漏污水、冲洗水和初期雨水最终经趸船污水泵输送到后方罐区处理。设置永久布放型围油栏、应急型围油栏及其附属设施，以防治事故溢油。船舶舱底油污水经含油污水管道接收至后方罐区处理。工作人员生活污水经趸船污水箱收集预处理后，经生活污水管道输送至后方罐区污水处理站处理。</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rPr>
        <w:t>⑶</w:t>
      </w:r>
      <w:r>
        <w:rPr>
          <w:rFonts w:ascii="Times New Roman" w:hAnsi="Times New Roman"/>
          <w:sz w:val="24"/>
          <w:szCs w:val="24"/>
        </w:rPr>
        <w:t xml:space="preserve"> 建立工程运行水生态保护协调沟通机制，加强与保护区管理机构、当地渔业主管部门的沟通，共同维护保护区水生态，打造绿色港区、绿色码头。</w:t>
      </w:r>
    </w:p>
    <w:p>
      <w:pPr>
        <w:pStyle w:val="4"/>
        <w:rPr>
          <w:szCs w:val="28"/>
        </w:rPr>
      </w:pPr>
      <w:bookmarkStart w:id="260" w:name="_Toc18306878"/>
      <w:bookmarkStart w:id="261" w:name="_Toc18306821"/>
      <w:r>
        <w:rPr>
          <w:rFonts w:eastAsiaTheme="minorEastAsia"/>
        </w:rPr>
        <w:t>环境噪声控制措施</w:t>
      </w:r>
      <w:bookmarkEnd w:id="257"/>
      <w:bookmarkEnd w:id="258"/>
      <w:bookmarkEnd w:id="259"/>
      <w:bookmarkEnd w:id="260"/>
      <w:bookmarkEnd w:id="261"/>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施工期尽量选取低噪声、低振动的施工机械和运输车辆，加强机械、车辆的日常维修保养，使其保持良好状态，避免超过正常噪声运转。对高噪声设备，应在其附近加设可移动的简单围障，以降低其噪音影响。</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营运期的噪声主要是通航船舶噪声及振动，应定期保养船只，减少发动机噪声污染。设立“进入国家级水产种质资源保护区，进港船舶禁止鸣笛，限速航行”标示，减轻船舶对保护对象的影响。</w:t>
      </w:r>
    </w:p>
    <w:p>
      <w:pPr>
        <w:pStyle w:val="4"/>
        <w:rPr>
          <w:rFonts w:eastAsiaTheme="minorEastAsia"/>
        </w:rPr>
      </w:pPr>
      <w:bookmarkStart w:id="262" w:name="_Toc18306879"/>
      <w:bookmarkStart w:id="263" w:name="_Toc24053_WPSOffice_Level2"/>
      <w:bookmarkStart w:id="264" w:name="_Toc8948_WPSOffice_Level2"/>
      <w:bookmarkStart w:id="265" w:name="_Toc503779528"/>
      <w:bookmarkStart w:id="266" w:name="_Toc515895914"/>
      <w:bookmarkStart w:id="267" w:name="_Toc18306822"/>
      <w:r>
        <w:rPr>
          <w:rFonts w:eastAsiaTheme="minorEastAsia"/>
        </w:rPr>
        <w:t>废气影响防治措施</w:t>
      </w:r>
      <w:bookmarkEnd w:id="262"/>
      <w:bookmarkEnd w:id="263"/>
      <w:bookmarkEnd w:id="264"/>
      <w:bookmarkEnd w:id="265"/>
      <w:bookmarkEnd w:id="266"/>
      <w:bookmarkEnd w:id="267"/>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rPr>
        <w:t>⑴</w:t>
      </w:r>
      <w:r>
        <w:rPr>
          <w:rFonts w:ascii="Times New Roman" w:hAnsi="Times New Roman"/>
          <w:sz w:val="24"/>
          <w:szCs w:val="24"/>
        </w:rPr>
        <w:t xml:space="preserve"> 要在施工区定期洒水，以减少扬尘污染。对装载建筑垃圾、砂石料及土方的车辆应密闭或遮盖帆布，避免沿途抛洒。</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rPr>
        <w:t>⑵</w:t>
      </w:r>
      <w:r>
        <w:rPr>
          <w:rFonts w:ascii="Times New Roman" w:hAnsi="Times New Roman"/>
          <w:sz w:val="24"/>
          <w:szCs w:val="24"/>
        </w:rPr>
        <w:t xml:space="preserve"> 进场前应加强施工车辆检测管理工作，对于未达到排放标准或未取得营运资格的应禁止入场；施工期加强施工机械的维护和保养，减少废气污染。施工区域尽量利用当地民用电力设施，减少柴油发电机废气排放。禁止在施工现场焚烧有毒、有害和有恶臭气味的物质。</w:t>
      </w:r>
    </w:p>
    <w:p>
      <w:pPr>
        <w:pStyle w:val="4"/>
        <w:rPr>
          <w:rFonts w:eastAsiaTheme="minorEastAsia"/>
        </w:rPr>
      </w:pPr>
      <w:bookmarkStart w:id="268" w:name="_Toc18519_WPSOffice_Level2"/>
      <w:bookmarkStart w:id="269" w:name="_Toc18306823"/>
      <w:bookmarkStart w:id="270" w:name="_Toc18306880"/>
      <w:bookmarkStart w:id="271" w:name="_Toc22436_WPSOffice_Level2"/>
      <w:r>
        <w:rPr>
          <w:rFonts w:eastAsiaTheme="minorEastAsia"/>
        </w:rPr>
        <w:t>固体废物处理处置措施</w:t>
      </w:r>
      <w:bookmarkEnd w:id="268"/>
      <w:bookmarkEnd w:id="269"/>
      <w:bookmarkEnd w:id="270"/>
      <w:bookmarkEnd w:id="271"/>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rPr>
        <w:t>⑴</w:t>
      </w:r>
      <w:r>
        <w:rPr>
          <w:rFonts w:ascii="Times New Roman" w:hAnsi="Times New Roman"/>
          <w:sz w:val="24"/>
          <w:szCs w:val="24"/>
        </w:rPr>
        <w:t xml:space="preserve"> 施工区配备垃圾桶，施工人员的生活垃圾、施工物料垃圾等尽量分类收集，废弃物应在施工中尽量回收利用，设置临时垃圾集中堆放场地，施工期生产、生活垃圾定期清运至附近垃圾处理场处置。</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rPr>
        <w:t>⑵</w:t>
      </w:r>
      <w:r>
        <w:rPr>
          <w:rFonts w:ascii="Times New Roman" w:hAnsi="Times New Roman"/>
          <w:sz w:val="24"/>
          <w:szCs w:val="24"/>
        </w:rPr>
        <w:t xml:space="preserve"> 引桥桩基施工产生的钻渣必须上岸进行干化处置，钻孔泥浆应循环利用。</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rPr>
        <w:t>⑶</w:t>
      </w:r>
      <w:r>
        <w:rPr>
          <w:rFonts w:ascii="Times New Roman" w:hAnsi="Times New Roman"/>
          <w:sz w:val="24"/>
          <w:szCs w:val="24"/>
        </w:rPr>
        <w:t xml:space="preserve"> 船舶固体废物均由专门船舶污染物接收船接收处理，确需在停靠点周边排放时，经由垃圾清运车收集后送至城市垃圾处理场。</w:t>
      </w:r>
    </w:p>
    <w:p>
      <w:pPr>
        <w:pStyle w:val="4"/>
        <w:rPr>
          <w:rFonts w:eastAsiaTheme="minorEastAsia"/>
        </w:rPr>
      </w:pPr>
      <w:bookmarkStart w:id="272" w:name="_Toc15855_WPSOffice_Level2"/>
      <w:bookmarkStart w:id="273" w:name="_Toc515895915"/>
      <w:bookmarkStart w:id="274" w:name="_Toc18306824"/>
      <w:bookmarkStart w:id="275" w:name="_Toc18306881"/>
      <w:bookmarkStart w:id="276" w:name="_Toc21254_WPSOffice_Level2"/>
      <w:r>
        <w:rPr>
          <w:rFonts w:eastAsiaTheme="minorEastAsia"/>
        </w:rPr>
        <w:t>保护区水生态保护措施</w:t>
      </w:r>
      <w:bookmarkEnd w:id="272"/>
      <w:bookmarkEnd w:id="273"/>
      <w:bookmarkEnd w:id="274"/>
      <w:bookmarkEnd w:id="275"/>
      <w:bookmarkEnd w:id="276"/>
    </w:p>
    <w:p>
      <w:pPr>
        <w:pStyle w:val="5"/>
        <w:rPr>
          <w:rFonts w:eastAsiaTheme="minorEastAsia"/>
          <w:color w:val="auto"/>
        </w:rPr>
      </w:pPr>
      <w:bookmarkStart w:id="277" w:name="_Toc515895916"/>
      <w:bookmarkStart w:id="278" w:name="_Toc12907_WPSOffice_Level3"/>
      <w:bookmarkStart w:id="279" w:name="_Toc26642_WPSOffice_Level3"/>
      <w:r>
        <w:rPr>
          <w:rFonts w:eastAsiaTheme="minorEastAsia"/>
          <w:color w:val="auto"/>
        </w:rPr>
        <w:t>繁殖期避让措施</w:t>
      </w:r>
      <w:bookmarkEnd w:id="277"/>
      <w:bookmarkEnd w:id="278"/>
      <w:bookmarkEnd w:id="279"/>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本项目施工共计12个月，施工时间上与部分鱼类的繁殖期是重叠的，水下桩基施工时间选择枯水期，避开鱼类繁殖期。如短颌鲚、铜鱼4~6月繁殖，豚类繁殖季节为3-6月，“四大家鱼”繁殖季节为4~7月，鲤、鲫繁殖季节为3~5月，盛期为4~5月；黄颡鱼繁殖产卵时间为4~5月。需要在施工区及其相邻水域活动或繁殖的鱼类，受施工船舶及机械的惊扰、施工产生的浑水等因素的影响，有些个体或种类会产生生理反应，如受惊扰或水质变化因素刺激产生的应激反应等，对性腺发育不利，或产卵不能发生导致产卵行为紊乱，而对繁殖效果产生负面影响。</w:t>
      </w:r>
    </w:p>
    <w:p>
      <w:pPr>
        <w:adjustRightInd w:val="0"/>
        <w:snapToGrid w:val="0"/>
        <w:spacing w:line="360" w:lineRule="auto"/>
        <w:ind w:firstLine="480" w:firstLineChars="200"/>
        <w:rPr>
          <w:rFonts w:ascii="Times New Roman" w:hAnsi="Times New Roman"/>
          <w:sz w:val="24"/>
          <w:szCs w:val="24"/>
        </w:rPr>
      </w:pPr>
      <w:bookmarkStart w:id="280" w:name="_Hlk37167332"/>
      <w:r>
        <w:rPr>
          <w:rFonts w:ascii="Times New Roman" w:hAnsi="Times New Roman"/>
          <w:sz w:val="24"/>
          <w:szCs w:val="24"/>
        </w:rPr>
        <w:t>桩基施工时间选择在枯水期进行，并采取严格的污水及噪声防护措施来减缓对鱼类及珍稀水生生物的影响。</w:t>
      </w:r>
      <w:bookmarkEnd w:id="280"/>
    </w:p>
    <w:p>
      <w:pPr>
        <w:pStyle w:val="5"/>
        <w:rPr>
          <w:rFonts w:eastAsiaTheme="minorEastAsia"/>
          <w:color w:val="auto"/>
        </w:rPr>
      </w:pPr>
      <w:bookmarkStart w:id="281" w:name="_Toc515895917"/>
      <w:bookmarkStart w:id="282" w:name="_Toc794_WPSOffice_Level3"/>
      <w:bookmarkStart w:id="283" w:name="_Toc21588_WPSOffice_Level3"/>
      <w:r>
        <w:rPr>
          <w:rFonts w:eastAsiaTheme="minorEastAsia"/>
          <w:color w:val="auto"/>
        </w:rPr>
        <w:t>减缓措施</w:t>
      </w:r>
      <w:bookmarkEnd w:id="281"/>
      <w:bookmarkEnd w:id="282"/>
      <w:bookmarkEnd w:id="283"/>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rPr>
        <w:t>⑴</w:t>
      </w:r>
      <w:r>
        <w:rPr>
          <w:rFonts w:ascii="Times New Roman" w:hAnsi="Times New Roman"/>
          <w:sz w:val="24"/>
          <w:szCs w:val="24"/>
        </w:rPr>
        <w:t xml:space="preserve"> 施工前驱赶水生生物。为减少工程施工作业对鱼类的伤害，每次水下作业工程开工前，应采用</w:t>
      </w:r>
      <w:bookmarkStart w:id="284" w:name="baidusnap0"/>
      <w:bookmarkEnd w:id="284"/>
      <w:r>
        <w:rPr>
          <w:rFonts w:ascii="Times New Roman" w:hAnsi="Times New Roman"/>
          <w:sz w:val="24"/>
          <w:szCs w:val="24"/>
        </w:rPr>
        <w:t>超声波驱鱼驱豚等技术手段，对施工区及其邻近水域和鱼类分布较密集的深潭、回水区进行驱赶水生生物作业，将鱼类和豚类驱离施工区。</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rPr>
        <w:t>⑵</w:t>
      </w:r>
      <w:r>
        <w:rPr>
          <w:rFonts w:ascii="Times New Roman" w:hAnsi="Times New Roman"/>
          <w:sz w:val="24"/>
          <w:szCs w:val="24"/>
        </w:rPr>
        <w:t xml:space="preserve"> 减小水下噪声。施工及营运期间的船舶噪声应通过合理调度，减少施工船舶数量等方法加以控制。针对在水下打桩、水下钻孔等施工，选型上尽量选用低噪声设备，如以液压机械代替燃油机械，振荡器采用高频设备等，打桩时缓启动。施工及营运期间的各种设备尽量采用低噪声设备，打桩机或空压机噪声通过安装吸音结构、吸音材料和消音器处理。</w:t>
      </w:r>
    </w:p>
    <w:p>
      <w:pPr>
        <w:adjustRightInd w:val="0"/>
        <w:snapToGrid w:val="0"/>
        <w:spacing w:line="360" w:lineRule="auto"/>
        <w:ind w:firstLine="480" w:firstLineChars="200"/>
        <w:rPr>
          <w:rFonts w:ascii="Times New Roman" w:hAnsi="Times New Roman"/>
          <w:sz w:val="24"/>
          <w:szCs w:val="24"/>
        </w:rPr>
      </w:pPr>
      <w:r>
        <w:rPr>
          <w:rFonts w:hint="eastAsia" w:ascii="宋体" w:hAnsi="宋体" w:cs="宋体"/>
          <w:sz w:val="24"/>
          <w:szCs w:val="24"/>
        </w:rPr>
        <w:t>⑶</w:t>
      </w:r>
      <w:r>
        <w:rPr>
          <w:rFonts w:ascii="Times New Roman" w:hAnsi="Times New Roman"/>
          <w:sz w:val="24"/>
          <w:szCs w:val="24"/>
        </w:rPr>
        <w:t xml:space="preserve"> 控制到港船舶进出量。已有研究表明，长江江豚对船舶噪声有主动躲避行为，比如，船舶出现与江豚出现存在负相关关系，在船舶航行轨迹的0~50m垂直距离范围内，通常难以观察到江豚，而在50~100m范围内却能观察到江豚。尽管长江江豚能主动避船，但在某些特殊情形下，仍容易被航行船舶伤害，比如在捕食时，江豚容易不理会船舶靠近；在相对狭窄的水道内，高速船舶突然接近时，江豚无处躲避或难以在短时间内逃离到安全距离之外。到港船舶航行过程中要求速度不大于4km，船速较慢，此处水域面积宽广，且各船舶安排专门江豚观察员，时刻关注江豚活动。到港船舶之间的距离必须保持在200m以外，如由于到港船舶量过大而导致到港船舶之间的距离小于200m，应控制到港船舶进出量，必要的时候禁止船舶进出。一旦发现豚类和大型鱼类受伤，立即展开救护，预算经费10万元。</w:t>
      </w:r>
    </w:p>
    <w:p>
      <w:pPr>
        <w:pStyle w:val="5"/>
        <w:rPr>
          <w:rFonts w:eastAsiaTheme="minorEastAsia"/>
          <w:color w:val="auto"/>
        </w:rPr>
      </w:pPr>
      <w:r>
        <w:rPr>
          <w:rFonts w:eastAsiaTheme="minorEastAsia"/>
          <w:color w:val="auto"/>
        </w:rPr>
        <w:t>渔政执法和日常监管</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渔政执法和日常监管是重要和有效的保护措施之一，因此，主管部门应建立与保护区管理部门、岳阳渔业主管部门间的沟通联系，建立码头建设运行水生态保护管理机制、制定水生态保护监管方案，重点开展码头施工期及营运期的水生态监管。工程施工和运营期间，应加强这两项管理工作。具体工作内容包括：</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加强环境保护的宣传。在工程所在水域设置宣传牌和明显的警示标牌，对施工人员发送宣传手册，不定期组织与水生生物保护和环境保护相关的科普讲座。</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取缔非法渔业和有害渔业活动，控制和制止对水生生物和保护区环境有影响的各种水上人类活动。</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渔政管理主要进行监督、管理及宣传工作，预算经费30万元。</w:t>
      </w:r>
    </w:p>
    <w:p>
      <w:pPr>
        <w:pStyle w:val="4"/>
        <w:rPr>
          <w:bCs w:val="0"/>
          <w:szCs w:val="24"/>
        </w:rPr>
      </w:pPr>
      <w:r>
        <w:rPr>
          <w:bCs w:val="0"/>
          <w:szCs w:val="24"/>
        </w:rPr>
        <w:t>开展保护宣传，提高公众保护意识</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本保护区的主要保护对象为铜鱼、短颌鲚，其中短颌鲚不能进行人工繁殖，其保护措施主要为产卵场、索饵场及洄游通道等重要栖息地保护。经调查保护区短颌鲚产卵场主要分布在项目区上游约3km处的城陵矶三江口。项目单位应与保护区管理部门协商制定短颌鲚等浮性卵产卵场针对性的保护措施，重点是减少三江口区域船舶停靠数量，严禁在三江口敞水区停靠危化品船舶。</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实施单位：项目业主单位，渔业渔政部门监督实施。</w:t>
      </w:r>
    </w:p>
    <w:p>
      <w:pPr>
        <w:pStyle w:val="5"/>
        <w:rPr>
          <w:rFonts w:eastAsiaTheme="minorEastAsia"/>
          <w:color w:val="auto"/>
        </w:rPr>
      </w:pPr>
      <w:bookmarkStart w:id="285" w:name="_Toc14627_WPSOffice_Level3"/>
      <w:bookmarkStart w:id="286" w:name="_Toc515895919"/>
      <w:bookmarkStart w:id="287" w:name="_Toc28778_WPSOffice_Level3"/>
      <w:r>
        <w:rPr>
          <w:rFonts w:eastAsiaTheme="minorEastAsia"/>
          <w:color w:val="auto"/>
        </w:rPr>
        <w:t>水生植被恢复</w:t>
      </w:r>
      <w:bookmarkEnd w:id="285"/>
      <w:bookmarkEnd w:id="286"/>
      <w:bookmarkEnd w:id="287"/>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为确保本项目建设尽量少占用保护区用地，减少对保护区的影响，工程设计阶段应尽可能远离保护区。禁止在保护区范围内设置弃渣场、施工营地、物料堆场等临时占地设施。施工期应减少污染，实现保护区内废水零排放。</w:t>
      </w:r>
    </w:p>
    <w:p>
      <w:pPr>
        <w:adjustRightInd w:val="0"/>
        <w:snapToGrid w:val="0"/>
        <w:spacing w:line="360" w:lineRule="auto"/>
        <w:ind w:firstLine="480" w:firstLineChars="200"/>
        <w:rPr>
          <w:rFonts w:ascii="Times New Roman" w:hAnsi="Times New Roman"/>
          <w:sz w:val="24"/>
          <w:szCs w:val="24"/>
        </w:rPr>
      </w:pPr>
      <w:r>
        <w:rPr>
          <w:rFonts w:ascii="Times New Roman" w:hAnsi="Times New Roman"/>
          <w:sz w:val="24"/>
          <w:szCs w:val="24"/>
        </w:rPr>
        <w:t>施工结束后，应对工程临时占用的地表植被实施生态恢复措施，恢复被破坏的植被，位置河流与陆地之间的水生生态脆弱带的过渡态生态系统完整性，保证该过渡态在河流生态的物质过滤，湿生和水生生物群落，营养盐输入等方面的正常生态功能。工程周边植被恢复除考虑水土保持外，还应适当考虑景观和环保。在钢栈桥和临时道路区采取撒播种草的方式恢复植被，植被以本地物种为主，主要选择在浅水区和缓坡地带进行恢复，为鱼类等水生生物营造必要的栖息、繁殖、庇护生境。恢复植物可选择芦苇、芦蒿、菹草、竹叶眼子菜等。其中拟建2#泊位码头工程共占用保护区面积约3809.73m</w:t>
      </w:r>
      <w:r>
        <w:rPr>
          <w:rFonts w:ascii="Times New Roman" w:hAnsi="Times New Roman"/>
          <w:sz w:val="24"/>
          <w:szCs w:val="24"/>
          <w:vertAlign w:val="superscript"/>
        </w:rPr>
        <w:t>2</w:t>
      </w:r>
      <w:r>
        <w:rPr>
          <w:rFonts w:ascii="Times New Roman" w:hAnsi="Times New Roman"/>
          <w:sz w:val="24"/>
          <w:szCs w:val="24"/>
        </w:rPr>
        <w:t>，临时工程共占用保护区面积约5000m</w:t>
      </w:r>
      <w:r>
        <w:rPr>
          <w:rFonts w:ascii="Times New Roman" w:hAnsi="Times New Roman"/>
          <w:sz w:val="24"/>
          <w:szCs w:val="24"/>
          <w:vertAlign w:val="superscript"/>
        </w:rPr>
        <w:t>2</w:t>
      </w:r>
      <w:r>
        <w:rPr>
          <w:rFonts w:ascii="Times New Roman" w:hAnsi="Times New Roman"/>
          <w:sz w:val="24"/>
          <w:szCs w:val="24"/>
        </w:rPr>
        <w:t>。修复面积约13.2亩，按照每亩2000元计，预算经费2.64万元，三年合计约</w:t>
      </w:r>
      <w:r>
        <w:rPr>
          <w:rFonts w:hint="eastAsia" w:ascii="Times New Roman" w:hAnsi="Times New Roman"/>
          <w:sz w:val="24"/>
          <w:szCs w:val="24"/>
          <w:lang w:val="en-US" w:eastAsia="zh-CN"/>
        </w:rPr>
        <w:t>15</w:t>
      </w:r>
      <w:r>
        <w:rPr>
          <w:rFonts w:ascii="Times New Roman" w:hAnsi="Times New Roman"/>
          <w:sz w:val="24"/>
          <w:szCs w:val="24"/>
        </w:rPr>
        <w:t>万元。</w:t>
      </w:r>
    </w:p>
    <w:p>
      <w:pPr>
        <w:pStyle w:val="5"/>
        <w:rPr>
          <w:rFonts w:eastAsiaTheme="minorEastAsia"/>
          <w:color w:val="auto"/>
        </w:rPr>
      </w:pPr>
      <w:bookmarkStart w:id="288" w:name="_Toc2136_WPSOffice_Level3"/>
      <w:bookmarkStart w:id="289" w:name="_Toc515895918"/>
      <w:bookmarkStart w:id="290" w:name="_Toc24585_WPSOffice_Level3"/>
      <w:r>
        <w:rPr>
          <w:rFonts w:eastAsiaTheme="minorEastAsia"/>
          <w:color w:val="auto"/>
        </w:rPr>
        <w:t>增殖放流</w:t>
      </w:r>
      <w:bookmarkEnd w:id="288"/>
      <w:bookmarkEnd w:id="289"/>
      <w:bookmarkEnd w:id="290"/>
    </w:p>
    <w:p>
      <w:pPr>
        <w:adjustRightInd w:val="0"/>
        <w:snapToGrid w:val="0"/>
        <w:spacing w:line="360" w:lineRule="auto"/>
        <w:ind w:firstLine="482" w:firstLineChars="200"/>
        <w:rPr>
          <w:rFonts w:ascii="Times New Roman" w:hAnsi="Times New Roman"/>
          <w:b/>
          <w:color w:val="000000"/>
          <w:sz w:val="24"/>
          <w:szCs w:val="24"/>
        </w:rPr>
      </w:pPr>
      <w:r>
        <w:rPr>
          <w:rFonts w:ascii="Times New Roman" w:hAnsi="Times New Roman"/>
          <w:b/>
          <w:color w:val="000000"/>
          <w:sz w:val="24"/>
          <w:szCs w:val="24"/>
        </w:rPr>
        <w:t>1、放流目的</w:t>
      </w:r>
    </w:p>
    <w:p>
      <w:pPr>
        <w:adjustRightInd w:val="0"/>
        <w:snapToGrid w:val="0"/>
        <w:spacing w:line="360" w:lineRule="auto"/>
        <w:ind w:firstLine="480" w:firstLineChars="200"/>
        <w:rPr>
          <w:rFonts w:ascii="Times New Roman" w:hAnsi="Times New Roman"/>
          <w:color w:val="000000"/>
          <w:sz w:val="24"/>
          <w:szCs w:val="24"/>
        </w:rPr>
      </w:pPr>
      <w:r>
        <w:rPr>
          <w:rFonts w:ascii="Times New Roman" w:hAnsi="Times New Roman"/>
          <w:color w:val="000000"/>
          <w:kern w:val="0"/>
          <w:sz w:val="24"/>
        </w:rPr>
        <w:t>鱼类人工种群建立及增殖放流是目前保护鱼类物种、增加鱼类种群数量的重要措施之一。采取人工增殖放流，不仅可以对那些种群数量已经减少或面临各种影响将大量减少的鱼类进行人工增殖，补充其资源量，在一定程度上可以缓解本项目对鱼类资源的不利影响。但鱼类增殖放流涉及面广，管理操作过程较为复杂，对水域生态系统影响深远，技术含量比较高，需要对放流水域生态环境和鱼类资源现状了解非常清楚，对放流对象生物学特性、苗种繁育技术、放流和效果评价技术等研究较为深入，对增殖放流进行合理的规划和布局，制定科学增殖放流方案</w:t>
      </w:r>
      <w:r>
        <w:rPr>
          <w:rFonts w:ascii="Times New Roman" w:hAnsi="Times New Roman"/>
          <w:color w:val="000000"/>
          <w:sz w:val="24"/>
          <w:szCs w:val="24"/>
        </w:rPr>
        <w:t>。</w:t>
      </w:r>
    </w:p>
    <w:p>
      <w:pPr>
        <w:adjustRightInd w:val="0"/>
        <w:snapToGrid w:val="0"/>
        <w:spacing w:line="360" w:lineRule="auto"/>
        <w:ind w:firstLine="482" w:firstLineChars="200"/>
        <w:rPr>
          <w:rFonts w:ascii="Times New Roman" w:hAnsi="Times New Roman"/>
          <w:b/>
          <w:color w:val="000000"/>
          <w:sz w:val="24"/>
          <w:szCs w:val="24"/>
        </w:rPr>
      </w:pPr>
      <w:r>
        <w:rPr>
          <w:rFonts w:ascii="Times New Roman" w:hAnsi="Times New Roman"/>
          <w:b/>
          <w:color w:val="000000"/>
          <w:sz w:val="24"/>
          <w:szCs w:val="24"/>
        </w:rPr>
        <w:t>2、放流种类</w:t>
      </w:r>
    </w:p>
    <w:p>
      <w:pPr>
        <w:adjustRightInd w:val="0"/>
        <w:snapToGrid w:val="0"/>
        <w:spacing w:line="360" w:lineRule="auto"/>
        <w:ind w:firstLine="480" w:firstLineChars="200"/>
        <w:rPr>
          <w:rFonts w:ascii="Times New Roman" w:hAnsi="Times New Roman"/>
          <w:color w:val="000000"/>
          <w:sz w:val="24"/>
          <w:szCs w:val="24"/>
        </w:rPr>
      </w:pPr>
      <w:r>
        <w:rPr>
          <w:rFonts w:ascii="Times New Roman" w:hAnsi="Times New Roman"/>
          <w:sz w:val="24"/>
          <w:szCs w:val="24"/>
        </w:rPr>
        <w:t>评价区内鳤、鯮、太湖新银鱼等被列入湖南省重点保护野生水生动物。还有中华鲟、长江江豚、胭脂鱼等国家级重点保护野生动物，其中长江江豚、中华鲟是国家</w:t>
      </w:r>
      <w:r>
        <w:rPr>
          <w:rFonts w:hint="eastAsia" w:ascii="宋体" w:hAnsi="宋体" w:cs="宋体"/>
          <w:sz w:val="24"/>
          <w:szCs w:val="24"/>
        </w:rPr>
        <w:t>Ⅰ</w:t>
      </w:r>
      <w:r>
        <w:rPr>
          <w:rFonts w:ascii="Times New Roman" w:hAnsi="Times New Roman"/>
          <w:sz w:val="24"/>
          <w:szCs w:val="24"/>
        </w:rPr>
        <w:t>级保护野生水生动物，胭脂鱼是国家</w:t>
      </w:r>
      <w:r>
        <w:rPr>
          <w:rFonts w:hint="eastAsia" w:ascii="宋体" w:hAnsi="宋体" w:cs="宋体"/>
          <w:sz w:val="24"/>
          <w:szCs w:val="24"/>
        </w:rPr>
        <w:t>Ⅱ</w:t>
      </w:r>
      <w:r>
        <w:rPr>
          <w:rFonts w:ascii="Times New Roman" w:hAnsi="Times New Roman"/>
          <w:sz w:val="24"/>
          <w:szCs w:val="24"/>
        </w:rPr>
        <w:t>级保护野生水生动物。</w:t>
      </w:r>
      <w:r>
        <w:rPr>
          <w:rFonts w:ascii="Times New Roman" w:hAnsi="Times New Roman"/>
          <w:kern w:val="0"/>
          <w:sz w:val="24"/>
          <w:szCs w:val="24"/>
        </w:rPr>
        <w:t>建议对保护鱼类铜鱼及</w:t>
      </w:r>
      <w:r>
        <w:rPr>
          <w:rFonts w:ascii="Times New Roman" w:hAnsi="Times New Roman"/>
          <w:sz w:val="24"/>
          <w:szCs w:val="24"/>
        </w:rPr>
        <w:t>重要经济鱼类青鱼、草鱼、鲢、鳙</w:t>
      </w:r>
      <w:r>
        <w:rPr>
          <w:rFonts w:ascii="Times New Roman" w:hAnsi="Times New Roman"/>
          <w:kern w:val="0"/>
          <w:sz w:val="24"/>
          <w:szCs w:val="24"/>
        </w:rPr>
        <w:t>实施人工增殖放流，此后根据监测情况作适当调整</w:t>
      </w:r>
      <w:r>
        <w:rPr>
          <w:rFonts w:ascii="Times New Roman" w:hAnsi="Times New Roman"/>
          <w:color w:val="000000"/>
          <w:sz w:val="24"/>
          <w:szCs w:val="24"/>
        </w:rPr>
        <w:t>。</w:t>
      </w:r>
    </w:p>
    <w:p>
      <w:pPr>
        <w:adjustRightInd w:val="0"/>
        <w:snapToGrid w:val="0"/>
        <w:spacing w:line="360" w:lineRule="auto"/>
        <w:ind w:firstLine="482" w:firstLineChars="200"/>
        <w:rPr>
          <w:rFonts w:ascii="Times New Roman" w:hAnsi="Times New Roman"/>
          <w:b/>
          <w:color w:val="000000"/>
          <w:sz w:val="24"/>
          <w:szCs w:val="24"/>
        </w:rPr>
      </w:pPr>
      <w:r>
        <w:rPr>
          <w:rFonts w:ascii="Times New Roman" w:hAnsi="Times New Roman"/>
          <w:b/>
          <w:color w:val="000000"/>
          <w:sz w:val="24"/>
          <w:szCs w:val="24"/>
        </w:rPr>
        <w:t>3、放流标准</w:t>
      </w:r>
    </w:p>
    <w:p>
      <w:pPr>
        <w:adjustRightInd w:val="0"/>
        <w:snapToGrid w:val="0"/>
        <w:spacing w:line="360" w:lineRule="auto"/>
        <w:ind w:firstLine="480" w:firstLineChars="200"/>
        <w:rPr>
          <w:rFonts w:ascii="Times New Roman" w:hAnsi="Times New Roman"/>
          <w:color w:val="000000"/>
          <w:kern w:val="0"/>
          <w:sz w:val="24"/>
        </w:rPr>
      </w:pPr>
      <w:r>
        <w:rPr>
          <w:rFonts w:ascii="Times New Roman" w:hAnsi="Times New Roman"/>
          <w:color w:val="000000"/>
          <w:kern w:val="0"/>
          <w:sz w:val="24"/>
        </w:rPr>
        <w:t>增殖放流工作应根据《中国水生生物资源养护行动纲要》、《水生生物增殖放流管理规定》。放流种苗供应单位如湖南渔缘生物科技有限公司等应选择信誉良好、管理规范、具备相应的技术力量的国家级或省级水产原良种场和良种繁育场、渔业资源增殖站、野生水生生物驯养繁殖基地或救护中心以及其他具有相关资质的种苗生产单位，必要时可通过招标形式确定。</w:t>
      </w:r>
    </w:p>
    <w:p>
      <w:pPr>
        <w:adjustRightInd w:val="0"/>
        <w:snapToGrid w:val="0"/>
        <w:spacing w:line="360" w:lineRule="auto"/>
        <w:ind w:firstLine="480" w:firstLineChars="200"/>
        <w:rPr>
          <w:rFonts w:ascii="Times New Roman" w:hAnsi="Times New Roman"/>
          <w:color w:val="000000"/>
          <w:sz w:val="24"/>
          <w:szCs w:val="24"/>
        </w:rPr>
      </w:pPr>
      <w:r>
        <w:rPr>
          <w:rFonts w:ascii="Times New Roman" w:hAnsi="Times New Roman"/>
          <w:color w:val="000000"/>
          <w:kern w:val="0"/>
          <w:sz w:val="24"/>
        </w:rPr>
        <w:t>放流的幼鱼必须是由野生亲本人工繁殖的子一代。放流苗种必须是无伤残和病害、体格健壮，符合渔业行政主管部门制定放流苗种种质技术规范，建议参照《水产苗种管理办法》（2004年，农业部令第46号）。放流前，种苗供应单位应提供放流种苗种质鉴定和疫病检验检疫报告，以保证用于增殖放流种苗的质量，避免对增殖放流水域生态造成不良影响。鱼类放流活动应与保护区管理机构协调，并在该机构的监督与指导下进行</w:t>
      </w:r>
      <w:r>
        <w:rPr>
          <w:rFonts w:ascii="Times New Roman" w:hAnsi="Times New Roman"/>
          <w:color w:val="000000"/>
          <w:sz w:val="24"/>
          <w:szCs w:val="24"/>
        </w:rPr>
        <w:t>。</w:t>
      </w:r>
    </w:p>
    <w:p>
      <w:pPr>
        <w:adjustRightInd w:val="0"/>
        <w:snapToGrid w:val="0"/>
        <w:spacing w:line="360" w:lineRule="auto"/>
        <w:ind w:firstLine="482" w:firstLineChars="200"/>
        <w:rPr>
          <w:rFonts w:ascii="Times New Roman" w:hAnsi="Times New Roman"/>
          <w:b/>
          <w:color w:val="000000"/>
          <w:sz w:val="24"/>
          <w:szCs w:val="24"/>
        </w:rPr>
      </w:pPr>
      <w:r>
        <w:rPr>
          <w:rFonts w:ascii="Times New Roman" w:hAnsi="Times New Roman"/>
          <w:b/>
          <w:color w:val="000000"/>
          <w:sz w:val="24"/>
          <w:szCs w:val="24"/>
        </w:rPr>
        <w:t>4、放流地点和时间</w:t>
      </w:r>
    </w:p>
    <w:p>
      <w:pPr>
        <w:adjustRightInd w:val="0"/>
        <w:snapToGrid w:val="0"/>
        <w:spacing w:line="360" w:lineRule="auto"/>
        <w:ind w:firstLine="480" w:firstLineChars="200"/>
        <w:rPr>
          <w:rFonts w:ascii="Times New Roman" w:hAnsi="Times New Roman"/>
          <w:color w:val="000000"/>
          <w:sz w:val="24"/>
          <w:szCs w:val="24"/>
        </w:rPr>
      </w:pPr>
      <w:r>
        <w:rPr>
          <w:rFonts w:ascii="Times New Roman" w:hAnsi="Times New Roman"/>
          <w:color w:val="000000"/>
          <w:kern w:val="0"/>
          <w:sz w:val="24"/>
        </w:rPr>
        <w:t>放流地点拟在城陵矶，首次放流时间为码头运营期第一年2~4月。鱼类放流任务应在3年内完成</w:t>
      </w:r>
      <w:r>
        <w:rPr>
          <w:rFonts w:ascii="Times New Roman" w:hAnsi="Times New Roman"/>
          <w:color w:val="000000"/>
          <w:sz w:val="24"/>
          <w:szCs w:val="24"/>
        </w:rPr>
        <w:t>。</w:t>
      </w:r>
    </w:p>
    <w:p>
      <w:pPr>
        <w:adjustRightInd w:val="0"/>
        <w:snapToGrid w:val="0"/>
        <w:spacing w:line="360" w:lineRule="auto"/>
        <w:ind w:firstLine="482" w:firstLineChars="200"/>
        <w:rPr>
          <w:rFonts w:ascii="Times New Roman" w:hAnsi="Times New Roman"/>
          <w:b/>
          <w:color w:val="000000"/>
          <w:sz w:val="24"/>
          <w:szCs w:val="24"/>
        </w:rPr>
      </w:pPr>
      <w:r>
        <w:rPr>
          <w:rFonts w:ascii="Times New Roman" w:hAnsi="Times New Roman"/>
          <w:b/>
          <w:color w:val="000000"/>
          <w:sz w:val="24"/>
          <w:szCs w:val="24"/>
        </w:rPr>
        <w:t>5、放流苗种数量和规格</w:t>
      </w:r>
    </w:p>
    <w:p>
      <w:pPr>
        <w:adjustRightInd w:val="0"/>
        <w:snapToGrid w:val="0"/>
        <w:spacing w:line="360" w:lineRule="auto"/>
        <w:ind w:firstLine="480" w:firstLineChars="200"/>
        <w:rPr>
          <w:rFonts w:ascii="Times New Roman" w:hAnsi="Times New Roman"/>
          <w:kern w:val="0"/>
          <w:sz w:val="24"/>
          <w:szCs w:val="24"/>
        </w:rPr>
      </w:pPr>
      <w:r>
        <w:rPr>
          <w:rFonts w:ascii="Times New Roman" w:hAnsi="Times New Roman"/>
          <w:color w:val="000000"/>
          <w:sz w:val="24"/>
        </w:rPr>
        <w:t>由于增殖放流数量的确定需要考虑的因素较为复杂，不确定的因素较多，针对开放性的天然水体合理放流数量的确定很困难，初步确定年放流苗种210万尾。以后根据监测结果，调整放流数量和比例。</w:t>
      </w:r>
      <w:r>
        <w:rPr>
          <w:rFonts w:ascii="Times New Roman" w:hAnsi="Times New Roman"/>
          <w:sz w:val="24"/>
        </w:rPr>
        <w:t>开展人工增殖放流3年共需经费101.4万元</w:t>
      </w:r>
      <w:r>
        <w:rPr>
          <w:rFonts w:ascii="Times New Roman" w:hAnsi="Times New Roman"/>
          <w:kern w:val="0"/>
          <w:sz w:val="24"/>
          <w:szCs w:val="24"/>
        </w:rPr>
        <w:t>。</w:t>
      </w:r>
    </w:p>
    <w:p>
      <w:pPr>
        <w:adjustRightInd w:val="0"/>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 xml:space="preserve">增殖放流应符合农业部《水生生物增殖放流管理规定》的有关要求。 </w:t>
      </w:r>
    </w:p>
    <w:p>
      <w:pPr>
        <w:adjustRightInd w:val="0"/>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增殖放流业主单位可委托当地渔业主管部门或保护区管理部门实施，业主单位及其主管部门、上级渔业主管部门监督实施。</w:t>
      </w:r>
    </w:p>
    <w:p>
      <w:pPr>
        <w:adjustRightInd w:val="0"/>
        <w:snapToGrid w:val="0"/>
        <w:spacing w:line="276" w:lineRule="auto"/>
        <w:jc w:val="center"/>
        <w:rPr>
          <w:rFonts w:ascii="Times New Roman" w:hAnsi="Times New Roman"/>
          <w:b/>
          <w:sz w:val="24"/>
          <w:szCs w:val="24"/>
        </w:rPr>
      </w:pPr>
      <w:r>
        <w:rPr>
          <w:rFonts w:ascii="Times New Roman" w:hAnsi="Times New Roman"/>
          <w:b/>
          <w:sz w:val="24"/>
          <w:szCs w:val="24"/>
        </w:rPr>
        <w:t>表7.2-1  鱼类增殖放流经费预算表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1278"/>
        <w:gridCol w:w="1833"/>
        <w:gridCol w:w="1554"/>
        <w:gridCol w:w="1710"/>
        <w:gridCol w:w="20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83"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种类</w:t>
            </w:r>
          </w:p>
        </w:tc>
        <w:tc>
          <w:tcPr>
            <w:tcW w:w="688"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规格</w:t>
            </w:r>
          </w:p>
        </w:tc>
        <w:tc>
          <w:tcPr>
            <w:tcW w:w="987"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单价（元/万尾）</w:t>
            </w:r>
          </w:p>
        </w:tc>
        <w:tc>
          <w:tcPr>
            <w:tcW w:w="837"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数量（万尾）</w:t>
            </w:r>
          </w:p>
        </w:tc>
        <w:tc>
          <w:tcPr>
            <w:tcW w:w="921"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年限（年）</w:t>
            </w:r>
          </w:p>
        </w:tc>
        <w:tc>
          <w:tcPr>
            <w:tcW w:w="1084"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补偿预算（万元）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83"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铜鱼</w:t>
            </w:r>
          </w:p>
        </w:tc>
        <w:tc>
          <w:tcPr>
            <w:tcW w:w="688" w:type="pct"/>
            <w:shd w:val="clear" w:color="auto" w:fill="auto"/>
            <w:vAlign w:val="center"/>
          </w:tcPr>
          <w:p>
            <w:pPr>
              <w:adjustRightInd w:val="0"/>
              <w:snapToGrid w:val="0"/>
              <w:jc w:val="center"/>
              <w:rPr>
                <w:rFonts w:ascii="Times New Roman" w:hAnsi="Times New Roman"/>
                <w:b/>
                <w:bCs/>
              </w:rPr>
            </w:pPr>
            <w:r>
              <w:rPr>
                <w:rFonts w:ascii="Times New Roman" w:hAnsi="Times New Roman"/>
              </w:rPr>
              <w:t>大于3cm</w:t>
            </w:r>
          </w:p>
        </w:tc>
        <w:tc>
          <w:tcPr>
            <w:tcW w:w="987" w:type="pct"/>
            <w:shd w:val="clear" w:color="auto" w:fill="auto"/>
            <w:vAlign w:val="center"/>
          </w:tcPr>
          <w:p>
            <w:pPr>
              <w:adjustRightInd w:val="0"/>
              <w:snapToGrid w:val="0"/>
              <w:jc w:val="center"/>
              <w:rPr>
                <w:rFonts w:ascii="Times New Roman" w:hAnsi="Times New Roman"/>
                <w:bCs/>
              </w:rPr>
            </w:pPr>
            <w:r>
              <w:rPr>
                <w:rFonts w:ascii="Times New Roman" w:hAnsi="Times New Roman"/>
                <w:bCs/>
              </w:rPr>
              <w:t>5000</w:t>
            </w:r>
          </w:p>
        </w:tc>
        <w:tc>
          <w:tcPr>
            <w:tcW w:w="837" w:type="pct"/>
            <w:shd w:val="clear" w:color="auto" w:fill="auto"/>
            <w:vAlign w:val="center"/>
          </w:tcPr>
          <w:p>
            <w:pPr>
              <w:adjustRightInd w:val="0"/>
              <w:snapToGrid w:val="0"/>
              <w:jc w:val="center"/>
              <w:rPr>
                <w:rFonts w:ascii="Times New Roman" w:hAnsi="Times New Roman"/>
                <w:bCs/>
              </w:rPr>
            </w:pPr>
            <w:r>
              <w:rPr>
                <w:rFonts w:ascii="Times New Roman" w:hAnsi="Times New Roman"/>
                <w:bCs/>
              </w:rPr>
              <w:t>20</w:t>
            </w:r>
          </w:p>
        </w:tc>
        <w:tc>
          <w:tcPr>
            <w:tcW w:w="921" w:type="pct"/>
            <w:shd w:val="clear" w:color="auto" w:fill="auto"/>
            <w:vAlign w:val="center"/>
          </w:tcPr>
          <w:p>
            <w:pPr>
              <w:adjustRightInd w:val="0"/>
              <w:snapToGrid w:val="0"/>
              <w:jc w:val="center"/>
              <w:rPr>
                <w:rFonts w:ascii="Times New Roman" w:hAnsi="Times New Roman"/>
                <w:bCs/>
              </w:rPr>
            </w:pPr>
            <w:r>
              <w:rPr>
                <w:rFonts w:ascii="Times New Roman" w:hAnsi="Times New Roman"/>
                <w:bCs/>
              </w:rPr>
              <w:t>3</w:t>
            </w:r>
          </w:p>
        </w:tc>
        <w:tc>
          <w:tcPr>
            <w:tcW w:w="1084" w:type="pct"/>
            <w:shd w:val="clear" w:color="auto" w:fill="auto"/>
            <w:vAlign w:val="center"/>
          </w:tcPr>
          <w:p>
            <w:pPr>
              <w:adjustRightInd w:val="0"/>
              <w:snapToGrid w:val="0"/>
              <w:jc w:val="center"/>
              <w:rPr>
                <w:rFonts w:ascii="Times New Roman" w:hAnsi="Times New Roman"/>
                <w:bCs/>
              </w:rPr>
            </w:pPr>
            <w:r>
              <w:rPr>
                <w:rFonts w:ascii="Times New Roman" w:hAnsi="Times New Roman"/>
                <w:bCs/>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83" w:type="pct"/>
            <w:vMerge w:val="restart"/>
            <w:shd w:val="clear" w:color="auto" w:fill="auto"/>
            <w:vAlign w:val="center"/>
          </w:tcPr>
          <w:p>
            <w:pPr>
              <w:adjustRightInd w:val="0"/>
              <w:snapToGrid w:val="0"/>
              <w:jc w:val="center"/>
              <w:rPr>
                <w:rFonts w:ascii="Times New Roman" w:hAnsi="Times New Roman"/>
                <w:b/>
                <w:bCs/>
              </w:rPr>
            </w:pPr>
            <w:r>
              <w:rPr>
                <w:rFonts w:ascii="Times New Roman" w:hAnsi="Times New Roman"/>
                <w:b/>
                <w:bCs/>
              </w:rPr>
              <w:t>鲢</w:t>
            </w:r>
          </w:p>
        </w:tc>
        <w:tc>
          <w:tcPr>
            <w:tcW w:w="688" w:type="pct"/>
            <w:shd w:val="clear" w:color="auto" w:fill="auto"/>
            <w:vAlign w:val="center"/>
          </w:tcPr>
          <w:p>
            <w:pPr>
              <w:adjustRightInd w:val="0"/>
              <w:snapToGrid w:val="0"/>
              <w:jc w:val="center"/>
              <w:rPr>
                <w:rFonts w:ascii="Times New Roman" w:hAnsi="Times New Roman"/>
              </w:rPr>
            </w:pPr>
            <w:r>
              <w:rPr>
                <w:rFonts w:ascii="Times New Roman" w:hAnsi="Times New Roman"/>
              </w:rPr>
              <w:t>大于3cm</w:t>
            </w:r>
          </w:p>
        </w:tc>
        <w:tc>
          <w:tcPr>
            <w:tcW w:w="987" w:type="pct"/>
            <w:shd w:val="clear" w:color="auto" w:fill="auto"/>
            <w:vAlign w:val="center"/>
          </w:tcPr>
          <w:p>
            <w:pPr>
              <w:adjustRightInd w:val="0"/>
              <w:snapToGrid w:val="0"/>
              <w:jc w:val="center"/>
              <w:rPr>
                <w:rFonts w:ascii="Times New Roman" w:hAnsi="Times New Roman"/>
              </w:rPr>
            </w:pPr>
            <w:r>
              <w:rPr>
                <w:rFonts w:ascii="Times New Roman" w:hAnsi="Times New Roman"/>
              </w:rPr>
              <w:t>400</w:t>
            </w:r>
          </w:p>
        </w:tc>
        <w:tc>
          <w:tcPr>
            <w:tcW w:w="837" w:type="pct"/>
            <w:shd w:val="clear" w:color="auto" w:fill="auto"/>
            <w:vAlign w:val="center"/>
          </w:tcPr>
          <w:p>
            <w:pPr>
              <w:adjustRightInd w:val="0"/>
              <w:snapToGrid w:val="0"/>
              <w:jc w:val="center"/>
              <w:rPr>
                <w:rFonts w:ascii="Times New Roman" w:hAnsi="Times New Roman"/>
              </w:rPr>
            </w:pPr>
            <w:r>
              <w:rPr>
                <w:rFonts w:ascii="Times New Roman" w:hAnsi="Times New Roman"/>
              </w:rPr>
              <w:t>50</w:t>
            </w:r>
          </w:p>
        </w:tc>
        <w:tc>
          <w:tcPr>
            <w:tcW w:w="921" w:type="pct"/>
            <w:shd w:val="clear" w:color="auto" w:fill="auto"/>
            <w:vAlign w:val="center"/>
          </w:tcPr>
          <w:p>
            <w:pPr>
              <w:adjustRightInd w:val="0"/>
              <w:snapToGrid w:val="0"/>
              <w:jc w:val="center"/>
              <w:rPr>
                <w:rFonts w:ascii="Times New Roman" w:hAnsi="Times New Roman"/>
              </w:rPr>
            </w:pPr>
            <w:r>
              <w:rPr>
                <w:rFonts w:ascii="Times New Roman" w:hAnsi="Times New Roman"/>
              </w:rPr>
              <w:t>3</w:t>
            </w:r>
          </w:p>
        </w:tc>
        <w:tc>
          <w:tcPr>
            <w:tcW w:w="1084" w:type="pct"/>
            <w:shd w:val="clear" w:color="auto" w:fill="auto"/>
            <w:vAlign w:val="center"/>
          </w:tcPr>
          <w:p>
            <w:pPr>
              <w:adjustRightInd w:val="0"/>
              <w:snapToGrid w:val="0"/>
              <w:jc w:val="center"/>
              <w:rPr>
                <w:rFonts w:ascii="Times New Roman" w:hAnsi="Times New Roman"/>
              </w:rPr>
            </w:pPr>
            <w:r>
              <w:rPr>
                <w:rFonts w:ascii="Times New Roman" w:hAnsi="Times New Roma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83" w:type="pct"/>
            <w:vMerge w:val="continue"/>
            <w:shd w:val="clear" w:color="auto" w:fill="auto"/>
            <w:vAlign w:val="center"/>
          </w:tcPr>
          <w:p>
            <w:pPr>
              <w:adjustRightInd w:val="0"/>
              <w:snapToGrid w:val="0"/>
              <w:jc w:val="center"/>
              <w:rPr>
                <w:rFonts w:ascii="Times New Roman" w:hAnsi="Times New Roman"/>
                <w:b/>
                <w:bCs/>
              </w:rPr>
            </w:pPr>
          </w:p>
        </w:tc>
        <w:tc>
          <w:tcPr>
            <w:tcW w:w="688" w:type="pct"/>
            <w:shd w:val="clear" w:color="auto" w:fill="auto"/>
            <w:vAlign w:val="center"/>
          </w:tcPr>
          <w:p>
            <w:pPr>
              <w:adjustRightInd w:val="0"/>
              <w:snapToGrid w:val="0"/>
              <w:jc w:val="center"/>
              <w:rPr>
                <w:rFonts w:ascii="Times New Roman" w:hAnsi="Times New Roman"/>
              </w:rPr>
            </w:pPr>
            <w:r>
              <w:rPr>
                <w:rFonts w:ascii="Times New Roman" w:hAnsi="Times New Roman"/>
              </w:rPr>
              <w:t>大于10cm</w:t>
            </w:r>
          </w:p>
        </w:tc>
        <w:tc>
          <w:tcPr>
            <w:tcW w:w="987" w:type="pct"/>
            <w:shd w:val="clear" w:color="auto" w:fill="auto"/>
            <w:vAlign w:val="center"/>
          </w:tcPr>
          <w:p>
            <w:pPr>
              <w:adjustRightInd w:val="0"/>
              <w:snapToGrid w:val="0"/>
              <w:jc w:val="center"/>
              <w:rPr>
                <w:rFonts w:ascii="Times New Roman" w:hAnsi="Times New Roman"/>
              </w:rPr>
            </w:pPr>
            <w:r>
              <w:rPr>
                <w:rFonts w:ascii="Times New Roman" w:hAnsi="Times New Roman"/>
              </w:rPr>
              <w:t>3000</w:t>
            </w:r>
          </w:p>
        </w:tc>
        <w:tc>
          <w:tcPr>
            <w:tcW w:w="837" w:type="pct"/>
            <w:shd w:val="clear" w:color="auto" w:fill="auto"/>
            <w:vAlign w:val="center"/>
          </w:tcPr>
          <w:p>
            <w:pPr>
              <w:adjustRightInd w:val="0"/>
              <w:snapToGrid w:val="0"/>
              <w:jc w:val="center"/>
              <w:rPr>
                <w:rFonts w:ascii="Times New Roman" w:hAnsi="Times New Roman"/>
              </w:rPr>
            </w:pPr>
            <w:r>
              <w:rPr>
                <w:rFonts w:ascii="Times New Roman" w:hAnsi="Times New Roman"/>
              </w:rPr>
              <w:t>20</w:t>
            </w:r>
          </w:p>
        </w:tc>
        <w:tc>
          <w:tcPr>
            <w:tcW w:w="921" w:type="pct"/>
            <w:shd w:val="clear" w:color="auto" w:fill="auto"/>
            <w:vAlign w:val="center"/>
          </w:tcPr>
          <w:p>
            <w:pPr>
              <w:adjustRightInd w:val="0"/>
              <w:snapToGrid w:val="0"/>
              <w:jc w:val="center"/>
              <w:rPr>
                <w:rFonts w:ascii="Times New Roman" w:hAnsi="Times New Roman"/>
              </w:rPr>
            </w:pPr>
            <w:r>
              <w:rPr>
                <w:rFonts w:ascii="Times New Roman" w:hAnsi="Times New Roman"/>
              </w:rPr>
              <w:t>3</w:t>
            </w:r>
          </w:p>
        </w:tc>
        <w:tc>
          <w:tcPr>
            <w:tcW w:w="1084" w:type="pct"/>
            <w:shd w:val="clear" w:color="auto" w:fill="auto"/>
            <w:vAlign w:val="center"/>
          </w:tcPr>
          <w:p>
            <w:pPr>
              <w:adjustRightInd w:val="0"/>
              <w:snapToGrid w:val="0"/>
              <w:jc w:val="center"/>
              <w:rPr>
                <w:rFonts w:ascii="Times New Roman" w:hAnsi="Times New Roman"/>
              </w:rPr>
            </w:pPr>
            <w:r>
              <w:rPr>
                <w:rFonts w:ascii="Times New Roman" w:hAnsi="Times New Roman"/>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83" w:type="pct"/>
            <w:vMerge w:val="restart"/>
            <w:shd w:val="clear" w:color="auto" w:fill="auto"/>
            <w:vAlign w:val="center"/>
          </w:tcPr>
          <w:p>
            <w:pPr>
              <w:adjustRightInd w:val="0"/>
              <w:snapToGrid w:val="0"/>
              <w:jc w:val="center"/>
              <w:rPr>
                <w:rFonts w:ascii="Times New Roman" w:hAnsi="Times New Roman"/>
                <w:b/>
                <w:bCs/>
              </w:rPr>
            </w:pPr>
            <w:r>
              <w:rPr>
                <w:rFonts w:ascii="Times New Roman" w:hAnsi="Times New Roman"/>
                <w:b/>
                <w:bCs/>
              </w:rPr>
              <w:t>鳙</w:t>
            </w:r>
          </w:p>
        </w:tc>
        <w:tc>
          <w:tcPr>
            <w:tcW w:w="688" w:type="pct"/>
            <w:shd w:val="clear" w:color="auto" w:fill="auto"/>
            <w:vAlign w:val="center"/>
          </w:tcPr>
          <w:p>
            <w:pPr>
              <w:adjustRightInd w:val="0"/>
              <w:snapToGrid w:val="0"/>
              <w:jc w:val="center"/>
              <w:rPr>
                <w:rFonts w:ascii="Times New Roman" w:hAnsi="Times New Roman"/>
              </w:rPr>
            </w:pPr>
            <w:r>
              <w:rPr>
                <w:rFonts w:ascii="Times New Roman" w:hAnsi="Times New Roman"/>
              </w:rPr>
              <w:t>大于3cm</w:t>
            </w:r>
          </w:p>
        </w:tc>
        <w:tc>
          <w:tcPr>
            <w:tcW w:w="987" w:type="pct"/>
            <w:shd w:val="clear" w:color="auto" w:fill="auto"/>
            <w:vAlign w:val="center"/>
          </w:tcPr>
          <w:p>
            <w:pPr>
              <w:adjustRightInd w:val="0"/>
              <w:snapToGrid w:val="0"/>
              <w:jc w:val="center"/>
              <w:rPr>
                <w:rFonts w:ascii="Times New Roman" w:hAnsi="Times New Roman"/>
              </w:rPr>
            </w:pPr>
            <w:r>
              <w:rPr>
                <w:rFonts w:ascii="Times New Roman" w:hAnsi="Times New Roman"/>
              </w:rPr>
              <w:t>400</w:t>
            </w:r>
          </w:p>
        </w:tc>
        <w:tc>
          <w:tcPr>
            <w:tcW w:w="837" w:type="pct"/>
            <w:shd w:val="clear" w:color="auto" w:fill="auto"/>
            <w:vAlign w:val="center"/>
          </w:tcPr>
          <w:p>
            <w:pPr>
              <w:adjustRightInd w:val="0"/>
              <w:snapToGrid w:val="0"/>
              <w:jc w:val="center"/>
              <w:rPr>
                <w:rFonts w:ascii="Times New Roman" w:hAnsi="Times New Roman"/>
              </w:rPr>
            </w:pPr>
            <w:r>
              <w:rPr>
                <w:rFonts w:ascii="Times New Roman" w:hAnsi="Times New Roman"/>
              </w:rPr>
              <w:t>50</w:t>
            </w:r>
          </w:p>
        </w:tc>
        <w:tc>
          <w:tcPr>
            <w:tcW w:w="921" w:type="pct"/>
            <w:shd w:val="clear" w:color="auto" w:fill="auto"/>
            <w:vAlign w:val="center"/>
          </w:tcPr>
          <w:p>
            <w:pPr>
              <w:adjustRightInd w:val="0"/>
              <w:snapToGrid w:val="0"/>
              <w:jc w:val="center"/>
              <w:rPr>
                <w:rFonts w:ascii="Times New Roman" w:hAnsi="Times New Roman"/>
              </w:rPr>
            </w:pPr>
            <w:r>
              <w:rPr>
                <w:rFonts w:ascii="Times New Roman" w:hAnsi="Times New Roman"/>
              </w:rPr>
              <w:t>3</w:t>
            </w:r>
          </w:p>
        </w:tc>
        <w:tc>
          <w:tcPr>
            <w:tcW w:w="1084" w:type="pct"/>
            <w:shd w:val="clear" w:color="auto" w:fill="auto"/>
            <w:vAlign w:val="center"/>
          </w:tcPr>
          <w:p>
            <w:pPr>
              <w:adjustRightInd w:val="0"/>
              <w:snapToGrid w:val="0"/>
              <w:jc w:val="center"/>
              <w:rPr>
                <w:rFonts w:ascii="Times New Roman" w:hAnsi="Times New Roman"/>
              </w:rPr>
            </w:pPr>
            <w:r>
              <w:rPr>
                <w:rFonts w:ascii="Times New Roman" w:hAnsi="Times New Roma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83" w:type="pct"/>
            <w:vMerge w:val="continue"/>
            <w:shd w:val="clear" w:color="auto" w:fill="auto"/>
            <w:vAlign w:val="center"/>
          </w:tcPr>
          <w:p>
            <w:pPr>
              <w:adjustRightInd w:val="0"/>
              <w:snapToGrid w:val="0"/>
              <w:jc w:val="center"/>
              <w:rPr>
                <w:rFonts w:ascii="Times New Roman" w:hAnsi="Times New Roman"/>
                <w:b/>
                <w:bCs/>
              </w:rPr>
            </w:pPr>
          </w:p>
        </w:tc>
        <w:tc>
          <w:tcPr>
            <w:tcW w:w="688" w:type="pct"/>
            <w:shd w:val="clear" w:color="auto" w:fill="auto"/>
            <w:vAlign w:val="center"/>
          </w:tcPr>
          <w:p>
            <w:pPr>
              <w:adjustRightInd w:val="0"/>
              <w:snapToGrid w:val="0"/>
              <w:jc w:val="center"/>
              <w:rPr>
                <w:rFonts w:ascii="Times New Roman" w:hAnsi="Times New Roman"/>
              </w:rPr>
            </w:pPr>
            <w:r>
              <w:rPr>
                <w:rFonts w:ascii="Times New Roman" w:hAnsi="Times New Roman"/>
              </w:rPr>
              <w:t>大于10cm</w:t>
            </w:r>
          </w:p>
        </w:tc>
        <w:tc>
          <w:tcPr>
            <w:tcW w:w="987" w:type="pct"/>
            <w:shd w:val="clear" w:color="auto" w:fill="auto"/>
            <w:vAlign w:val="center"/>
          </w:tcPr>
          <w:p>
            <w:pPr>
              <w:adjustRightInd w:val="0"/>
              <w:snapToGrid w:val="0"/>
              <w:jc w:val="center"/>
              <w:rPr>
                <w:rFonts w:ascii="Times New Roman" w:hAnsi="Times New Roman"/>
              </w:rPr>
            </w:pPr>
            <w:r>
              <w:rPr>
                <w:rFonts w:ascii="Times New Roman" w:hAnsi="Times New Roman"/>
              </w:rPr>
              <w:t>3000</w:t>
            </w:r>
          </w:p>
        </w:tc>
        <w:tc>
          <w:tcPr>
            <w:tcW w:w="837" w:type="pct"/>
            <w:shd w:val="clear" w:color="auto" w:fill="auto"/>
            <w:vAlign w:val="center"/>
          </w:tcPr>
          <w:p>
            <w:pPr>
              <w:adjustRightInd w:val="0"/>
              <w:snapToGrid w:val="0"/>
              <w:jc w:val="center"/>
              <w:rPr>
                <w:rFonts w:ascii="Times New Roman" w:hAnsi="Times New Roman"/>
              </w:rPr>
            </w:pPr>
            <w:r>
              <w:rPr>
                <w:rFonts w:ascii="Times New Roman" w:hAnsi="Times New Roman"/>
              </w:rPr>
              <w:t>20</w:t>
            </w:r>
          </w:p>
        </w:tc>
        <w:tc>
          <w:tcPr>
            <w:tcW w:w="921" w:type="pct"/>
            <w:shd w:val="clear" w:color="auto" w:fill="auto"/>
            <w:vAlign w:val="center"/>
          </w:tcPr>
          <w:p>
            <w:pPr>
              <w:adjustRightInd w:val="0"/>
              <w:snapToGrid w:val="0"/>
              <w:jc w:val="center"/>
              <w:rPr>
                <w:rFonts w:ascii="Times New Roman" w:hAnsi="Times New Roman"/>
              </w:rPr>
            </w:pPr>
            <w:r>
              <w:rPr>
                <w:rFonts w:ascii="Times New Roman" w:hAnsi="Times New Roman"/>
              </w:rPr>
              <w:t>3</w:t>
            </w:r>
          </w:p>
        </w:tc>
        <w:tc>
          <w:tcPr>
            <w:tcW w:w="1084" w:type="pct"/>
            <w:shd w:val="clear" w:color="auto" w:fill="auto"/>
            <w:vAlign w:val="center"/>
          </w:tcPr>
          <w:p>
            <w:pPr>
              <w:adjustRightInd w:val="0"/>
              <w:snapToGrid w:val="0"/>
              <w:jc w:val="center"/>
              <w:rPr>
                <w:rFonts w:ascii="Times New Roman" w:hAnsi="Times New Roman"/>
              </w:rPr>
            </w:pPr>
            <w:r>
              <w:rPr>
                <w:rFonts w:ascii="Times New Roman" w:hAnsi="Times New Roman"/>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83" w:type="pct"/>
            <w:vMerge w:val="restart"/>
            <w:shd w:val="clear" w:color="auto" w:fill="auto"/>
            <w:vAlign w:val="center"/>
          </w:tcPr>
          <w:p>
            <w:pPr>
              <w:adjustRightInd w:val="0"/>
              <w:snapToGrid w:val="0"/>
              <w:jc w:val="center"/>
              <w:rPr>
                <w:rFonts w:ascii="Times New Roman" w:hAnsi="Times New Roman"/>
                <w:b/>
                <w:bCs/>
              </w:rPr>
            </w:pPr>
            <w:r>
              <w:rPr>
                <w:rFonts w:ascii="Times New Roman" w:hAnsi="Times New Roman"/>
                <w:b/>
                <w:bCs/>
              </w:rPr>
              <w:t>草鱼</w:t>
            </w:r>
          </w:p>
        </w:tc>
        <w:tc>
          <w:tcPr>
            <w:tcW w:w="688" w:type="pct"/>
            <w:shd w:val="clear" w:color="auto" w:fill="auto"/>
            <w:vAlign w:val="center"/>
          </w:tcPr>
          <w:p>
            <w:pPr>
              <w:adjustRightInd w:val="0"/>
              <w:snapToGrid w:val="0"/>
              <w:jc w:val="center"/>
              <w:rPr>
                <w:rFonts w:ascii="Times New Roman" w:hAnsi="Times New Roman"/>
              </w:rPr>
            </w:pPr>
            <w:r>
              <w:rPr>
                <w:rFonts w:ascii="Times New Roman" w:hAnsi="Times New Roman"/>
              </w:rPr>
              <w:t>大于3cm</w:t>
            </w:r>
          </w:p>
        </w:tc>
        <w:tc>
          <w:tcPr>
            <w:tcW w:w="987" w:type="pct"/>
            <w:shd w:val="clear" w:color="auto" w:fill="auto"/>
            <w:vAlign w:val="center"/>
          </w:tcPr>
          <w:p>
            <w:pPr>
              <w:adjustRightInd w:val="0"/>
              <w:snapToGrid w:val="0"/>
              <w:jc w:val="center"/>
              <w:rPr>
                <w:rFonts w:ascii="Times New Roman" w:hAnsi="Times New Roman"/>
              </w:rPr>
            </w:pPr>
            <w:r>
              <w:rPr>
                <w:rFonts w:ascii="Times New Roman" w:hAnsi="Times New Roman"/>
              </w:rPr>
              <w:t>600</w:t>
            </w:r>
          </w:p>
        </w:tc>
        <w:tc>
          <w:tcPr>
            <w:tcW w:w="837" w:type="pct"/>
            <w:shd w:val="clear" w:color="auto" w:fill="auto"/>
            <w:vAlign w:val="center"/>
          </w:tcPr>
          <w:p>
            <w:pPr>
              <w:adjustRightInd w:val="0"/>
              <w:snapToGrid w:val="0"/>
              <w:jc w:val="center"/>
              <w:rPr>
                <w:rFonts w:ascii="Times New Roman" w:hAnsi="Times New Roman"/>
              </w:rPr>
            </w:pPr>
            <w:r>
              <w:rPr>
                <w:rFonts w:ascii="Times New Roman" w:hAnsi="Times New Roman"/>
              </w:rPr>
              <w:t>30</w:t>
            </w:r>
          </w:p>
        </w:tc>
        <w:tc>
          <w:tcPr>
            <w:tcW w:w="921" w:type="pct"/>
            <w:shd w:val="clear" w:color="auto" w:fill="auto"/>
            <w:vAlign w:val="center"/>
          </w:tcPr>
          <w:p>
            <w:pPr>
              <w:adjustRightInd w:val="0"/>
              <w:snapToGrid w:val="0"/>
              <w:jc w:val="center"/>
              <w:rPr>
                <w:rFonts w:ascii="Times New Roman" w:hAnsi="Times New Roman"/>
              </w:rPr>
            </w:pPr>
            <w:r>
              <w:rPr>
                <w:rFonts w:ascii="Times New Roman" w:hAnsi="Times New Roman"/>
              </w:rPr>
              <w:t>3</w:t>
            </w:r>
          </w:p>
        </w:tc>
        <w:tc>
          <w:tcPr>
            <w:tcW w:w="1084" w:type="pct"/>
            <w:shd w:val="clear" w:color="auto" w:fill="auto"/>
            <w:vAlign w:val="center"/>
          </w:tcPr>
          <w:p>
            <w:pPr>
              <w:adjustRightInd w:val="0"/>
              <w:snapToGrid w:val="0"/>
              <w:jc w:val="center"/>
              <w:rPr>
                <w:rFonts w:ascii="Times New Roman" w:hAnsi="Times New Roman"/>
              </w:rPr>
            </w:pPr>
            <w:r>
              <w:rPr>
                <w:rFonts w:ascii="Times New Roman" w:hAnsi="Times New Roman"/>
              </w:rPr>
              <w:t>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83" w:type="pct"/>
            <w:vMerge w:val="continue"/>
            <w:shd w:val="clear" w:color="auto" w:fill="auto"/>
            <w:vAlign w:val="center"/>
          </w:tcPr>
          <w:p>
            <w:pPr>
              <w:adjustRightInd w:val="0"/>
              <w:snapToGrid w:val="0"/>
              <w:jc w:val="center"/>
              <w:rPr>
                <w:rFonts w:ascii="Times New Roman" w:hAnsi="Times New Roman"/>
                <w:b/>
                <w:bCs/>
              </w:rPr>
            </w:pPr>
          </w:p>
        </w:tc>
        <w:tc>
          <w:tcPr>
            <w:tcW w:w="688" w:type="pct"/>
            <w:shd w:val="clear" w:color="auto" w:fill="auto"/>
            <w:vAlign w:val="center"/>
          </w:tcPr>
          <w:p>
            <w:pPr>
              <w:adjustRightInd w:val="0"/>
              <w:snapToGrid w:val="0"/>
              <w:jc w:val="center"/>
              <w:rPr>
                <w:rFonts w:ascii="Times New Roman" w:hAnsi="Times New Roman"/>
              </w:rPr>
            </w:pPr>
            <w:r>
              <w:rPr>
                <w:rFonts w:ascii="Times New Roman" w:hAnsi="Times New Roman"/>
              </w:rPr>
              <w:t>大于10cm</w:t>
            </w:r>
          </w:p>
        </w:tc>
        <w:tc>
          <w:tcPr>
            <w:tcW w:w="987" w:type="pct"/>
            <w:shd w:val="clear" w:color="auto" w:fill="auto"/>
            <w:vAlign w:val="center"/>
          </w:tcPr>
          <w:p>
            <w:pPr>
              <w:adjustRightInd w:val="0"/>
              <w:snapToGrid w:val="0"/>
              <w:jc w:val="center"/>
              <w:rPr>
                <w:rFonts w:ascii="Times New Roman" w:hAnsi="Times New Roman"/>
              </w:rPr>
            </w:pPr>
            <w:r>
              <w:rPr>
                <w:rFonts w:ascii="Times New Roman" w:hAnsi="Times New Roman"/>
              </w:rPr>
              <w:t>5000</w:t>
            </w:r>
          </w:p>
        </w:tc>
        <w:tc>
          <w:tcPr>
            <w:tcW w:w="837" w:type="pct"/>
            <w:shd w:val="clear" w:color="auto" w:fill="auto"/>
            <w:vAlign w:val="center"/>
          </w:tcPr>
          <w:p>
            <w:pPr>
              <w:adjustRightInd w:val="0"/>
              <w:snapToGrid w:val="0"/>
              <w:jc w:val="center"/>
              <w:rPr>
                <w:rFonts w:ascii="Times New Roman" w:hAnsi="Times New Roman"/>
              </w:rPr>
            </w:pPr>
            <w:r>
              <w:rPr>
                <w:rFonts w:ascii="Times New Roman" w:hAnsi="Times New Roman"/>
              </w:rPr>
              <w:t>10</w:t>
            </w:r>
          </w:p>
        </w:tc>
        <w:tc>
          <w:tcPr>
            <w:tcW w:w="921" w:type="pct"/>
            <w:shd w:val="clear" w:color="auto" w:fill="auto"/>
            <w:vAlign w:val="center"/>
          </w:tcPr>
          <w:p>
            <w:pPr>
              <w:adjustRightInd w:val="0"/>
              <w:snapToGrid w:val="0"/>
              <w:jc w:val="center"/>
              <w:rPr>
                <w:rFonts w:ascii="Times New Roman" w:hAnsi="Times New Roman"/>
              </w:rPr>
            </w:pPr>
            <w:r>
              <w:rPr>
                <w:rFonts w:ascii="Times New Roman" w:hAnsi="Times New Roman"/>
              </w:rPr>
              <w:t>3</w:t>
            </w:r>
          </w:p>
        </w:tc>
        <w:tc>
          <w:tcPr>
            <w:tcW w:w="1084" w:type="pct"/>
            <w:shd w:val="clear" w:color="auto" w:fill="auto"/>
            <w:vAlign w:val="center"/>
          </w:tcPr>
          <w:p>
            <w:pPr>
              <w:adjustRightInd w:val="0"/>
              <w:snapToGrid w:val="0"/>
              <w:jc w:val="center"/>
              <w:rPr>
                <w:rFonts w:ascii="Times New Roman" w:hAnsi="Times New Roman"/>
              </w:rPr>
            </w:pPr>
            <w:r>
              <w:rPr>
                <w:rFonts w:ascii="Times New Roman" w:hAnsi="Times New Roma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83"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青鱼</w:t>
            </w:r>
          </w:p>
        </w:tc>
        <w:tc>
          <w:tcPr>
            <w:tcW w:w="688" w:type="pct"/>
            <w:shd w:val="clear" w:color="auto" w:fill="auto"/>
            <w:vAlign w:val="center"/>
          </w:tcPr>
          <w:p>
            <w:pPr>
              <w:adjustRightInd w:val="0"/>
              <w:snapToGrid w:val="0"/>
              <w:jc w:val="center"/>
              <w:rPr>
                <w:rFonts w:ascii="Times New Roman" w:hAnsi="Times New Roman"/>
              </w:rPr>
            </w:pPr>
            <w:r>
              <w:rPr>
                <w:rFonts w:ascii="Times New Roman" w:hAnsi="Times New Roman"/>
              </w:rPr>
              <w:t>大于3cm</w:t>
            </w:r>
          </w:p>
        </w:tc>
        <w:tc>
          <w:tcPr>
            <w:tcW w:w="987" w:type="pct"/>
            <w:shd w:val="clear" w:color="auto" w:fill="auto"/>
            <w:vAlign w:val="center"/>
          </w:tcPr>
          <w:p>
            <w:pPr>
              <w:adjustRightInd w:val="0"/>
              <w:snapToGrid w:val="0"/>
              <w:jc w:val="center"/>
              <w:rPr>
                <w:rFonts w:ascii="Times New Roman" w:hAnsi="Times New Roman"/>
              </w:rPr>
            </w:pPr>
            <w:r>
              <w:rPr>
                <w:rFonts w:ascii="Times New Roman" w:hAnsi="Times New Roman"/>
              </w:rPr>
              <w:t>1000</w:t>
            </w:r>
          </w:p>
        </w:tc>
        <w:tc>
          <w:tcPr>
            <w:tcW w:w="837" w:type="pct"/>
            <w:shd w:val="clear" w:color="auto" w:fill="auto"/>
            <w:vAlign w:val="center"/>
          </w:tcPr>
          <w:p>
            <w:pPr>
              <w:adjustRightInd w:val="0"/>
              <w:snapToGrid w:val="0"/>
              <w:jc w:val="center"/>
              <w:rPr>
                <w:rFonts w:ascii="Times New Roman" w:hAnsi="Times New Roman"/>
              </w:rPr>
            </w:pPr>
            <w:r>
              <w:rPr>
                <w:rFonts w:ascii="Times New Roman" w:hAnsi="Times New Roman"/>
              </w:rPr>
              <w:t>10</w:t>
            </w:r>
          </w:p>
        </w:tc>
        <w:tc>
          <w:tcPr>
            <w:tcW w:w="921" w:type="pct"/>
            <w:shd w:val="clear" w:color="auto" w:fill="auto"/>
            <w:vAlign w:val="center"/>
          </w:tcPr>
          <w:p>
            <w:pPr>
              <w:adjustRightInd w:val="0"/>
              <w:snapToGrid w:val="0"/>
              <w:jc w:val="center"/>
              <w:rPr>
                <w:rFonts w:ascii="Times New Roman" w:hAnsi="Times New Roman"/>
              </w:rPr>
            </w:pPr>
            <w:r>
              <w:rPr>
                <w:rFonts w:ascii="Times New Roman" w:hAnsi="Times New Roman"/>
              </w:rPr>
              <w:t>3</w:t>
            </w:r>
          </w:p>
        </w:tc>
        <w:tc>
          <w:tcPr>
            <w:tcW w:w="1084" w:type="pct"/>
            <w:shd w:val="clear" w:color="auto" w:fill="auto"/>
            <w:vAlign w:val="center"/>
          </w:tcPr>
          <w:p>
            <w:pPr>
              <w:adjustRightInd w:val="0"/>
              <w:snapToGrid w:val="0"/>
              <w:jc w:val="center"/>
              <w:rPr>
                <w:rFonts w:ascii="Times New Roman" w:hAnsi="Times New Roman"/>
              </w:rPr>
            </w:pPr>
            <w:r>
              <w:rPr>
                <w:rFonts w:ascii="Times New Roman" w:hAnsi="Times New Roma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83"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合计</w:t>
            </w:r>
          </w:p>
        </w:tc>
        <w:tc>
          <w:tcPr>
            <w:tcW w:w="688" w:type="pct"/>
            <w:shd w:val="clear" w:color="auto" w:fill="auto"/>
            <w:vAlign w:val="center"/>
          </w:tcPr>
          <w:p>
            <w:pPr>
              <w:adjustRightInd w:val="0"/>
              <w:snapToGrid w:val="0"/>
              <w:jc w:val="center"/>
              <w:rPr>
                <w:rFonts w:ascii="Times New Roman" w:hAnsi="Times New Roman"/>
                <w:b/>
                <w:bCs/>
              </w:rPr>
            </w:pPr>
          </w:p>
        </w:tc>
        <w:tc>
          <w:tcPr>
            <w:tcW w:w="987" w:type="pct"/>
            <w:shd w:val="clear" w:color="auto" w:fill="auto"/>
            <w:vAlign w:val="center"/>
          </w:tcPr>
          <w:p>
            <w:pPr>
              <w:adjustRightInd w:val="0"/>
              <w:snapToGrid w:val="0"/>
              <w:jc w:val="center"/>
              <w:rPr>
                <w:rFonts w:ascii="Times New Roman" w:hAnsi="Times New Roman"/>
                <w:b/>
                <w:bCs/>
              </w:rPr>
            </w:pPr>
          </w:p>
        </w:tc>
        <w:tc>
          <w:tcPr>
            <w:tcW w:w="837"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210</w:t>
            </w:r>
          </w:p>
        </w:tc>
        <w:tc>
          <w:tcPr>
            <w:tcW w:w="921"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3年共630万尾</w:t>
            </w:r>
          </w:p>
        </w:tc>
        <w:tc>
          <w:tcPr>
            <w:tcW w:w="1084" w:type="pct"/>
            <w:shd w:val="clear" w:color="auto" w:fill="auto"/>
            <w:vAlign w:val="center"/>
          </w:tcPr>
          <w:p>
            <w:pPr>
              <w:adjustRightInd w:val="0"/>
              <w:snapToGrid w:val="0"/>
              <w:jc w:val="center"/>
              <w:rPr>
                <w:rFonts w:ascii="Times New Roman" w:hAnsi="Times New Roman"/>
                <w:b/>
                <w:bCs/>
              </w:rPr>
            </w:pPr>
            <w:r>
              <w:rPr>
                <w:rFonts w:ascii="Times New Roman" w:hAnsi="Times New Roman"/>
                <w:b/>
                <w:bCs/>
              </w:rPr>
              <w:t>101.4</w:t>
            </w:r>
          </w:p>
        </w:tc>
      </w:tr>
    </w:tbl>
    <w:p>
      <w:pPr>
        <w:adjustRightInd w:val="0"/>
        <w:snapToGrid w:val="0"/>
        <w:spacing w:line="360" w:lineRule="auto"/>
        <w:ind w:firstLine="480" w:firstLineChars="200"/>
        <w:rPr>
          <w:rFonts w:ascii="Times New Roman" w:hAnsi="Times New Roman"/>
          <w:color w:val="000000"/>
          <w:sz w:val="24"/>
          <w:szCs w:val="24"/>
        </w:rPr>
      </w:pPr>
    </w:p>
    <w:p>
      <w:pPr>
        <w:pStyle w:val="4"/>
        <w:rPr>
          <w:rFonts w:eastAsiaTheme="minorEastAsia"/>
        </w:rPr>
      </w:pPr>
      <w:bookmarkStart w:id="291" w:name="_Toc21588_WPSOffice_Level2"/>
      <w:bookmarkStart w:id="292" w:name="_Toc18306826"/>
      <w:bookmarkStart w:id="293" w:name="_Toc515895921"/>
      <w:bookmarkStart w:id="294" w:name="_Toc18306883"/>
      <w:bookmarkStart w:id="295" w:name="_Toc12907_WPSOffice_Level2"/>
      <w:r>
        <w:rPr>
          <w:rFonts w:eastAsiaTheme="minorEastAsia"/>
        </w:rPr>
        <w:t>跟踪监测</w:t>
      </w:r>
      <w:bookmarkEnd w:id="291"/>
      <w:bookmarkEnd w:id="292"/>
      <w:bookmarkEnd w:id="293"/>
      <w:bookmarkEnd w:id="294"/>
      <w:bookmarkEnd w:id="295"/>
    </w:p>
    <w:p>
      <w:pPr>
        <w:pStyle w:val="5"/>
        <w:rPr>
          <w:rFonts w:eastAsiaTheme="minorEastAsia"/>
          <w:color w:val="auto"/>
        </w:rPr>
      </w:pPr>
      <w:bookmarkStart w:id="296" w:name="_Toc515895922"/>
      <w:bookmarkStart w:id="297" w:name="_Toc21427_WPSOffice_Level3"/>
      <w:bookmarkStart w:id="298" w:name="_Toc31390_WPSOffice_Level3"/>
      <w:r>
        <w:rPr>
          <w:rFonts w:eastAsiaTheme="minorEastAsia"/>
          <w:color w:val="auto"/>
        </w:rPr>
        <w:t>监测内容</w:t>
      </w:r>
      <w:bookmarkEnd w:id="296"/>
      <w:bookmarkEnd w:id="297"/>
      <w:bookmarkEnd w:id="298"/>
    </w:p>
    <w:p>
      <w:pPr>
        <w:adjustRightInd w:val="0"/>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建设期和运营期在施工河段范围内进行浮游生物、底栖动物、水生维管束植物、鱼类种群动态、鱼类产卵场等进行监测，通过连续监测，统计分析该河段水生生物和鱼类种类组成、资源量变化趋势，分析其变化原因，对本项目建设的影响进行后评价。</w:t>
      </w:r>
    </w:p>
    <w:p>
      <w:pPr>
        <w:adjustRightInd w:val="0"/>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施工期水生态监测内容：SS、水体理化性质（主要为N、P、溶解氧、pH等）；浮游植物、浮游动物、底栖动物的种类、生物量和密度；水生维管束植物种类及数量；鱼类的种类组成、资源量的时空分布及累积变化效应。</w:t>
      </w:r>
    </w:p>
    <w:p>
      <w:pPr>
        <w:adjustRightInd w:val="0"/>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运营期水生态监测内容：水体理化性质（主要为N、P、溶解氧、pH等）；浮游植物、浮游动物、底栖动物的种类、生物量和密度；水生维管束植物种类及数量；鱼类的种类组成、资源量的时空分布及累积变化效应。</w:t>
      </w:r>
    </w:p>
    <w:p>
      <w:pPr>
        <w:adjustRightInd w:val="0"/>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监测点位和区域：设置码头、码头上游1km、码头下游1km共3个资源监测点位。</w:t>
      </w:r>
    </w:p>
    <w:p>
      <w:pPr>
        <w:pStyle w:val="5"/>
        <w:rPr>
          <w:rFonts w:eastAsiaTheme="minorEastAsia"/>
          <w:color w:val="auto"/>
        </w:rPr>
      </w:pPr>
      <w:bookmarkStart w:id="299" w:name="_Toc23430_WPSOffice_Level3"/>
      <w:bookmarkStart w:id="300" w:name="_Toc23113_WPSOffice_Level3"/>
      <w:bookmarkStart w:id="301" w:name="_Toc515895923"/>
      <w:r>
        <w:rPr>
          <w:rFonts w:eastAsiaTheme="minorEastAsia"/>
          <w:color w:val="auto"/>
        </w:rPr>
        <w:t>监测时段和周期</w:t>
      </w:r>
      <w:bookmarkEnd w:id="299"/>
      <w:bookmarkEnd w:id="300"/>
      <w:bookmarkEnd w:id="301"/>
    </w:p>
    <w:p>
      <w:pPr>
        <w:adjustRightInd w:val="0"/>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鱼类资源及水生生物监测时间为施工期1年，营运期2年，每年4月、9月各监测1次。</w:t>
      </w:r>
    </w:p>
    <w:p>
      <w:pPr>
        <w:pStyle w:val="4"/>
        <w:rPr>
          <w:rFonts w:eastAsiaTheme="minorEastAsia"/>
        </w:rPr>
      </w:pPr>
      <w:bookmarkStart w:id="302" w:name="_Toc794_WPSOffice_Level2"/>
      <w:bookmarkStart w:id="303" w:name="_Toc18306884"/>
      <w:bookmarkStart w:id="304" w:name="_Toc27965_WPSOffice_Level2"/>
      <w:bookmarkStart w:id="305" w:name="_Toc515895924"/>
      <w:bookmarkStart w:id="306" w:name="_Toc18306827"/>
      <w:r>
        <w:rPr>
          <w:rFonts w:eastAsiaTheme="minorEastAsia"/>
        </w:rPr>
        <w:t>建立协调机构</w:t>
      </w:r>
      <w:bookmarkEnd w:id="302"/>
      <w:bookmarkEnd w:id="303"/>
      <w:bookmarkEnd w:id="304"/>
      <w:bookmarkEnd w:id="305"/>
      <w:bookmarkEnd w:id="306"/>
    </w:p>
    <w:p>
      <w:pPr>
        <w:adjustRightInd w:val="0"/>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项目建设单位应与保护区管理机构以及渔政部门组建协调小组，加强施工期和运营期对保护区以及施工区域的管理。工程施工期和营运期的保护措施由保护区管理部门及渔政部门设立专门工作小组负责开展。工程建设单位应遵照执行《水产种质资源保护区的管理暂行办法》，加强施工管理，在施工人员中开展该办法的宣传教育工作，服从保护区监管，尽量减少工程施工对水产种质资源的影响。</w:t>
      </w:r>
    </w:p>
    <w:p>
      <w:pPr>
        <w:adjustRightInd w:val="0"/>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针对本项目施工会对洞庭湖口铜鱼短颌鲚国家级水产种质资源保护区及其附近水域的鱼类资源带来的影响，应设置专项补偿费用于保护区的鱼类资源保护，根据保护的实际需要进行使用，经费使用接受保护区主管单位监督落实补偿方案，或由其委托保护区管理单位负责，组织有关单位实施。</w:t>
      </w:r>
    </w:p>
    <w:p>
      <w:pPr>
        <w:pStyle w:val="4"/>
        <w:rPr>
          <w:rFonts w:eastAsiaTheme="minorEastAsia"/>
        </w:rPr>
      </w:pPr>
      <w:r>
        <w:rPr>
          <w:rFonts w:eastAsiaTheme="minorEastAsia"/>
        </w:rPr>
        <w:t>渔业资源补偿</w:t>
      </w:r>
    </w:p>
    <w:p>
      <w:pPr>
        <w:adjustRightInd w:val="0"/>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经计算，本项目建设对保护区渔业资源损害总价约为</w:t>
      </w:r>
      <w:r>
        <w:rPr>
          <w:rFonts w:hint="eastAsia" w:ascii="Times New Roman" w:hAnsi="Times New Roman"/>
          <w:kern w:val="0"/>
          <w:sz w:val="24"/>
          <w:szCs w:val="24"/>
          <w:lang w:val="en-US" w:eastAsia="zh-CN"/>
        </w:rPr>
        <w:t>82.55</w:t>
      </w:r>
      <w:r>
        <w:rPr>
          <w:rFonts w:ascii="Times New Roman" w:hAnsi="Times New Roman"/>
          <w:kern w:val="0"/>
          <w:sz w:val="24"/>
          <w:szCs w:val="24"/>
        </w:rPr>
        <w:t>万元。项目实施前，业主单位应与保护区管理部门沟通和协商，对评估的渔业资源损失进行经济补偿，并将渔业资源补偿费用纳入环保投资。渔业资源补偿内容主要包括渔政管理、水生植被恢复、增殖放流、水生生物监测等。水生态保护补偿的主要内容和费用概算见下表，总概算</w:t>
      </w:r>
      <w:r>
        <w:rPr>
          <w:rFonts w:hint="eastAsia" w:ascii="Times New Roman" w:hAnsi="Times New Roman"/>
          <w:kern w:val="0"/>
          <w:sz w:val="24"/>
          <w:szCs w:val="24"/>
          <w:lang w:val="en-US" w:eastAsia="zh-CN"/>
        </w:rPr>
        <w:t>209.9</w:t>
      </w:r>
      <w:r>
        <w:rPr>
          <w:rFonts w:ascii="Times New Roman" w:hAnsi="Times New Roman"/>
          <w:kern w:val="0"/>
          <w:sz w:val="24"/>
          <w:szCs w:val="24"/>
        </w:rPr>
        <w:t>万元。</w:t>
      </w:r>
    </w:p>
    <w:p>
      <w:pPr>
        <w:spacing w:line="360" w:lineRule="auto"/>
        <w:ind w:firstLine="2650" w:firstLineChars="1100"/>
        <w:rPr>
          <w:rFonts w:ascii="Times New Roman" w:hAnsi="Times New Roman"/>
          <w:b/>
          <w:sz w:val="24"/>
          <w:szCs w:val="24"/>
        </w:rPr>
      </w:pPr>
      <w:r>
        <w:rPr>
          <w:rFonts w:ascii="Times New Roman" w:hAnsi="Times New Roman"/>
          <w:b/>
          <w:sz w:val="24"/>
          <w:szCs w:val="24"/>
        </w:rPr>
        <w:t>表7.2-2  水生态保护补偿费用概算表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412"/>
        <w:gridCol w:w="1030"/>
        <w:gridCol w:w="1110"/>
        <w:gridCol w:w="55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6" w:type="pct"/>
            <w:vAlign w:val="center"/>
          </w:tcPr>
          <w:p>
            <w:pPr>
              <w:adjustRightInd w:val="0"/>
              <w:snapToGrid w:val="0"/>
              <w:jc w:val="center"/>
              <w:rPr>
                <w:rFonts w:ascii="Times New Roman" w:hAnsi="Times New Roman"/>
                <w:b/>
                <w:color w:val="000000"/>
              </w:rPr>
            </w:pPr>
            <w:r>
              <w:rPr>
                <w:rFonts w:ascii="Times New Roman" w:hAnsi="Times New Roman"/>
                <w:b/>
                <w:color w:val="000000"/>
              </w:rPr>
              <w:t>项目</w:t>
            </w:r>
          </w:p>
        </w:tc>
        <w:tc>
          <w:tcPr>
            <w:tcW w:w="566" w:type="pct"/>
            <w:vAlign w:val="center"/>
          </w:tcPr>
          <w:p>
            <w:pPr>
              <w:adjustRightInd w:val="0"/>
              <w:snapToGrid w:val="0"/>
              <w:jc w:val="center"/>
              <w:rPr>
                <w:rFonts w:ascii="Times New Roman" w:hAnsi="Times New Roman"/>
                <w:b/>
                <w:color w:val="000000"/>
              </w:rPr>
            </w:pPr>
            <w:r>
              <w:rPr>
                <w:rFonts w:ascii="Times New Roman" w:hAnsi="Times New Roman"/>
                <w:b/>
                <w:color w:val="000000"/>
              </w:rPr>
              <w:t>实施年限（年）</w:t>
            </w:r>
          </w:p>
        </w:tc>
        <w:tc>
          <w:tcPr>
            <w:tcW w:w="610" w:type="pct"/>
            <w:vAlign w:val="center"/>
          </w:tcPr>
          <w:p>
            <w:pPr>
              <w:adjustRightInd w:val="0"/>
              <w:snapToGrid w:val="0"/>
              <w:jc w:val="center"/>
              <w:rPr>
                <w:rFonts w:ascii="Times New Roman" w:hAnsi="Times New Roman"/>
                <w:b/>
                <w:color w:val="000000"/>
              </w:rPr>
            </w:pPr>
            <w:r>
              <w:rPr>
                <w:rFonts w:ascii="Times New Roman" w:hAnsi="Times New Roman"/>
                <w:b/>
                <w:color w:val="000000"/>
              </w:rPr>
              <w:t>预算经费</w:t>
            </w:r>
          </w:p>
          <w:p>
            <w:pPr>
              <w:adjustRightInd w:val="0"/>
              <w:snapToGrid w:val="0"/>
              <w:jc w:val="center"/>
              <w:rPr>
                <w:rFonts w:ascii="Times New Roman" w:hAnsi="Times New Roman"/>
                <w:b/>
                <w:color w:val="000000"/>
              </w:rPr>
            </w:pPr>
            <w:r>
              <w:rPr>
                <w:rFonts w:ascii="Times New Roman" w:hAnsi="Times New Roman"/>
                <w:b/>
                <w:color w:val="000000"/>
              </w:rPr>
              <w:t>（万元）</w:t>
            </w:r>
          </w:p>
        </w:tc>
        <w:tc>
          <w:tcPr>
            <w:tcW w:w="3048" w:type="pct"/>
            <w:vAlign w:val="center"/>
          </w:tcPr>
          <w:p>
            <w:pPr>
              <w:adjustRightInd w:val="0"/>
              <w:snapToGrid w:val="0"/>
              <w:jc w:val="center"/>
              <w:rPr>
                <w:rFonts w:ascii="Times New Roman" w:hAnsi="Times New Roman"/>
                <w:b/>
                <w:color w:val="000000"/>
              </w:rPr>
            </w:pPr>
            <w:r>
              <w:rPr>
                <w:rFonts w:ascii="Times New Roman" w:hAnsi="Times New Roman"/>
                <w:b/>
                <w:color w:val="000000"/>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6" w:type="pct"/>
            <w:vAlign w:val="center"/>
          </w:tcPr>
          <w:p>
            <w:pPr>
              <w:adjustRightInd w:val="0"/>
              <w:snapToGrid w:val="0"/>
              <w:rPr>
                <w:rFonts w:ascii="Times New Roman" w:hAnsi="Times New Roman"/>
                <w:color w:val="000000"/>
              </w:rPr>
            </w:pPr>
            <w:r>
              <w:rPr>
                <w:rFonts w:ascii="Times New Roman" w:hAnsi="Times New Roman"/>
                <w:color w:val="000000"/>
              </w:rPr>
              <w:t>一、标识牌设置安装</w:t>
            </w:r>
          </w:p>
        </w:tc>
        <w:tc>
          <w:tcPr>
            <w:tcW w:w="566" w:type="pct"/>
            <w:vAlign w:val="center"/>
          </w:tcPr>
          <w:p>
            <w:pPr>
              <w:adjustRightInd w:val="0"/>
              <w:snapToGrid w:val="0"/>
              <w:jc w:val="center"/>
              <w:rPr>
                <w:rFonts w:ascii="Times New Roman" w:hAnsi="Times New Roman"/>
                <w:color w:val="000000"/>
              </w:rPr>
            </w:pPr>
            <w:r>
              <w:rPr>
                <w:rFonts w:ascii="Times New Roman" w:hAnsi="Times New Roman"/>
                <w:color w:val="000000"/>
              </w:rPr>
              <w:t>—</w:t>
            </w:r>
          </w:p>
        </w:tc>
        <w:tc>
          <w:tcPr>
            <w:tcW w:w="610" w:type="pct"/>
            <w:vAlign w:val="center"/>
          </w:tcPr>
          <w:p>
            <w:pPr>
              <w:adjustRightInd w:val="0"/>
              <w:snapToGrid w:val="0"/>
              <w:jc w:val="center"/>
              <w:rPr>
                <w:rFonts w:hint="eastAsia" w:ascii="Times New Roman" w:hAnsi="Times New Roman" w:eastAsia="宋体"/>
                <w:color w:val="000000"/>
                <w:lang w:eastAsia="zh-CN"/>
              </w:rPr>
            </w:pPr>
            <w:r>
              <w:rPr>
                <w:rFonts w:hint="eastAsia" w:ascii="Times New Roman" w:hAnsi="Times New Roman"/>
                <w:color w:val="000000"/>
                <w:lang w:val="en-US" w:eastAsia="zh-CN"/>
              </w:rPr>
              <w:t>4</w:t>
            </w:r>
          </w:p>
        </w:tc>
        <w:tc>
          <w:tcPr>
            <w:tcW w:w="3048" w:type="pct"/>
            <w:vAlign w:val="center"/>
          </w:tcPr>
          <w:p>
            <w:pPr>
              <w:adjustRightInd w:val="0"/>
              <w:snapToGrid w:val="0"/>
              <w:rPr>
                <w:rFonts w:ascii="Times New Roman" w:hAnsi="Times New Roman"/>
                <w:color w:val="000000"/>
              </w:rPr>
            </w:pPr>
            <w:r>
              <w:rPr>
                <w:rFonts w:ascii="Times New Roman" w:hAnsi="Times New Roman"/>
                <w:bCs/>
                <w:kern w:val="0"/>
              </w:rPr>
              <w:t>保护区设置2块宣传牌，码头大堤、趸船处各一块。</w:t>
            </w:r>
            <w:r>
              <w:rPr>
                <w:rFonts w:hint="eastAsia" w:ascii="Times New Roman" w:hAnsi="Times New Roman"/>
                <w:bCs/>
                <w:kern w:val="0"/>
                <w:lang w:val="en-US" w:eastAsia="zh-CN"/>
              </w:rPr>
              <w:t>2</w:t>
            </w:r>
            <w:r>
              <w:rPr>
                <w:rFonts w:ascii="Times New Roman" w:hAnsi="Times New Roman"/>
                <w:bCs/>
                <w:kern w:val="0"/>
              </w:rPr>
              <w:t>万元/块，计</w:t>
            </w:r>
            <w:r>
              <w:rPr>
                <w:rFonts w:hint="eastAsia" w:ascii="Times New Roman" w:hAnsi="Times New Roman"/>
                <w:bCs/>
                <w:kern w:val="0"/>
                <w:lang w:val="en-US" w:eastAsia="zh-CN"/>
              </w:rPr>
              <w:t>4</w:t>
            </w:r>
            <w:r>
              <w:rPr>
                <w:rFonts w:ascii="Times New Roman" w:hAnsi="Times New Roman"/>
                <w:bCs/>
                <w:kern w:val="0"/>
              </w:rPr>
              <w:t>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6" w:type="pct"/>
            <w:vAlign w:val="center"/>
          </w:tcPr>
          <w:p>
            <w:pPr>
              <w:adjustRightInd w:val="0"/>
              <w:snapToGrid w:val="0"/>
              <w:rPr>
                <w:rFonts w:ascii="Times New Roman" w:hAnsi="Times New Roman"/>
                <w:color w:val="000000"/>
              </w:rPr>
            </w:pPr>
            <w:r>
              <w:rPr>
                <w:rFonts w:ascii="Times New Roman" w:hAnsi="Times New Roman"/>
                <w:color w:val="000000"/>
              </w:rPr>
              <w:t>二、超声波驱鱼设备</w:t>
            </w:r>
          </w:p>
        </w:tc>
        <w:tc>
          <w:tcPr>
            <w:tcW w:w="566" w:type="pct"/>
            <w:vAlign w:val="center"/>
          </w:tcPr>
          <w:p>
            <w:pPr>
              <w:adjustRightInd w:val="0"/>
              <w:snapToGrid w:val="0"/>
              <w:jc w:val="center"/>
              <w:rPr>
                <w:rFonts w:ascii="Times New Roman" w:hAnsi="Times New Roman"/>
                <w:color w:val="000000"/>
              </w:rPr>
            </w:pPr>
            <w:r>
              <w:rPr>
                <w:rFonts w:ascii="Times New Roman" w:hAnsi="Times New Roman"/>
                <w:color w:val="000000"/>
              </w:rPr>
              <w:t>1</w:t>
            </w:r>
          </w:p>
        </w:tc>
        <w:tc>
          <w:tcPr>
            <w:tcW w:w="610" w:type="pct"/>
            <w:vAlign w:val="center"/>
          </w:tcPr>
          <w:p>
            <w:pPr>
              <w:adjustRightInd w:val="0"/>
              <w:snapToGrid w:val="0"/>
              <w:jc w:val="center"/>
              <w:rPr>
                <w:rFonts w:ascii="Times New Roman" w:hAnsi="Times New Roman"/>
                <w:color w:val="000000"/>
              </w:rPr>
            </w:pPr>
            <w:r>
              <w:rPr>
                <w:rFonts w:ascii="Times New Roman" w:hAnsi="Times New Roman"/>
                <w:color w:val="000000"/>
              </w:rPr>
              <w:t>1.5</w:t>
            </w:r>
          </w:p>
        </w:tc>
        <w:tc>
          <w:tcPr>
            <w:tcW w:w="3048" w:type="pct"/>
            <w:vAlign w:val="center"/>
          </w:tcPr>
          <w:p>
            <w:pPr>
              <w:adjustRightInd w:val="0"/>
              <w:snapToGrid w:val="0"/>
              <w:rPr>
                <w:rFonts w:ascii="Times New Roman" w:hAnsi="Times New Roman"/>
                <w:color w:val="000000"/>
              </w:rPr>
            </w:pPr>
            <w:r>
              <w:rPr>
                <w:rFonts w:ascii="Times New Roman" w:hAnsi="Times New Roman"/>
                <w:color w:val="000000"/>
              </w:rPr>
              <w:t>施工期在工程区上游、下游和靠近江心侧，布设3台超声波发生器。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6" w:type="pct"/>
            <w:vAlign w:val="center"/>
          </w:tcPr>
          <w:p>
            <w:pPr>
              <w:adjustRightInd w:val="0"/>
              <w:snapToGrid w:val="0"/>
              <w:rPr>
                <w:rFonts w:ascii="Times New Roman" w:hAnsi="Times New Roman"/>
                <w:color w:val="000000"/>
              </w:rPr>
            </w:pPr>
            <w:r>
              <w:rPr>
                <w:rFonts w:hint="eastAsia" w:ascii="Times New Roman" w:hAnsi="Times New Roman"/>
                <w:color w:val="000000"/>
                <w:lang w:eastAsia="zh-CN"/>
              </w:rPr>
              <w:t>三</w:t>
            </w:r>
            <w:r>
              <w:rPr>
                <w:rFonts w:ascii="Times New Roman" w:hAnsi="Times New Roman"/>
                <w:color w:val="000000"/>
              </w:rPr>
              <w:t>、渔政管理</w:t>
            </w:r>
          </w:p>
        </w:tc>
        <w:tc>
          <w:tcPr>
            <w:tcW w:w="566" w:type="pct"/>
            <w:vAlign w:val="center"/>
          </w:tcPr>
          <w:p>
            <w:pPr>
              <w:adjustRightInd w:val="0"/>
              <w:snapToGrid w:val="0"/>
              <w:jc w:val="center"/>
              <w:rPr>
                <w:rFonts w:ascii="Times New Roman" w:hAnsi="Times New Roman"/>
                <w:color w:val="000000"/>
              </w:rPr>
            </w:pPr>
            <w:r>
              <w:rPr>
                <w:rFonts w:ascii="Times New Roman" w:hAnsi="Times New Roman"/>
                <w:color w:val="000000"/>
              </w:rPr>
              <w:t>—</w:t>
            </w:r>
          </w:p>
        </w:tc>
        <w:tc>
          <w:tcPr>
            <w:tcW w:w="610" w:type="pct"/>
            <w:vAlign w:val="center"/>
          </w:tcPr>
          <w:p>
            <w:pPr>
              <w:adjustRightInd w:val="0"/>
              <w:snapToGrid w:val="0"/>
              <w:jc w:val="center"/>
              <w:rPr>
                <w:rFonts w:ascii="Times New Roman" w:hAnsi="Times New Roman"/>
                <w:color w:val="000000"/>
              </w:rPr>
            </w:pPr>
            <w:r>
              <w:rPr>
                <w:rFonts w:ascii="Times New Roman" w:hAnsi="Times New Roman"/>
                <w:color w:val="000000"/>
              </w:rPr>
              <w:t>30</w:t>
            </w:r>
          </w:p>
        </w:tc>
        <w:tc>
          <w:tcPr>
            <w:tcW w:w="3048" w:type="pct"/>
            <w:vAlign w:val="center"/>
          </w:tcPr>
          <w:p>
            <w:pPr>
              <w:adjustRightInd w:val="0"/>
              <w:snapToGrid w:val="0"/>
              <w:rPr>
                <w:rFonts w:ascii="Times New Roman" w:hAnsi="Times New Roman"/>
                <w:color w:val="000000"/>
              </w:rPr>
            </w:pPr>
            <w:r>
              <w:rPr>
                <w:rFonts w:ascii="Times New Roman" w:hAnsi="Times New Roman"/>
                <w:color w:val="000000"/>
              </w:rPr>
              <w:t>加强环境保护的宣传，施工期和运行期控制和制止对水生生物和保护区环境有影响的各种水上人为活动。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6" w:type="pct"/>
            <w:vAlign w:val="center"/>
          </w:tcPr>
          <w:p>
            <w:pPr>
              <w:adjustRightInd w:val="0"/>
              <w:snapToGrid w:val="0"/>
              <w:rPr>
                <w:rFonts w:ascii="Times New Roman" w:hAnsi="Times New Roman"/>
                <w:color w:val="000000"/>
              </w:rPr>
            </w:pPr>
            <w:r>
              <w:rPr>
                <w:rFonts w:hint="eastAsia" w:ascii="Times New Roman" w:hAnsi="Times New Roman"/>
                <w:color w:val="000000"/>
                <w:lang w:eastAsia="zh-CN"/>
              </w:rPr>
              <w:t>四</w:t>
            </w:r>
            <w:r>
              <w:rPr>
                <w:rFonts w:ascii="Times New Roman" w:hAnsi="Times New Roman"/>
                <w:color w:val="000000"/>
              </w:rPr>
              <w:t>、生态修复</w:t>
            </w:r>
          </w:p>
        </w:tc>
        <w:tc>
          <w:tcPr>
            <w:tcW w:w="566" w:type="pct"/>
            <w:vAlign w:val="center"/>
          </w:tcPr>
          <w:p>
            <w:pPr>
              <w:adjustRightInd w:val="0"/>
              <w:snapToGrid w:val="0"/>
              <w:jc w:val="center"/>
              <w:rPr>
                <w:rFonts w:ascii="Times New Roman" w:hAnsi="Times New Roman"/>
                <w:color w:val="000000"/>
              </w:rPr>
            </w:pPr>
            <w:r>
              <w:rPr>
                <w:rFonts w:ascii="Times New Roman" w:hAnsi="Times New Roman"/>
                <w:color w:val="000000"/>
              </w:rPr>
              <w:t>—</w:t>
            </w:r>
          </w:p>
        </w:tc>
        <w:tc>
          <w:tcPr>
            <w:tcW w:w="610" w:type="pct"/>
            <w:vAlign w:val="center"/>
          </w:tcPr>
          <w:p>
            <w:pPr>
              <w:adjustRightInd w:val="0"/>
              <w:snapToGrid w:val="0"/>
              <w:jc w:val="center"/>
              <w:rPr>
                <w:rFonts w:hint="default" w:ascii="Times New Roman" w:hAnsi="Times New Roman" w:eastAsia="宋体"/>
                <w:color w:val="000000"/>
                <w:lang w:val="en-US" w:eastAsia="zh-CN"/>
              </w:rPr>
            </w:pPr>
            <w:r>
              <w:rPr>
                <w:rFonts w:hint="eastAsia" w:ascii="Times New Roman" w:hAnsi="Times New Roman"/>
                <w:color w:val="000000"/>
                <w:lang w:val="en-US" w:eastAsia="zh-CN"/>
              </w:rPr>
              <w:t>15</w:t>
            </w:r>
          </w:p>
        </w:tc>
        <w:tc>
          <w:tcPr>
            <w:tcW w:w="3048" w:type="pct"/>
            <w:vAlign w:val="center"/>
          </w:tcPr>
          <w:p>
            <w:pPr>
              <w:adjustRightInd w:val="0"/>
              <w:snapToGrid w:val="0"/>
              <w:rPr>
                <w:rFonts w:ascii="Times New Roman" w:hAnsi="Times New Roman"/>
                <w:color w:val="000000"/>
              </w:rPr>
            </w:pPr>
            <w:r>
              <w:rPr>
                <w:rFonts w:ascii="Times New Roman" w:hAnsi="Times New Roman"/>
                <w:color w:val="000000"/>
              </w:rPr>
              <w:t>项目完工后，在码头及廊道附近恢复水生植被，进行生态修复。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6" w:type="pct"/>
            <w:vAlign w:val="center"/>
          </w:tcPr>
          <w:p>
            <w:pPr>
              <w:adjustRightInd w:val="0"/>
              <w:snapToGrid w:val="0"/>
              <w:rPr>
                <w:rFonts w:ascii="Times New Roman" w:hAnsi="Times New Roman"/>
                <w:color w:val="000000"/>
              </w:rPr>
            </w:pPr>
            <w:r>
              <w:rPr>
                <w:rFonts w:hint="eastAsia" w:ascii="Times New Roman" w:hAnsi="Times New Roman"/>
                <w:color w:val="000000"/>
                <w:lang w:eastAsia="zh-CN"/>
              </w:rPr>
              <w:t>五</w:t>
            </w:r>
            <w:r>
              <w:rPr>
                <w:rFonts w:ascii="Times New Roman" w:hAnsi="Times New Roman"/>
                <w:color w:val="000000"/>
              </w:rPr>
              <w:t>、应急救护</w:t>
            </w:r>
          </w:p>
        </w:tc>
        <w:tc>
          <w:tcPr>
            <w:tcW w:w="566" w:type="pct"/>
            <w:vAlign w:val="center"/>
          </w:tcPr>
          <w:p>
            <w:pPr>
              <w:adjustRightInd w:val="0"/>
              <w:snapToGrid w:val="0"/>
              <w:jc w:val="center"/>
              <w:rPr>
                <w:rFonts w:ascii="Times New Roman" w:hAnsi="Times New Roman"/>
                <w:color w:val="000000"/>
              </w:rPr>
            </w:pPr>
            <w:r>
              <w:rPr>
                <w:rFonts w:ascii="Times New Roman" w:hAnsi="Times New Roman"/>
                <w:color w:val="000000"/>
              </w:rPr>
              <w:t>—</w:t>
            </w:r>
          </w:p>
        </w:tc>
        <w:tc>
          <w:tcPr>
            <w:tcW w:w="610" w:type="pct"/>
            <w:vAlign w:val="center"/>
          </w:tcPr>
          <w:p>
            <w:pPr>
              <w:adjustRightInd w:val="0"/>
              <w:snapToGrid w:val="0"/>
              <w:jc w:val="center"/>
              <w:rPr>
                <w:rFonts w:ascii="Times New Roman" w:hAnsi="Times New Roman"/>
                <w:color w:val="000000"/>
              </w:rPr>
            </w:pPr>
            <w:r>
              <w:rPr>
                <w:rFonts w:ascii="Times New Roman" w:hAnsi="Times New Roman"/>
                <w:color w:val="000000"/>
              </w:rPr>
              <w:t>10</w:t>
            </w:r>
          </w:p>
        </w:tc>
        <w:tc>
          <w:tcPr>
            <w:tcW w:w="3048" w:type="pct"/>
            <w:vAlign w:val="center"/>
          </w:tcPr>
          <w:p>
            <w:pPr>
              <w:adjustRightInd w:val="0"/>
              <w:snapToGrid w:val="0"/>
              <w:rPr>
                <w:rFonts w:ascii="Times New Roman" w:hAnsi="Times New Roman"/>
                <w:color w:val="000000"/>
              </w:rPr>
            </w:pPr>
            <w:r>
              <w:rPr>
                <w:rFonts w:ascii="Times New Roman" w:hAnsi="Times New Roman"/>
                <w:color w:val="000000"/>
              </w:rPr>
              <w:t>珍稀水生野生动物临时救护。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6" w:type="pct"/>
            <w:vAlign w:val="center"/>
          </w:tcPr>
          <w:p>
            <w:pPr>
              <w:adjustRightInd w:val="0"/>
              <w:snapToGrid w:val="0"/>
              <w:rPr>
                <w:rFonts w:ascii="Times New Roman" w:hAnsi="Times New Roman"/>
                <w:color w:val="000000"/>
              </w:rPr>
            </w:pPr>
            <w:r>
              <w:rPr>
                <w:rFonts w:hint="eastAsia" w:ascii="Times New Roman" w:hAnsi="Times New Roman"/>
                <w:color w:val="000000"/>
                <w:lang w:eastAsia="zh-CN"/>
              </w:rPr>
              <w:t>六</w:t>
            </w:r>
            <w:r>
              <w:rPr>
                <w:rFonts w:ascii="Times New Roman" w:hAnsi="Times New Roman"/>
                <w:color w:val="000000"/>
              </w:rPr>
              <w:t>、人工增殖放流</w:t>
            </w:r>
          </w:p>
        </w:tc>
        <w:tc>
          <w:tcPr>
            <w:tcW w:w="566" w:type="pct"/>
            <w:vAlign w:val="center"/>
          </w:tcPr>
          <w:p>
            <w:pPr>
              <w:adjustRightInd w:val="0"/>
              <w:snapToGrid w:val="0"/>
              <w:jc w:val="center"/>
              <w:rPr>
                <w:rFonts w:ascii="Times New Roman" w:hAnsi="Times New Roman"/>
                <w:color w:val="000000"/>
              </w:rPr>
            </w:pPr>
            <w:r>
              <w:rPr>
                <w:rFonts w:ascii="Times New Roman" w:hAnsi="Times New Roman"/>
                <w:color w:val="000000"/>
              </w:rPr>
              <w:t>3</w:t>
            </w:r>
          </w:p>
        </w:tc>
        <w:tc>
          <w:tcPr>
            <w:tcW w:w="610" w:type="pct"/>
            <w:vAlign w:val="center"/>
          </w:tcPr>
          <w:p>
            <w:pPr>
              <w:adjustRightInd w:val="0"/>
              <w:snapToGrid w:val="0"/>
              <w:jc w:val="center"/>
              <w:rPr>
                <w:rFonts w:ascii="Times New Roman" w:hAnsi="Times New Roman"/>
                <w:color w:val="000000"/>
              </w:rPr>
            </w:pPr>
            <w:r>
              <w:rPr>
                <w:rFonts w:ascii="Times New Roman" w:hAnsi="Times New Roman"/>
                <w:color w:val="000000"/>
              </w:rPr>
              <w:t>101.4</w:t>
            </w:r>
          </w:p>
        </w:tc>
        <w:tc>
          <w:tcPr>
            <w:tcW w:w="3048" w:type="pct"/>
            <w:vAlign w:val="center"/>
          </w:tcPr>
          <w:p>
            <w:pPr>
              <w:adjustRightInd w:val="0"/>
              <w:snapToGrid w:val="0"/>
              <w:rPr>
                <w:rFonts w:ascii="Times New Roman" w:hAnsi="Times New Roman"/>
                <w:color w:val="000000"/>
              </w:rPr>
            </w:pPr>
            <w:r>
              <w:rPr>
                <w:rFonts w:ascii="Times New Roman" w:hAnsi="Times New Roman"/>
                <w:color w:val="000000"/>
              </w:rPr>
              <w:t>拟在擂鼓台江段，首次放流时间为工程运行期第一年4月。鱼类放流每年放流210万尾，共放流苗种630万尾，3年共需经费110万元。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6" w:type="pct"/>
            <w:vAlign w:val="center"/>
          </w:tcPr>
          <w:p>
            <w:pPr>
              <w:adjustRightInd w:val="0"/>
              <w:snapToGrid w:val="0"/>
              <w:rPr>
                <w:rFonts w:ascii="Times New Roman" w:hAnsi="Times New Roman"/>
                <w:color w:val="000000"/>
              </w:rPr>
            </w:pPr>
            <w:r>
              <w:rPr>
                <w:rFonts w:hint="eastAsia" w:ascii="Times New Roman" w:hAnsi="Times New Roman"/>
                <w:color w:val="000000"/>
                <w:lang w:eastAsia="zh-CN"/>
              </w:rPr>
              <w:t>七</w:t>
            </w:r>
            <w:r>
              <w:rPr>
                <w:rFonts w:ascii="Times New Roman" w:hAnsi="Times New Roman"/>
                <w:color w:val="000000"/>
              </w:rPr>
              <w:t>、水生生物监测</w:t>
            </w:r>
          </w:p>
        </w:tc>
        <w:tc>
          <w:tcPr>
            <w:tcW w:w="566" w:type="pct"/>
            <w:vAlign w:val="center"/>
          </w:tcPr>
          <w:p>
            <w:pPr>
              <w:adjustRightInd w:val="0"/>
              <w:snapToGrid w:val="0"/>
              <w:jc w:val="center"/>
              <w:rPr>
                <w:rFonts w:ascii="Times New Roman" w:hAnsi="Times New Roman"/>
                <w:color w:val="000000"/>
              </w:rPr>
            </w:pPr>
            <w:r>
              <w:rPr>
                <w:rFonts w:ascii="Times New Roman" w:hAnsi="Times New Roman"/>
                <w:color w:val="000000"/>
              </w:rPr>
              <w:t>3</w:t>
            </w:r>
          </w:p>
        </w:tc>
        <w:tc>
          <w:tcPr>
            <w:tcW w:w="610" w:type="pct"/>
            <w:vAlign w:val="center"/>
          </w:tcPr>
          <w:p>
            <w:pPr>
              <w:adjustRightInd w:val="0"/>
              <w:snapToGrid w:val="0"/>
              <w:jc w:val="center"/>
              <w:rPr>
                <w:rFonts w:hint="default" w:ascii="Times New Roman" w:hAnsi="Times New Roman" w:eastAsia="宋体"/>
                <w:color w:val="000000"/>
                <w:lang w:val="en-US" w:eastAsia="zh-CN"/>
              </w:rPr>
            </w:pPr>
            <w:r>
              <w:rPr>
                <w:rFonts w:hint="eastAsia" w:ascii="Times New Roman" w:hAnsi="Times New Roman"/>
                <w:color w:val="000000"/>
                <w:lang w:val="en-US" w:eastAsia="zh-CN"/>
              </w:rPr>
              <w:t>45</w:t>
            </w:r>
          </w:p>
        </w:tc>
        <w:tc>
          <w:tcPr>
            <w:tcW w:w="3048" w:type="pct"/>
            <w:vAlign w:val="center"/>
          </w:tcPr>
          <w:p>
            <w:pPr>
              <w:adjustRightInd w:val="0"/>
              <w:snapToGrid w:val="0"/>
              <w:rPr>
                <w:rFonts w:ascii="Times New Roman" w:hAnsi="Times New Roman"/>
                <w:color w:val="000000"/>
              </w:rPr>
            </w:pPr>
            <w:r>
              <w:rPr>
                <w:rFonts w:ascii="Times New Roman" w:hAnsi="Times New Roman"/>
                <w:color w:val="000000"/>
              </w:rPr>
              <w:t>码头、码头上游、码头下游3个资源监测点位。鱼类资源及水生生物监测时间为施工期1年，运行期2年，费用为每年</w:t>
            </w:r>
            <w:r>
              <w:rPr>
                <w:rFonts w:hint="eastAsia" w:ascii="Times New Roman" w:hAnsi="Times New Roman"/>
                <w:color w:val="000000"/>
                <w:lang w:val="en-US" w:eastAsia="zh-CN"/>
              </w:rPr>
              <w:t>15</w:t>
            </w:r>
            <w:r>
              <w:rPr>
                <w:rFonts w:ascii="Times New Roman" w:hAnsi="Times New Roman"/>
                <w:color w:val="000000"/>
              </w:rPr>
              <w:t>万元，共</w:t>
            </w:r>
            <w:r>
              <w:rPr>
                <w:rFonts w:hint="eastAsia" w:ascii="Times New Roman" w:hAnsi="Times New Roman"/>
                <w:color w:val="000000"/>
                <w:lang w:val="en-US" w:eastAsia="zh-CN"/>
              </w:rPr>
              <w:t>45</w:t>
            </w:r>
            <w:r>
              <w:rPr>
                <w:rFonts w:ascii="Times New Roman" w:hAnsi="Times New Roman"/>
                <w:color w:val="000000"/>
              </w:rPr>
              <w:t>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6" w:type="pct"/>
            <w:vAlign w:val="center"/>
          </w:tcPr>
          <w:p>
            <w:pPr>
              <w:adjustRightInd w:val="0"/>
              <w:snapToGrid w:val="0"/>
              <w:rPr>
                <w:rFonts w:hint="eastAsia" w:ascii="Times New Roman" w:hAnsi="Times New Roman" w:eastAsia="宋体"/>
                <w:color w:val="000000"/>
                <w:lang w:eastAsia="zh-CN"/>
              </w:rPr>
            </w:pPr>
            <w:r>
              <w:rPr>
                <w:rFonts w:hint="eastAsia" w:ascii="Times New Roman" w:hAnsi="Times New Roman"/>
                <w:color w:val="000000"/>
                <w:lang w:eastAsia="zh-CN"/>
              </w:rPr>
              <w:t>八、水生专题竣工验收</w:t>
            </w:r>
          </w:p>
        </w:tc>
        <w:tc>
          <w:tcPr>
            <w:tcW w:w="566" w:type="pct"/>
            <w:vAlign w:val="center"/>
          </w:tcPr>
          <w:p>
            <w:pPr>
              <w:adjustRightInd w:val="0"/>
              <w:snapToGrid w:val="0"/>
              <w:jc w:val="center"/>
              <w:rPr>
                <w:rFonts w:hint="eastAsia" w:ascii="Times New Roman" w:hAnsi="Times New Roman" w:eastAsia="宋体"/>
                <w:color w:val="000000"/>
                <w:lang w:val="en-US" w:eastAsia="zh-CN"/>
              </w:rPr>
            </w:pPr>
            <w:r>
              <w:rPr>
                <w:rFonts w:hint="eastAsia" w:ascii="Times New Roman" w:hAnsi="Times New Roman"/>
                <w:color w:val="000000"/>
                <w:lang w:val="en-US" w:eastAsia="zh-CN"/>
              </w:rPr>
              <w:t>/</w:t>
            </w:r>
          </w:p>
        </w:tc>
        <w:tc>
          <w:tcPr>
            <w:tcW w:w="610" w:type="pct"/>
            <w:vAlign w:val="center"/>
          </w:tcPr>
          <w:p>
            <w:pPr>
              <w:adjustRightInd w:val="0"/>
              <w:snapToGrid w:val="0"/>
              <w:jc w:val="center"/>
              <w:rPr>
                <w:rFonts w:hint="default" w:ascii="Times New Roman" w:hAnsi="Times New Roman"/>
                <w:color w:val="000000"/>
                <w:lang w:val="en-US" w:eastAsia="zh-CN"/>
              </w:rPr>
            </w:pPr>
            <w:r>
              <w:rPr>
                <w:rFonts w:hint="eastAsia" w:ascii="Times New Roman" w:hAnsi="Times New Roman"/>
                <w:color w:val="000000"/>
                <w:lang w:val="en-US" w:eastAsia="zh-CN"/>
              </w:rPr>
              <w:t>13</w:t>
            </w:r>
          </w:p>
        </w:tc>
        <w:tc>
          <w:tcPr>
            <w:tcW w:w="3048" w:type="pct"/>
            <w:vAlign w:val="center"/>
          </w:tcPr>
          <w:p>
            <w:pPr>
              <w:adjustRightInd w:val="0"/>
              <w:snapToGrid w:val="0"/>
              <w:rPr>
                <w:rFonts w:hint="eastAsia" w:ascii="Times New Roman" w:hAnsi="Times New Roman" w:eastAsia="宋体"/>
                <w:color w:val="000000"/>
                <w:lang w:eastAsia="zh-CN"/>
              </w:rPr>
            </w:pPr>
            <w:r>
              <w:rPr>
                <w:rFonts w:hint="eastAsia" w:ascii="Times New Roman" w:hAnsi="Times New Roman"/>
                <w:color w:val="000000"/>
                <w:lang w:eastAsia="zh-CN"/>
              </w:rPr>
              <w:t>水生态保护资料汇总、专题竣工验收报告编制等。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6" w:type="pct"/>
            <w:vAlign w:val="center"/>
          </w:tcPr>
          <w:p>
            <w:pPr>
              <w:adjustRightInd w:val="0"/>
              <w:snapToGrid w:val="0"/>
              <w:jc w:val="center"/>
              <w:rPr>
                <w:rFonts w:ascii="Times New Roman" w:hAnsi="Times New Roman"/>
                <w:b/>
                <w:color w:val="000000"/>
              </w:rPr>
            </w:pPr>
            <w:r>
              <w:rPr>
                <w:rFonts w:ascii="Times New Roman" w:hAnsi="Times New Roman"/>
                <w:b/>
                <w:color w:val="000000"/>
              </w:rPr>
              <w:t>合计</w:t>
            </w:r>
          </w:p>
        </w:tc>
        <w:tc>
          <w:tcPr>
            <w:tcW w:w="566" w:type="pct"/>
            <w:vAlign w:val="center"/>
          </w:tcPr>
          <w:p>
            <w:pPr>
              <w:adjustRightInd w:val="0"/>
              <w:snapToGrid w:val="0"/>
              <w:jc w:val="center"/>
              <w:rPr>
                <w:rFonts w:ascii="Times New Roman" w:hAnsi="Times New Roman"/>
                <w:b/>
                <w:color w:val="000000"/>
              </w:rPr>
            </w:pPr>
          </w:p>
        </w:tc>
        <w:tc>
          <w:tcPr>
            <w:tcW w:w="610" w:type="pct"/>
            <w:vAlign w:val="center"/>
          </w:tcPr>
          <w:p>
            <w:pPr>
              <w:adjustRightInd w:val="0"/>
              <w:snapToGrid w:val="0"/>
              <w:jc w:val="center"/>
              <w:rPr>
                <w:rFonts w:ascii="Times New Roman" w:hAnsi="Times New Roman"/>
                <w:b/>
                <w:color w:val="000000"/>
                <w:highlight w:val="none"/>
              </w:rPr>
            </w:pPr>
            <w:r>
              <w:rPr>
                <w:rFonts w:ascii="Times New Roman" w:hAnsi="Times New Roman"/>
                <w:b/>
                <w:color w:val="000000"/>
                <w:highlight w:val="none"/>
              </w:rPr>
              <w:t>2</w:t>
            </w:r>
            <w:r>
              <w:rPr>
                <w:rFonts w:hint="eastAsia" w:ascii="Times New Roman" w:hAnsi="Times New Roman"/>
                <w:b/>
                <w:color w:val="000000"/>
                <w:highlight w:val="none"/>
                <w:lang w:val="en-US" w:eastAsia="zh-CN"/>
              </w:rPr>
              <w:t>09</w:t>
            </w:r>
            <w:r>
              <w:rPr>
                <w:rFonts w:ascii="Times New Roman" w:hAnsi="Times New Roman"/>
                <w:b/>
                <w:color w:val="000000"/>
                <w:highlight w:val="none"/>
              </w:rPr>
              <w:t>.9</w:t>
            </w:r>
          </w:p>
        </w:tc>
        <w:tc>
          <w:tcPr>
            <w:tcW w:w="3048" w:type="pct"/>
            <w:vAlign w:val="center"/>
          </w:tcPr>
          <w:p>
            <w:pPr>
              <w:adjustRightInd w:val="0"/>
              <w:snapToGrid w:val="0"/>
              <w:rPr>
                <w:rFonts w:ascii="Times New Roman" w:hAnsi="Times New Roman"/>
                <w:color w:val="000000"/>
              </w:rPr>
            </w:pPr>
          </w:p>
        </w:tc>
      </w:tr>
    </w:tbl>
    <w:p>
      <w:pPr>
        <w:spacing w:line="360" w:lineRule="auto"/>
        <w:rPr>
          <w:rFonts w:ascii="Times New Roman" w:hAnsi="Times New Roman" w:eastAsiaTheme="minorEastAsia"/>
          <w:sz w:val="24"/>
          <w:szCs w:val="24"/>
        </w:rPr>
      </w:pPr>
    </w:p>
    <w:p>
      <w:pPr>
        <w:pStyle w:val="6"/>
        <w:ind w:firstLine="480"/>
        <w:rPr>
          <w:rFonts w:cs="Times New Roman" w:eastAsiaTheme="minorEastAsia"/>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2"/>
        <w:spacing w:line="480" w:lineRule="auto"/>
        <w:ind w:left="431" w:hanging="431"/>
        <w:jc w:val="center"/>
        <w:rPr>
          <w:rFonts w:eastAsiaTheme="minorEastAsia"/>
          <w:b/>
          <w:color w:val="000000" w:themeColor="text1"/>
          <w:sz w:val="32"/>
          <w:szCs w:val="32"/>
          <w14:textFill>
            <w14:solidFill>
              <w14:schemeClr w14:val="tx1"/>
            </w14:solidFill>
          </w14:textFill>
        </w:rPr>
      </w:pPr>
      <w:bookmarkStart w:id="307" w:name="_Toc75346553"/>
      <w:bookmarkEnd w:id="307"/>
      <w:bookmarkStart w:id="308" w:name="_Toc198447187"/>
      <w:bookmarkEnd w:id="308"/>
      <w:bookmarkStart w:id="309" w:name="_Toc103214758"/>
      <w:bookmarkEnd w:id="309"/>
      <w:bookmarkStart w:id="310" w:name="_Toc292191961"/>
      <w:bookmarkEnd w:id="310"/>
      <w:bookmarkStart w:id="311" w:name="_Toc298750593"/>
      <w:bookmarkEnd w:id="311"/>
      <w:bookmarkStart w:id="312" w:name="_Toc66000379"/>
      <w:bookmarkEnd w:id="312"/>
      <w:bookmarkStart w:id="313" w:name="_Toc237075160"/>
      <w:bookmarkEnd w:id="313"/>
      <w:bookmarkStart w:id="314" w:name="_Toc65582345"/>
      <w:bookmarkEnd w:id="314"/>
      <w:bookmarkStart w:id="315" w:name="_Toc286754913"/>
      <w:bookmarkEnd w:id="315"/>
      <w:bookmarkStart w:id="316" w:name="_Toc298750458"/>
      <w:bookmarkEnd w:id="316"/>
      <w:bookmarkStart w:id="317" w:name="_Toc106965890"/>
      <w:bookmarkEnd w:id="317"/>
      <w:bookmarkStart w:id="318" w:name="_Toc187830071"/>
      <w:bookmarkEnd w:id="318"/>
      <w:bookmarkStart w:id="319" w:name="_Toc222106698"/>
      <w:bookmarkEnd w:id="319"/>
      <w:bookmarkStart w:id="320" w:name="_Toc203544024"/>
      <w:bookmarkEnd w:id="320"/>
      <w:bookmarkStart w:id="321" w:name="_Toc371415957"/>
      <w:bookmarkEnd w:id="321"/>
      <w:bookmarkStart w:id="322" w:name="_Toc19297"/>
      <w:r>
        <w:rPr>
          <w:rFonts w:eastAsiaTheme="minorEastAsia"/>
          <w:b/>
          <w:color w:val="000000" w:themeColor="text1"/>
          <w:sz w:val="32"/>
          <w:szCs w:val="32"/>
          <w14:textFill>
            <w14:solidFill>
              <w14:schemeClr w14:val="tx1"/>
            </w14:solidFill>
          </w14:textFill>
        </w:rPr>
        <w:t>环境影响减缓措施及技术经济论证</w:t>
      </w:r>
      <w:bookmarkEnd w:id="322"/>
    </w:p>
    <w:p>
      <w:pPr>
        <w:pStyle w:val="3"/>
        <w:rPr>
          <w:rFonts w:ascii="Times New Roman" w:hAnsi="Times New Roman" w:eastAsiaTheme="minorEastAsia"/>
          <w:b/>
        </w:rPr>
      </w:pPr>
      <w:bookmarkStart w:id="323" w:name="_Toc292191962"/>
      <w:bookmarkEnd w:id="323"/>
      <w:bookmarkStart w:id="324" w:name="_Toc298750459"/>
      <w:bookmarkEnd w:id="324"/>
      <w:bookmarkStart w:id="325" w:name="_Toc237075161"/>
      <w:bookmarkEnd w:id="325"/>
      <w:bookmarkStart w:id="326" w:name="_Toc298750594"/>
      <w:bookmarkEnd w:id="326"/>
      <w:bookmarkStart w:id="327" w:name="_Toc198447188"/>
      <w:bookmarkEnd w:id="327"/>
      <w:bookmarkStart w:id="328" w:name="_Toc195379806"/>
      <w:bookmarkEnd w:id="328"/>
      <w:bookmarkStart w:id="329" w:name="_Toc286754914"/>
      <w:bookmarkEnd w:id="329"/>
      <w:bookmarkStart w:id="330" w:name="_Toc17068"/>
      <w:r>
        <w:rPr>
          <w:rFonts w:ascii="Times New Roman" w:hAnsi="Times New Roman" w:eastAsiaTheme="minorEastAsia"/>
          <w:b/>
        </w:rPr>
        <w:t>施工期污染物防治措施</w:t>
      </w:r>
      <w:bookmarkEnd w:id="330"/>
    </w:p>
    <w:p>
      <w:pPr>
        <w:pStyle w:val="4"/>
        <w:rPr>
          <w:rFonts w:eastAsiaTheme="minorEastAsia"/>
          <w:color w:val="000000" w:themeColor="text1"/>
          <w14:textFill>
            <w14:solidFill>
              <w14:schemeClr w14:val="tx1"/>
            </w14:solidFill>
          </w14:textFill>
        </w:rPr>
      </w:pPr>
      <w:bookmarkStart w:id="331" w:name="6.1.1大气污染防治措施"/>
      <w:bookmarkEnd w:id="331"/>
      <w:r>
        <w:rPr>
          <w:rFonts w:eastAsiaTheme="minorEastAsia"/>
          <w:color w:val="000000" w:themeColor="text1"/>
          <w14:textFill>
            <w14:solidFill>
              <w14:schemeClr w14:val="tx1"/>
            </w14:solidFill>
          </w14:textFill>
        </w:rPr>
        <w:t>水环境污染防治措施</w:t>
      </w:r>
    </w:p>
    <w:p>
      <w:pPr>
        <w:autoSpaceDE w:val="0"/>
        <w:autoSpaceDN w:val="0"/>
        <w:adjustRightInd w:val="0"/>
        <w:snapToGrid w:val="0"/>
        <w:spacing w:line="360" w:lineRule="auto"/>
        <w:ind w:firstLine="480" w:firstLineChars="200"/>
        <w:rPr>
          <w:rFonts w:ascii="Times New Roman" w:hAnsi="Times New Roman" w:eastAsiaTheme="minorEastAsia"/>
          <w:color w:val="FF0000"/>
          <w:kern w:val="0"/>
          <w:sz w:val="24"/>
          <w:szCs w:val="24"/>
          <w:u w:val="single"/>
        </w:rPr>
      </w:pPr>
      <w:r>
        <w:rPr>
          <w:rFonts w:ascii="Times New Roman" w:hAnsi="Times New Roman" w:eastAsiaTheme="minorEastAsia"/>
          <w:color w:val="FF0000"/>
          <w:kern w:val="0"/>
          <w:sz w:val="24"/>
          <w:szCs w:val="24"/>
          <w:u w:val="single"/>
        </w:rPr>
        <w:t>1、水下施工中SS产生量则取决于施工机械、施工方法、土石质量和粒度分布情况及长江水文条件等。本项目码头前沿水深条件好，不需要疏浚工程量，码头施工作业对底泥的搅动的范围很小。</w:t>
      </w:r>
    </w:p>
    <w:p>
      <w:pPr>
        <w:autoSpaceDE w:val="0"/>
        <w:autoSpaceDN w:val="0"/>
        <w:adjustRightInd w:val="0"/>
        <w:snapToGrid w:val="0"/>
        <w:spacing w:line="360" w:lineRule="auto"/>
        <w:ind w:firstLine="480" w:firstLineChars="200"/>
        <w:rPr>
          <w:rFonts w:ascii="Times New Roman" w:hAnsi="Times New Roman" w:eastAsiaTheme="minorEastAsia"/>
          <w:color w:val="FF0000"/>
          <w:kern w:val="0"/>
          <w:sz w:val="24"/>
          <w:szCs w:val="24"/>
          <w:u w:val="single"/>
        </w:rPr>
      </w:pPr>
      <w:r>
        <w:rPr>
          <w:rFonts w:ascii="Times New Roman" w:hAnsi="Times New Roman" w:eastAsiaTheme="minorEastAsia"/>
          <w:color w:val="FF0000"/>
          <w:kern w:val="0"/>
          <w:sz w:val="24"/>
          <w:szCs w:val="24"/>
          <w:u w:val="single"/>
        </w:rPr>
        <w:t>2、浮码头泊位及引桥等的钻孔灌注桩施工时在内堤开挖式泥浆池四周设置土堤围堰，围堰高度约0.3m，在溢流口设置土工布，泥浆沉淀池设置雨天遮盖装置，该措施的落实可防止钻孔施工时因降雨而产生的悬浮泥沙对长江水体的污染影响。</w:t>
      </w:r>
    </w:p>
    <w:p>
      <w:pPr>
        <w:autoSpaceDE w:val="0"/>
        <w:autoSpaceDN w:val="0"/>
        <w:adjustRightInd w:val="0"/>
        <w:snapToGrid w:val="0"/>
        <w:spacing w:line="360" w:lineRule="auto"/>
        <w:ind w:firstLine="480" w:firstLineChars="200"/>
        <w:rPr>
          <w:rFonts w:ascii="Times New Roman" w:hAnsi="Times New Roman" w:eastAsiaTheme="minorEastAsia"/>
          <w:color w:val="FF0000"/>
          <w:kern w:val="0"/>
          <w:sz w:val="24"/>
          <w:szCs w:val="24"/>
          <w:u w:val="single"/>
        </w:rPr>
      </w:pPr>
      <w:r>
        <w:rPr>
          <w:rFonts w:ascii="Times New Roman" w:hAnsi="Times New Roman" w:eastAsiaTheme="minorEastAsia"/>
          <w:color w:val="FF0000"/>
          <w:kern w:val="0"/>
          <w:sz w:val="24"/>
          <w:szCs w:val="24"/>
          <w:u w:val="single"/>
        </w:rPr>
        <w:t>3、施工船舶舱底油污水应遵守交通部2015年25号令《中华人民共和国防治船舶污染内河水域环境管理规定》“第十三条：在内河水域航行、停泊和作业的船舶，不得违反法律、行政法规、规范、标准和交通运输部的规定向内河水域排放污染物。不符合排放规定的船舶污染物应当交由港口、码头、装卸站或者有资质的单位接收处理。”本码头所在水域属于</w:t>
      </w:r>
      <w:r>
        <w:rPr>
          <w:rFonts w:hint="eastAsia" w:ascii="宋体" w:hAnsi="宋体" w:cs="宋体"/>
          <w:color w:val="FF0000"/>
          <w:kern w:val="0"/>
          <w:sz w:val="24"/>
          <w:szCs w:val="24"/>
          <w:u w:val="single"/>
          <w:lang w:eastAsia="ja-JP"/>
        </w:rPr>
        <w:t>Ⅲ</w:t>
      </w:r>
      <w:r>
        <w:rPr>
          <w:rFonts w:ascii="Times New Roman" w:hAnsi="Times New Roman" w:eastAsiaTheme="minorEastAsia"/>
          <w:color w:val="FF0000"/>
          <w:kern w:val="0"/>
          <w:sz w:val="24"/>
          <w:szCs w:val="24"/>
          <w:u w:val="single"/>
        </w:rPr>
        <w:t>类水域，不允许排放任何废水，因此项目施工船舶舱底油污水不得在码头所在江段排放，确需排放的由当地海事部门认可的有资质的船舶接收处理。施工期船舶上施工人员生活污水不得在本河段水域排放，生活污水经临时化粪池收集，再通过</w:t>
      </w:r>
      <w:r>
        <w:rPr>
          <w:rFonts w:ascii="Times New Roman" w:hAnsi="Times New Roman" w:eastAsiaTheme="minorEastAsia"/>
          <w:color w:val="FF0000"/>
          <w:sz w:val="24"/>
          <w:szCs w:val="24"/>
          <w:u w:val="single"/>
        </w:rPr>
        <w:t>污水管网进入华能电厂厂区，用作绿化用水，不排入长江</w:t>
      </w:r>
      <w:r>
        <w:rPr>
          <w:rFonts w:ascii="Times New Roman" w:hAnsi="Times New Roman" w:eastAsiaTheme="minorEastAsia"/>
          <w:color w:val="FF0000"/>
          <w:kern w:val="0"/>
          <w:sz w:val="24"/>
          <w:szCs w:val="24"/>
          <w:u w:val="single"/>
        </w:rPr>
        <w:t>。</w:t>
      </w:r>
    </w:p>
    <w:p>
      <w:pPr>
        <w:autoSpaceDE w:val="0"/>
        <w:autoSpaceDN w:val="0"/>
        <w:adjustRightInd w:val="0"/>
        <w:snapToGrid w:val="0"/>
        <w:spacing w:line="360" w:lineRule="auto"/>
        <w:ind w:firstLine="480" w:firstLineChars="200"/>
        <w:rPr>
          <w:rFonts w:ascii="Times New Roman" w:hAnsi="Times New Roman" w:eastAsiaTheme="minorEastAsia"/>
          <w:color w:val="FF0000"/>
          <w:kern w:val="0"/>
          <w:sz w:val="24"/>
          <w:szCs w:val="24"/>
          <w:u w:val="single"/>
        </w:rPr>
      </w:pPr>
      <w:r>
        <w:rPr>
          <w:rFonts w:ascii="Times New Roman" w:hAnsi="Times New Roman" w:eastAsiaTheme="minorEastAsia"/>
          <w:color w:val="FF0000"/>
          <w:kern w:val="0"/>
          <w:sz w:val="24"/>
          <w:szCs w:val="24"/>
          <w:u w:val="single"/>
        </w:rPr>
        <w:t>4、按照航运部门的有关规定，办理水上作业公告，施工船舶悬挂信号标志，保证航运船舶安全及施工船舶作业安全，避免碰撞等交通安全事故发生。</w:t>
      </w:r>
    </w:p>
    <w:p>
      <w:pPr>
        <w:autoSpaceDE w:val="0"/>
        <w:autoSpaceDN w:val="0"/>
        <w:adjustRightInd w:val="0"/>
        <w:snapToGrid w:val="0"/>
        <w:spacing w:line="360" w:lineRule="auto"/>
        <w:ind w:firstLine="480" w:firstLineChars="200"/>
        <w:rPr>
          <w:rFonts w:ascii="Times New Roman" w:hAnsi="Times New Roman" w:eastAsiaTheme="minorEastAsia"/>
          <w:color w:val="FF0000"/>
          <w:kern w:val="0"/>
          <w:sz w:val="24"/>
          <w:szCs w:val="24"/>
          <w:u w:val="single"/>
        </w:rPr>
      </w:pPr>
      <w:r>
        <w:rPr>
          <w:rFonts w:ascii="Times New Roman" w:hAnsi="Times New Roman" w:eastAsiaTheme="minorEastAsia"/>
          <w:color w:val="FF0000"/>
          <w:kern w:val="0"/>
          <w:sz w:val="24"/>
          <w:szCs w:val="24"/>
          <w:u w:val="single"/>
        </w:rPr>
        <w:t>5、为减少施工船舶及设备施工过程中泄漏油污对长江水体造成污染，施工单位在施工过程中需要在施工水域四周设置围油栏收集泄漏油污，再通过吸油毡清除油污，废油毡交有资质单位处理。</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大气污染防治措施</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项目码头施工期产生的大气污染物主要为开挖平整、材料运输，砂石料装卸等过程产生的扬尘，以及施工船舶、施工机械设备、运输车辆排放的尾气等。为最大限度降低施工期对大气环境的影响，建设单位拟采取如下措施：</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1、施工前先修筑厂界围墙或简易围屏，如用瓦楞板或聚丙烯布等在施工区四周建高2.5~3.0m的围幛，减少扬尘的逸散。</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2、建设过程中使用的建筑材料，在装卸、堆放、拌合过程中将会产生大量的粉尘外逸，施工单位必须加强施工区的规划管理。建筑材料（主要是砂子、石子）尽量不大量的堆存，少量堆存将其置于较为空旷的位置，并进行遮挡，减少物料起尘对周边环境的影响。</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3、在施工现场和施工车辆运输道路每天应多次撒水，保持工地有一定的湿度。</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4、对港区道路、码头路面及时清扫并洒水，防止货物转运过程中的二次起尘。</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5、施工车辆运输砂土、水泥、碎石等易起尘的物料要加盖蓬布、控制车速，防止物料洒落和产生扬尘；卸车时应尽量减小落差，减少扬尘；进出施工现场车辆将导致地面扬尘，对陆域施工现场及运输道路应定期清扫洒水，保持车辆出入口路面清洁、润湿，以减少施工车辆引起的地面扬尘污染，并尽量要求运输车辆减缓行车速度。施工现场还应铺设临时的施工便道，铺设碎石或细沙，并尽量进行夯实硬化处理，以减少运输车辆轮胎带泥上路和造成二次扬尘。</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6、加强对施工机械、车辆的维修保养，禁止以柴油为燃料的施工机械超负荷工作，减少尾气排放。</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因此，以上施工期防治施工扬尘、施工机械设备、车辆燃油废气的措施可以起到防治污染物对拟建项目周边环境空气质量状况的不良影响，在经济、技术上均具有较高的可行性和可操作性。</w:t>
      </w:r>
    </w:p>
    <w:p>
      <w:pPr>
        <w:pStyle w:val="4"/>
        <w:rPr>
          <w:rFonts w:eastAsiaTheme="minorEastAsia"/>
          <w:color w:val="000000" w:themeColor="text1"/>
          <w14:textFill>
            <w14:solidFill>
              <w14:schemeClr w14:val="tx1"/>
            </w14:solidFill>
          </w14:textFill>
        </w:rPr>
      </w:pPr>
      <w:bookmarkStart w:id="332" w:name="6.1.3噪声污染防治措施"/>
      <w:bookmarkEnd w:id="332"/>
      <w:r>
        <w:rPr>
          <w:rFonts w:eastAsiaTheme="minorEastAsia"/>
          <w:color w:val="000000" w:themeColor="text1"/>
          <w14:textFill>
            <w14:solidFill>
              <w14:schemeClr w14:val="tx1"/>
            </w14:solidFill>
          </w14:textFill>
        </w:rPr>
        <w:t>噪声污染防治措施</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施工噪声控制措施主要是对施工设备、施工时间和施工人员的控制和管理。</w:t>
      </w:r>
    </w:p>
    <w:p>
      <w:pPr>
        <w:autoSpaceDE w:val="0"/>
        <w:autoSpaceDN w:val="0"/>
        <w:adjustRightInd w:val="0"/>
        <w:snapToGrid w:val="0"/>
        <w:spacing w:line="360" w:lineRule="auto"/>
        <w:ind w:firstLine="482" w:firstLineChars="200"/>
        <w:rPr>
          <w:rFonts w:ascii="Times New Roman" w:hAnsi="Times New Roman" w:eastAsiaTheme="minorEastAsia"/>
          <w:b/>
          <w:kern w:val="0"/>
          <w:sz w:val="24"/>
          <w:szCs w:val="24"/>
        </w:rPr>
      </w:pPr>
      <w:r>
        <w:rPr>
          <w:rFonts w:ascii="Times New Roman" w:hAnsi="Times New Roman" w:eastAsiaTheme="minorEastAsia"/>
          <w:b/>
          <w:kern w:val="0"/>
          <w:sz w:val="24"/>
          <w:szCs w:val="24"/>
        </w:rPr>
        <w:t>1、降低声源的噪声强度</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⑴</w:t>
      </w:r>
      <w:r>
        <w:rPr>
          <w:rFonts w:ascii="Times New Roman" w:hAnsi="Times New Roman" w:eastAsiaTheme="minorEastAsia"/>
          <w:kern w:val="0"/>
          <w:sz w:val="24"/>
          <w:szCs w:val="24"/>
        </w:rPr>
        <w:t xml:space="preserve"> 采用低噪声施工机械设备和先进的施工技术是控制施工期噪声有效手段之一，淘汰落后的施工设备；</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⑵</w:t>
      </w:r>
      <w:r>
        <w:rPr>
          <w:rFonts w:ascii="Times New Roman" w:hAnsi="Times New Roman" w:eastAsiaTheme="minorEastAsia"/>
          <w:kern w:val="0"/>
          <w:sz w:val="24"/>
          <w:szCs w:val="24"/>
        </w:rPr>
        <w:t xml:space="preserve"> 对有固定基座的设备应作单独地基处理，以减少地面振动与结构噪声的传递；</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⑶</w:t>
      </w:r>
      <w:r>
        <w:rPr>
          <w:rFonts w:ascii="Times New Roman" w:hAnsi="Times New Roman" w:eastAsiaTheme="minorEastAsia"/>
          <w:kern w:val="0"/>
          <w:sz w:val="24"/>
          <w:szCs w:val="24"/>
        </w:rPr>
        <w:t xml:space="preserve"> 模板、脚手架支拆时，应做到轻拿轻放，严禁抛掷；</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⑷</w:t>
      </w:r>
      <w:r>
        <w:rPr>
          <w:rFonts w:ascii="Times New Roman" w:hAnsi="Times New Roman" w:eastAsiaTheme="minorEastAsia"/>
          <w:kern w:val="0"/>
          <w:sz w:val="24"/>
          <w:szCs w:val="24"/>
        </w:rPr>
        <w:t xml:space="preserve"> 对机械设备进行定期维修，使其保持良好的运行工况，严禁带故障工作造成噪声排放超标。</w:t>
      </w:r>
    </w:p>
    <w:p>
      <w:pPr>
        <w:autoSpaceDE w:val="0"/>
        <w:autoSpaceDN w:val="0"/>
        <w:adjustRightInd w:val="0"/>
        <w:snapToGrid w:val="0"/>
        <w:spacing w:line="360" w:lineRule="auto"/>
        <w:ind w:firstLine="482" w:firstLineChars="200"/>
        <w:rPr>
          <w:rFonts w:ascii="Times New Roman" w:hAnsi="Times New Roman" w:eastAsiaTheme="minorEastAsia"/>
          <w:b/>
          <w:kern w:val="0"/>
          <w:sz w:val="24"/>
          <w:szCs w:val="24"/>
        </w:rPr>
      </w:pPr>
      <w:r>
        <w:rPr>
          <w:rFonts w:ascii="Times New Roman" w:hAnsi="Times New Roman" w:eastAsiaTheme="minorEastAsia"/>
          <w:b/>
          <w:kern w:val="0"/>
          <w:sz w:val="24"/>
          <w:szCs w:val="24"/>
        </w:rPr>
        <w:t>2、传播途径降噪措施</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⑴</w:t>
      </w:r>
      <w:r>
        <w:rPr>
          <w:rFonts w:ascii="Times New Roman" w:hAnsi="Times New Roman" w:eastAsiaTheme="minorEastAsia"/>
          <w:kern w:val="0"/>
          <w:sz w:val="24"/>
          <w:szCs w:val="24"/>
        </w:rPr>
        <w:t xml:space="preserve"> 项目施工现场四周应当设置高度不低于2m的围挡，围挡可以当作声屏障，从而降低施工噪声对厂界外敏感点的影响；</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⑵</w:t>
      </w:r>
      <w:r>
        <w:rPr>
          <w:rFonts w:ascii="Times New Roman" w:hAnsi="Times New Roman" w:eastAsiaTheme="minorEastAsia"/>
          <w:kern w:val="0"/>
          <w:sz w:val="24"/>
          <w:szCs w:val="24"/>
        </w:rPr>
        <w:t xml:space="preserve"> 对各施工环节中噪声较为突出且又难以对声源进行降噪可能的设备装置，应采取临时围障措施，围障最好敷以吸声材料，以此达到降噪效果。</w:t>
      </w:r>
    </w:p>
    <w:p>
      <w:pPr>
        <w:autoSpaceDE w:val="0"/>
        <w:autoSpaceDN w:val="0"/>
        <w:adjustRightInd w:val="0"/>
        <w:snapToGrid w:val="0"/>
        <w:spacing w:line="360" w:lineRule="auto"/>
        <w:ind w:firstLine="482" w:firstLineChars="200"/>
        <w:rPr>
          <w:rFonts w:ascii="Times New Roman" w:hAnsi="Times New Roman" w:eastAsiaTheme="minorEastAsia"/>
          <w:b/>
          <w:kern w:val="0"/>
          <w:sz w:val="24"/>
          <w:szCs w:val="24"/>
        </w:rPr>
      </w:pPr>
      <w:r>
        <w:rPr>
          <w:rFonts w:ascii="Times New Roman" w:hAnsi="Times New Roman" w:eastAsiaTheme="minorEastAsia"/>
          <w:b/>
          <w:kern w:val="0"/>
          <w:sz w:val="24"/>
          <w:szCs w:val="24"/>
        </w:rPr>
        <w:t>3、其他措施和建议</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⑴</w:t>
      </w:r>
      <w:r>
        <w:rPr>
          <w:rFonts w:ascii="Times New Roman" w:hAnsi="Times New Roman" w:eastAsiaTheme="minorEastAsia"/>
          <w:kern w:val="0"/>
          <w:sz w:val="24"/>
          <w:szCs w:val="24"/>
        </w:rPr>
        <w:t xml:space="preserve"> 设立项目施工环境影响监督公告牌，在建筑围墙的醒目处明确标明：施工环境影响的投诉方式及联系电话（包括建设单位责任人及施工监查责任人等），让公众随时监督项目施工过程；</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hint="eastAsia" w:ascii="宋体" w:hAnsi="宋体" w:cs="宋体"/>
          <w:kern w:val="0"/>
          <w:sz w:val="24"/>
          <w:szCs w:val="24"/>
        </w:rPr>
        <w:t>⑵</w:t>
      </w:r>
      <w:r>
        <w:rPr>
          <w:rFonts w:ascii="Times New Roman" w:hAnsi="Times New Roman" w:eastAsiaTheme="minorEastAsia"/>
          <w:kern w:val="0"/>
          <w:sz w:val="24"/>
          <w:szCs w:val="24"/>
        </w:rPr>
        <w:t xml:space="preserve"> 对交通车辆及施工船舶造成的噪声影响要加强管理，运输车辆及船舶尽量采用低声级的喇叭，合理制定运输路线，车辆在场区外的行进路线应尽量对周边的敏感点采取避让措施，若无法避让而必须要经过环境敏感点的，应采取减速慢行、禁止鸣笛等措施降低运输车辆的噪声对周边环境的影响。</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通过采取以上噪声污染防控措施，建设单位可将噪声污染对周边声环境质量的影响控制在最低水平，噪声污染防治措施从经济、技术方面来说具有可行性。</w:t>
      </w:r>
    </w:p>
    <w:p>
      <w:pPr>
        <w:pStyle w:val="4"/>
        <w:rPr>
          <w:rFonts w:eastAsiaTheme="minorEastAsia"/>
          <w:color w:val="000000" w:themeColor="text1"/>
          <w14:textFill>
            <w14:solidFill>
              <w14:schemeClr w14:val="tx1"/>
            </w14:solidFill>
          </w14:textFill>
        </w:rPr>
      </w:pPr>
      <w:bookmarkStart w:id="333" w:name="6.1.4固体废物污染防治措施"/>
      <w:bookmarkEnd w:id="333"/>
      <w:r>
        <w:rPr>
          <w:rFonts w:eastAsiaTheme="minorEastAsia"/>
          <w:color w:val="000000" w:themeColor="text1"/>
          <w14:textFill>
            <w14:solidFill>
              <w14:schemeClr w14:val="tx1"/>
            </w14:solidFill>
          </w14:textFill>
        </w:rPr>
        <w:t>固体废物污染防治措施</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施工过程中产生的固体废弃物主要为施工人员生活垃圾和施工垃圾。生活垃圾在厂区设有垃圾桶，定期有环卫部门清运统一处理；施工垃圾主要为施工建筑垃圾、桩基工程开挖产生的钻渣等，建筑垃圾应及时清理，能回收利用的部分进行回收利用，不能回收的部分应运至指定地方清理。工程产生的弃渣可就近用作公路、河流的岸坡防护或作业带迹地恢复。</w:t>
      </w: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施工结束后，施工场地应及时平整，清场要彻底。</w:t>
      </w:r>
    </w:p>
    <w:p>
      <w:pPr>
        <w:pStyle w:val="4"/>
        <w:rPr>
          <w:rFonts w:eastAsiaTheme="minorEastAsia"/>
          <w:color w:val="000000" w:themeColor="text1"/>
          <w14:textFill>
            <w14:solidFill>
              <w14:schemeClr w14:val="tx1"/>
            </w14:solidFill>
          </w14:textFill>
        </w:rPr>
      </w:pPr>
      <w:bookmarkStart w:id="334" w:name="6.1.5生态保护措施"/>
      <w:bookmarkEnd w:id="334"/>
      <w:r>
        <w:rPr>
          <w:rFonts w:eastAsiaTheme="minorEastAsia"/>
          <w:color w:val="000000" w:themeColor="text1"/>
          <w14:textFill>
            <w14:solidFill>
              <w14:schemeClr w14:val="tx1"/>
            </w14:solidFill>
          </w14:textFill>
        </w:rPr>
        <w:t>生态保护措施</w:t>
      </w:r>
    </w:p>
    <w:p>
      <w:pPr>
        <w:pStyle w:val="5"/>
        <w:rPr>
          <w:rFonts w:eastAsiaTheme="minorEastAsia"/>
          <w:bCs w:val="0"/>
        </w:rPr>
      </w:pPr>
      <w:bookmarkStart w:id="335" w:name="6.1.5.1水生生态保护措施"/>
      <w:bookmarkEnd w:id="335"/>
      <w:r>
        <w:rPr>
          <w:rFonts w:eastAsiaTheme="minorEastAsia"/>
          <w:bCs w:val="0"/>
        </w:rPr>
        <w:t>水生生态保护措施</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详见“7 水产种质资源保护区环境影响评价”章节。</w:t>
      </w:r>
    </w:p>
    <w:p>
      <w:pPr>
        <w:pStyle w:val="5"/>
        <w:ind w:left="862" w:hanging="862"/>
        <w:jc w:val="left"/>
        <w:rPr>
          <w:rFonts w:eastAsiaTheme="minorEastAsia"/>
        </w:rPr>
      </w:pPr>
      <w:bookmarkStart w:id="336" w:name="6.1.5.2陆生生态保护措施"/>
      <w:bookmarkEnd w:id="336"/>
      <w:r>
        <w:rPr>
          <w:rFonts w:eastAsiaTheme="minorEastAsia"/>
        </w:rPr>
        <w:t>陆生生态保护措施</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根据《港口环保设计规范》，绿化面积不应小于可绿化面积的85%。在生产区及辅助生产生活区的卫生防护距离内设防护林，防护林带的宽度宜为5~10m，主要树种为梧桐、意杨等；绿化配合种植乔、灌木和矮林，形成高、中、低相结合的常绿防护林带，以减小港区风速，并起到吸尘、降噪和美化环境的作业。</w:t>
      </w:r>
    </w:p>
    <w:p>
      <w:pPr>
        <w:pStyle w:val="4"/>
        <w:rPr>
          <w:rFonts w:eastAsiaTheme="minorEastAsia"/>
          <w:color w:val="000000" w:themeColor="text1"/>
          <w14:textFill>
            <w14:solidFill>
              <w14:schemeClr w14:val="tx1"/>
            </w14:solidFill>
          </w14:textFill>
        </w:rPr>
      </w:pPr>
      <w:bookmarkStart w:id="337" w:name="6.1.6水土流失防治措施"/>
      <w:bookmarkEnd w:id="337"/>
      <w:r>
        <w:rPr>
          <w:rFonts w:eastAsiaTheme="minorEastAsia"/>
          <w:color w:val="000000" w:themeColor="text1"/>
          <w14:textFill>
            <w14:solidFill>
              <w14:schemeClr w14:val="tx1"/>
            </w14:solidFill>
          </w14:textFill>
        </w:rPr>
        <w:t>水土流失防治措施</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尽量避开雨季、汛期施工，以减少洪水的侵蚀，做到随挖、随运、随铺、随压，尽量不留疏松地面，减少风蚀导致的水土流失。划定施工作业带范围和路线，不随意扩大。并严格控制机械和车辆的作业范围，尽可能减少对土壤和农作物的破坏以及由此引发的水土流失。</w:t>
      </w:r>
    </w:p>
    <w:p>
      <w:pPr>
        <w:pStyle w:val="3"/>
        <w:rPr>
          <w:rFonts w:ascii="Times New Roman" w:hAnsi="Times New Roman" w:eastAsiaTheme="minorEastAsia"/>
          <w:b/>
        </w:rPr>
      </w:pPr>
      <w:bookmarkStart w:id="338" w:name="_bookmark55"/>
      <w:bookmarkEnd w:id="338"/>
      <w:bookmarkStart w:id="339" w:name="6.1.7耕地与基本农田保护方案"/>
      <w:bookmarkEnd w:id="339"/>
      <w:bookmarkStart w:id="340" w:name="6.2营运期污染防治措施"/>
      <w:bookmarkEnd w:id="340"/>
      <w:bookmarkStart w:id="341" w:name="_Toc19651"/>
      <w:r>
        <w:rPr>
          <w:rFonts w:ascii="Times New Roman" w:hAnsi="Times New Roman" w:eastAsiaTheme="minorEastAsia"/>
          <w:b/>
        </w:rPr>
        <w:t>营运期污染防治措施</w:t>
      </w:r>
      <w:bookmarkEnd w:id="341"/>
    </w:p>
    <w:p>
      <w:pPr>
        <w:pStyle w:val="4"/>
        <w:rPr>
          <w:rFonts w:eastAsiaTheme="minorEastAsia"/>
          <w:color w:val="000000" w:themeColor="text1"/>
          <w14:textFill>
            <w14:solidFill>
              <w14:schemeClr w14:val="tx1"/>
            </w14:solidFill>
          </w14:textFill>
        </w:rPr>
      </w:pPr>
      <w:bookmarkStart w:id="342" w:name="6.2.1废气污染防治措施"/>
      <w:bookmarkEnd w:id="342"/>
      <w:r>
        <w:rPr>
          <w:rFonts w:eastAsiaTheme="minorEastAsia"/>
          <w:color w:val="000000" w:themeColor="text1"/>
          <w14:textFill>
            <w14:solidFill>
              <w14:schemeClr w14:val="tx1"/>
            </w14:solidFill>
          </w14:textFill>
        </w:rPr>
        <w:t>废水污染防治措施</w:t>
      </w:r>
    </w:p>
    <w:p>
      <w:pPr>
        <w:pStyle w:val="5"/>
        <w:ind w:left="862" w:hanging="862"/>
        <w:jc w:val="left"/>
        <w:rPr>
          <w:rFonts w:eastAsiaTheme="minorEastAsia"/>
        </w:rPr>
      </w:pPr>
      <w:bookmarkStart w:id="343" w:name="6.2.2.1到港船舶废水"/>
      <w:bookmarkEnd w:id="343"/>
      <w:r>
        <w:rPr>
          <w:rFonts w:eastAsiaTheme="minorEastAsia"/>
        </w:rPr>
        <w:t>到港船舶废水</w:t>
      </w:r>
    </w:p>
    <w:p>
      <w:pPr>
        <w:autoSpaceDE w:val="0"/>
        <w:autoSpaceDN w:val="0"/>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1、舱底油污水</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本项目营运期到港船舶的舱底油污水主要污染物为石油类。根据《中华人民共和国防止船舶污染内河水域环境管理规定》和《船舶水污染物排放标准》（GB3552-83）的规定，船舶不仅要设置油污储存舱和装设油水分离设备，还应装有排油监控装置和标准排放接头。根据国际海事组织有关公约规定船舶的污水不能在码头区域排放。根据《船舶与港口污染防治专项行动实施方案（2015-2020年）》：内河港口、码头、装卸站（以下简称港口）、船舶修造厂分别于2017年底前和2020年底前具备船舶含油污水、化学品洗舱水、生活污水和垃圾等接收能力，并做好与城市市政公共处理设施的衔接，全面实现船舶污染物按规定处置。到港船舶本身应配有处理机舱油污水的船用油水分离器，经处理后含油量应小于15mg/L，不得在码头所在江段排放舱底油污水，确需排放的由海事部门环保船进行回收，交由海事部门指定有资质单位进行处理。</w:t>
      </w:r>
    </w:p>
    <w:p>
      <w:pPr>
        <w:autoSpaceDE w:val="0"/>
        <w:autoSpaceDN w:val="0"/>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2、船舶生活污水</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本项目船舶生活污水禁止直接向水域排放生活污水，生活污水由船舶交给港口海事部门环保船接收处理。此外，项目建设单位应加强与港监部门的配合，积极做好到港船舶的环保监管工作，严禁向长江水域排放各类污水、倾倒各类固体废物；对没有配备防污设施的船舶按规定进行处理，同时采取相应的补救措施，如提供活动厕所或污水接收容器等；船舶靠港装卸、补给期间，应通过宣传教育，提高船员的节水意识，可显著减少船舶生活污水的排放量；加强船舶靠港装卸、补给期间冲洗设备的定期检査，杜绝“跑、冒、滴、漏”现象，也有利于污水量的最少化。为保证到港船舶污染物不污染码头水域，建议在码头前沿醒目处设置严禁排污的警示牌和标明污染物回收站点的指示牌，并加强与岳阳地方海事部门的沟通与协调，加强本码头水域的监管和巡査。</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水污染防治行动计划》（2015）指出：加强船舶港口污染控制，积极治理船舶污染，依法强制报废超过使用年限的船舶。分类分级修订船舶及其设施、设备的相关环保标准。2018年起投入使用的沿海船舶、2021年起投入使用的内河船舶执行新的标准；其他船舶于2020年底前完成改造，经改造仍不能达到要求的，限期予以淘汰。航行于我国水域的国际航线船舶，要实施压载水交换或安装压载水灭活处理系统。规范拆船行为，禁止冲滩拆解。</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增强港口码头污染防治能力。编制实施全国港口、码头、装卸站污染防治方案。加快垃圾接收、转运及处理处置设施建设，提高含油污水接收处置能力及污染事故应急能力。位于沿海和内河的港口、码头、装卸站及船舶修造厂，分别于2017年底前和2020年底前达到建设要求。港口、码头、装卸站的经营人应制定防治船舶及其有关活动污染水环境的应急计划。</w:t>
      </w:r>
    </w:p>
    <w:p>
      <w:pPr>
        <w:pStyle w:val="5"/>
        <w:ind w:left="862" w:hanging="862"/>
        <w:jc w:val="left"/>
        <w:rPr>
          <w:rFonts w:eastAsiaTheme="minorEastAsia"/>
        </w:rPr>
      </w:pPr>
      <w:bookmarkStart w:id="344" w:name="6.2.2.2港区废水"/>
      <w:bookmarkEnd w:id="344"/>
      <w:r>
        <w:rPr>
          <w:rFonts w:eastAsiaTheme="minorEastAsia"/>
        </w:rPr>
        <w:t>码头废水</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码头面初期雨水、趸船冲洗废水采用排水盖板明沟收集，趸船装卸区四周设收集坎，趸船内设1座容积为15m</w:t>
      </w:r>
      <w:r>
        <w:rPr>
          <w:rFonts w:ascii="Times New Roman" w:hAnsi="Times New Roman" w:eastAsiaTheme="minorEastAsia"/>
          <w:color w:val="000000" w:themeColor="text1"/>
          <w:kern w:val="0"/>
          <w:sz w:val="24"/>
          <w:szCs w:val="24"/>
          <w:vertAlign w:val="superscript"/>
          <w14:textFill>
            <w14:solidFill>
              <w14:schemeClr w14:val="tx1"/>
            </w14:solidFill>
          </w14:textFill>
        </w:rPr>
        <w:t>3</w:t>
      </w:r>
      <w:r>
        <w:rPr>
          <w:rFonts w:ascii="Times New Roman" w:hAnsi="Times New Roman" w:eastAsiaTheme="minorEastAsia"/>
          <w:color w:val="000000" w:themeColor="text1"/>
          <w:kern w:val="0"/>
          <w:sz w:val="24"/>
          <w:szCs w:val="24"/>
          <w14:textFill>
            <w14:solidFill>
              <w14:schemeClr w14:val="tx1"/>
            </w14:solidFill>
          </w14:textFill>
        </w:rPr>
        <w:t>煤水收集池，收集池污水由防爆污水泵和管道抽送至后方码头院内的污水处理站，经污水处理站通过调节、隔油、生化、沉淀、消毒处理达到《污水综合排放标准》（GB8978-1996）一级标准后，再通过管道泵送至电厂厂区用作绿化用水。</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项目生活污水经简易环保型厕所收集后进入后方码头院内的污水处理站，经污水处理站通过调节、隔油、生化、沉淀、消毒处理达到《污水综合排放标准》（GB8978-1996）一级标准后，再通过管道泵送至电厂厂区用作绿化用水。</w:t>
      </w:r>
    </w:p>
    <w:p>
      <w:pPr>
        <w:pStyle w:val="5"/>
        <w:ind w:left="862" w:hanging="862"/>
        <w:jc w:val="left"/>
        <w:rPr>
          <w:rFonts w:eastAsiaTheme="minorEastAsia"/>
        </w:rPr>
      </w:pPr>
      <w:r>
        <w:rPr>
          <w:rFonts w:eastAsiaTheme="minorEastAsia"/>
        </w:rPr>
        <w:t>废水处理设施处置能力分析</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本项目的水污染源从空间上分为码头废水和到港船舶污废水，其中码头废水包括码头工作人员生活污水、趸船冲洗废水、初期雨水等；到港船舶污水包括船上工作人员生活污水、船舱洗舱废水。</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根据工可提供的资料，本项目产生的废水全部回用不外排，其中趸船冲洗废水、初期雨水、员工生活生产污水进污水处理站处理后用于绿化。</w:t>
      </w:r>
    </w:p>
    <w:p>
      <w:pPr>
        <w:autoSpaceDE w:val="0"/>
        <w:autoSpaceDN w:val="0"/>
        <w:adjustRightInd w:val="0"/>
        <w:snapToGrid w:val="0"/>
        <w:spacing w:line="360" w:lineRule="auto"/>
        <w:ind w:firstLine="480" w:firstLineChars="200"/>
        <w:rPr>
          <w:rFonts w:ascii="Times New Roman" w:hAnsi="Times New Roman" w:eastAsiaTheme="minorEastAsia"/>
        </w:rPr>
      </w:pPr>
      <w:r>
        <w:rPr>
          <w:rFonts w:ascii="Times New Roman" w:hAnsi="Times New Roman" w:eastAsiaTheme="minorEastAsia"/>
          <w:sz w:val="24"/>
          <w:szCs w:val="24"/>
        </w:rPr>
        <w:t>趸船冲洗废水产生量5.76m</w:t>
      </w:r>
      <w:r>
        <w:rPr>
          <w:rFonts w:ascii="Times New Roman" w:hAnsi="Times New Roman" w:eastAsiaTheme="minorEastAsia"/>
          <w:sz w:val="24"/>
          <w:szCs w:val="24"/>
          <w:vertAlign w:val="superscript"/>
        </w:rPr>
        <w:t>3</w:t>
      </w:r>
      <w:r>
        <w:rPr>
          <w:rFonts w:ascii="Times New Roman" w:hAnsi="Times New Roman" w:eastAsiaTheme="minorEastAsia"/>
          <w:sz w:val="24"/>
          <w:szCs w:val="24"/>
        </w:rPr>
        <w:t>/d，初期雨水日均量约为1.09m</w:t>
      </w:r>
      <w:r>
        <w:rPr>
          <w:rFonts w:ascii="Times New Roman" w:hAnsi="Times New Roman" w:eastAsiaTheme="minorEastAsia"/>
          <w:sz w:val="24"/>
          <w:szCs w:val="24"/>
          <w:vertAlign w:val="superscript"/>
        </w:rPr>
        <w:t>3</w:t>
      </w:r>
      <w:r>
        <w:rPr>
          <w:rFonts w:ascii="Times New Roman" w:hAnsi="Times New Roman" w:eastAsiaTheme="minorEastAsia"/>
          <w:sz w:val="24"/>
          <w:szCs w:val="24"/>
        </w:rPr>
        <w:t>/d，</w:t>
      </w:r>
      <w:r>
        <w:rPr>
          <w:rFonts w:ascii="Times New Roman" w:hAnsi="Times New Roman" w:eastAsiaTheme="minorEastAsia"/>
          <w:color w:val="000000" w:themeColor="text1"/>
          <w:kern w:val="0"/>
          <w:sz w:val="24"/>
          <w:szCs w:val="24"/>
          <w14:textFill>
            <w14:solidFill>
              <w14:schemeClr w14:val="tx1"/>
            </w14:solidFill>
          </w14:textFill>
        </w:rPr>
        <w:t>沉淀池停留时间按24h计，本项目设置的收集池容积为25m</w:t>
      </w:r>
      <w:r>
        <w:rPr>
          <w:rFonts w:ascii="Times New Roman" w:hAnsi="Times New Roman" w:eastAsiaTheme="minorEastAsia"/>
          <w:color w:val="000000" w:themeColor="text1"/>
          <w:kern w:val="0"/>
          <w:sz w:val="24"/>
          <w:szCs w:val="24"/>
          <w:vertAlign w:val="superscript"/>
          <w14:textFill>
            <w14:solidFill>
              <w14:schemeClr w14:val="tx1"/>
            </w14:solidFill>
          </w14:textFill>
        </w:rPr>
        <w:t>3</w:t>
      </w:r>
      <w:r>
        <w:rPr>
          <w:rFonts w:ascii="Times New Roman" w:hAnsi="Times New Roman" w:eastAsiaTheme="minorEastAsia"/>
          <w:color w:val="000000" w:themeColor="text1"/>
          <w:kern w:val="0"/>
          <w:sz w:val="24"/>
          <w:szCs w:val="24"/>
          <w14:textFill>
            <w14:solidFill>
              <w14:schemeClr w14:val="tx1"/>
            </w14:solidFill>
          </w14:textFill>
        </w:rPr>
        <w:t>可满足使用需求。</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本项目生活废水产生量1m</w:t>
      </w:r>
      <w:r>
        <w:rPr>
          <w:rFonts w:ascii="Times New Roman" w:hAnsi="Times New Roman" w:eastAsiaTheme="minorEastAsia"/>
          <w:color w:val="000000" w:themeColor="text1"/>
          <w:kern w:val="0"/>
          <w:sz w:val="24"/>
          <w:szCs w:val="24"/>
          <w:vertAlign w:val="superscript"/>
          <w14:textFill>
            <w14:solidFill>
              <w14:schemeClr w14:val="tx1"/>
            </w14:solidFill>
          </w14:textFill>
        </w:rPr>
        <w:t>3</w:t>
      </w:r>
      <w:r>
        <w:rPr>
          <w:rFonts w:ascii="Times New Roman" w:hAnsi="Times New Roman" w:eastAsiaTheme="minorEastAsia"/>
          <w:color w:val="000000" w:themeColor="text1"/>
          <w:kern w:val="0"/>
          <w:sz w:val="24"/>
          <w:szCs w:val="24"/>
          <w14:textFill>
            <w14:solidFill>
              <w14:schemeClr w14:val="tx1"/>
            </w14:solidFill>
          </w14:textFill>
        </w:rPr>
        <w:t>/d，污水处理站处理能力为10m</w:t>
      </w:r>
      <w:r>
        <w:rPr>
          <w:rFonts w:ascii="Times New Roman" w:hAnsi="Times New Roman" w:eastAsiaTheme="minorEastAsia"/>
          <w:color w:val="000000" w:themeColor="text1"/>
          <w:kern w:val="0"/>
          <w:sz w:val="24"/>
          <w:szCs w:val="24"/>
          <w:vertAlign w:val="superscript"/>
          <w14:textFill>
            <w14:solidFill>
              <w14:schemeClr w14:val="tx1"/>
            </w14:solidFill>
          </w14:textFill>
        </w:rPr>
        <w:t>3</w:t>
      </w:r>
      <w:r>
        <w:rPr>
          <w:rFonts w:ascii="Times New Roman" w:hAnsi="Times New Roman" w:eastAsiaTheme="minorEastAsia"/>
          <w:color w:val="000000" w:themeColor="text1"/>
          <w:kern w:val="0"/>
          <w:sz w:val="24"/>
          <w:szCs w:val="24"/>
          <w14:textFill>
            <w14:solidFill>
              <w14:schemeClr w14:val="tx1"/>
            </w14:solidFill>
          </w14:textFill>
        </w:rPr>
        <w:t>/d；本项目进入污水处理站的污水量</w:t>
      </w:r>
      <w:r>
        <w:rPr>
          <w:rFonts w:ascii="Times New Roman" w:hAnsi="Times New Roman" w:eastAsiaTheme="minorEastAsia"/>
          <w:sz w:val="24"/>
          <w:szCs w:val="24"/>
        </w:rPr>
        <w:t>7.85m</w:t>
      </w:r>
      <w:r>
        <w:rPr>
          <w:rFonts w:ascii="Times New Roman" w:hAnsi="Times New Roman" w:eastAsiaTheme="minorEastAsia"/>
          <w:sz w:val="24"/>
          <w:szCs w:val="24"/>
          <w:vertAlign w:val="superscript"/>
        </w:rPr>
        <w:t>3</w:t>
      </w:r>
      <w:r>
        <w:rPr>
          <w:rFonts w:ascii="Times New Roman" w:hAnsi="Times New Roman" w:eastAsiaTheme="minorEastAsia"/>
          <w:sz w:val="24"/>
          <w:szCs w:val="24"/>
        </w:rPr>
        <w:t>/d，</w:t>
      </w:r>
      <w:r>
        <w:rPr>
          <w:rFonts w:ascii="Times New Roman" w:hAnsi="Times New Roman" w:eastAsiaTheme="minorEastAsia"/>
          <w:color w:val="000000" w:themeColor="text1"/>
          <w:kern w:val="0"/>
          <w:sz w:val="24"/>
          <w:szCs w:val="24"/>
          <w14:textFill>
            <w14:solidFill>
              <w14:schemeClr w14:val="tx1"/>
            </w14:solidFill>
          </w14:textFill>
        </w:rPr>
        <w:t>项目产生的污水量在污水处理设备的处置能力范围内。</w:t>
      </w:r>
    </w:p>
    <w:p>
      <w:pPr>
        <w:pStyle w:val="145"/>
        <w:snapToGrid w:val="0"/>
        <w:spacing w:line="360" w:lineRule="auto"/>
        <w:ind w:firstLine="480" w:firstLineChars="200"/>
        <w:jc w:val="both"/>
        <w:rPr>
          <w:rFonts w:ascii="Times New Roman" w:hAnsi="Times New Roman" w:cs="Times New Roman" w:eastAsiaTheme="minorEastAsia"/>
        </w:rPr>
      </w:pPr>
      <w:r>
        <w:rPr>
          <w:rFonts w:ascii="Times New Roman" w:hAnsi="Times New Roman" w:cs="Times New Roman" w:eastAsiaTheme="minorEastAsia"/>
          <w:color w:val="000000" w:themeColor="text1"/>
          <w14:textFill>
            <w14:solidFill>
              <w14:schemeClr w14:val="tx1"/>
            </w14:solidFill>
          </w14:textFill>
        </w:rPr>
        <w:t>综上所述，项目产生的生产生活污水量在污水处理设备的处置能力范围内。</w:t>
      </w:r>
    </w:p>
    <w:p>
      <w:pPr>
        <w:pStyle w:val="5"/>
        <w:ind w:left="862" w:hanging="862"/>
        <w:jc w:val="left"/>
        <w:rPr>
          <w:rFonts w:eastAsiaTheme="minorEastAsia"/>
        </w:rPr>
      </w:pPr>
      <w:r>
        <w:rPr>
          <w:rFonts w:eastAsiaTheme="minorEastAsia"/>
        </w:rPr>
        <w:t>废水排放去向可行性分析</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本项目营运期，生产生活废水经后方码头院内的散货污水处理站处理达到《污水综合排放标准》（GB8978-1996）一级标准后，再通过管道泵送至电厂厂区用作绿化用水。</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本项目废水水质相对简单，废水产生量约7.85m</w:t>
      </w:r>
      <w:r>
        <w:rPr>
          <w:rFonts w:ascii="Times New Roman" w:hAnsi="Times New Roman" w:eastAsiaTheme="minorEastAsia"/>
          <w:color w:val="000000" w:themeColor="text1"/>
          <w:kern w:val="0"/>
          <w:sz w:val="24"/>
          <w:szCs w:val="24"/>
          <w:vertAlign w:val="superscript"/>
          <w14:textFill>
            <w14:solidFill>
              <w14:schemeClr w14:val="tx1"/>
            </w14:solidFill>
          </w14:textFill>
        </w:rPr>
        <w:t>3</w:t>
      </w:r>
      <w:r>
        <w:rPr>
          <w:rFonts w:ascii="Times New Roman" w:hAnsi="Times New Roman" w:eastAsiaTheme="minorEastAsia"/>
          <w:color w:val="000000" w:themeColor="text1"/>
          <w:kern w:val="0"/>
          <w:sz w:val="24"/>
          <w:szCs w:val="24"/>
          <w14:textFill>
            <w14:solidFill>
              <w14:schemeClr w14:val="tx1"/>
            </w14:solidFill>
          </w14:textFill>
        </w:rPr>
        <w:t>/d，厂区范围内绿化区域面积完全可以利用该部分绿化用水，因此本项目产生的废水经处理后完全回用是可行的。</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地下水污染防治措施</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地下水污染防治措施按照“源头控制、末端控制、分区防控、污染监控、应急响应”原则进行设计，从污染物的产生、入渗、扩散、应急响应全阶段进行控制。</w:t>
      </w:r>
    </w:p>
    <w:p>
      <w:pPr>
        <w:autoSpaceDE w:val="0"/>
        <w:autoSpaceDN w:val="0"/>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1、加强源头控制</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在工艺、设备及处理构筑物采取相应措施，防止和降低污染物跑、冒、滴、漏，将污染物泄漏的环境风险事故降到最低程度。</w:t>
      </w:r>
    </w:p>
    <w:p>
      <w:pPr>
        <w:autoSpaceDE w:val="0"/>
        <w:autoSpaceDN w:val="0"/>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2、实施分区防治措施</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主要包括污水管线污染区地面的防渗措施和泄漏、渗漏污染物收集措施，即在污染区地面进行防渗处理，防止洒落地面的污染物渗入地下，并把滞留在地面的污染物收集起来，集中处理；末端控制采取分区防渗，重点污染防治区、一般污染防治区和非污染防治区防渗措施有区别的防渗原则。项目防渗分区的划分如下：</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⑴</w:t>
      </w:r>
      <w:r>
        <w:rPr>
          <w:rFonts w:ascii="Times New Roman" w:hAnsi="Times New Roman" w:eastAsiaTheme="minorEastAsia"/>
          <w:color w:val="000000" w:themeColor="text1"/>
          <w:kern w:val="0"/>
          <w:sz w:val="24"/>
          <w:szCs w:val="24"/>
          <w14:textFill>
            <w14:solidFill>
              <w14:schemeClr w14:val="tx1"/>
            </w14:solidFill>
          </w14:textFill>
        </w:rPr>
        <w:t xml:space="preserve"> 重点污染防治区</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指对地下水环境有污染的物料或污染物泄漏后，不能发现和处理的区域或部位。主要包括污水收集装置、危废暂存间等。</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⑵</w:t>
      </w:r>
      <w:r>
        <w:rPr>
          <w:rFonts w:ascii="Times New Roman" w:hAnsi="Times New Roman" w:eastAsiaTheme="minorEastAsia"/>
          <w:color w:val="000000" w:themeColor="text1"/>
          <w:kern w:val="0"/>
          <w:sz w:val="24"/>
          <w:szCs w:val="24"/>
          <w14:textFill>
            <w14:solidFill>
              <w14:schemeClr w14:val="tx1"/>
            </w14:solidFill>
          </w14:textFill>
        </w:rPr>
        <w:t xml:space="preserve"> 一般污染防治区</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指对地下水环境有污染的物料或污染物泄漏后，容易发现和可及时处理的区域或部位。主要包括泵组、管道等。</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⑶</w:t>
      </w:r>
      <w:r>
        <w:rPr>
          <w:rFonts w:ascii="Times New Roman" w:hAnsi="Times New Roman" w:eastAsiaTheme="minorEastAsia"/>
          <w:color w:val="000000" w:themeColor="text1"/>
          <w:kern w:val="0"/>
          <w:sz w:val="24"/>
          <w:szCs w:val="24"/>
          <w14:textFill>
            <w14:solidFill>
              <w14:schemeClr w14:val="tx1"/>
            </w14:solidFill>
          </w14:textFill>
        </w:rPr>
        <w:t xml:space="preserve"> 非污染防治区</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指没有污染物泄漏或泄漏物不会对地下水环境造成污染的区域或部位。主要包括综合用房、绿化区等。根据各功能分区特点及产排污特征，确定本项目地下水环境污染防治分为：重点污染防治区、一般污染防治区及非污染防治区。</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⑷</w:t>
      </w:r>
      <w:r>
        <w:rPr>
          <w:rFonts w:ascii="Times New Roman" w:hAnsi="Times New Roman" w:eastAsiaTheme="minorEastAsia"/>
          <w:color w:val="000000" w:themeColor="text1"/>
          <w:kern w:val="0"/>
          <w:sz w:val="24"/>
          <w:szCs w:val="24"/>
          <w14:textFill>
            <w14:solidFill>
              <w14:schemeClr w14:val="tx1"/>
            </w14:solidFill>
          </w14:textFill>
        </w:rPr>
        <w:t xml:space="preserve"> 防渗标准</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重点污染防渗区的防渗性能不应低于6.0m厚渗透系数为1.0×10</w:t>
      </w:r>
      <w:r>
        <w:rPr>
          <w:rFonts w:ascii="Times New Roman" w:hAnsi="Times New Roman" w:eastAsiaTheme="minorEastAsia"/>
          <w:color w:val="000000" w:themeColor="text1"/>
          <w:kern w:val="0"/>
          <w:sz w:val="24"/>
          <w:szCs w:val="24"/>
          <w:vertAlign w:val="superscript"/>
          <w14:textFill>
            <w14:solidFill>
              <w14:schemeClr w14:val="tx1"/>
            </w14:solidFill>
          </w14:textFill>
        </w:rPr>
        <w:t>-7</w:t>
      </w:r>
      <w:r>
        <w:rPr>
          <w:rFonts w:ascii="Times New Roman" w:hAnsi="Times New Roman" w:eastAsiaTheme="minorEastAsia"/>
          <w:color w:val="000000" w:themeColor="text1"/>
          <w:kern w:val="0"/>
          <w:sz w:val="24"/>
          <w:szCs w:val="24"/>
          <w14:textFill>
            <w14:solidFill>
              <w14:schemeClr w14:val="tx1"/>
            </w14:solidFill>
          </w14:textFill>
        </w:rPr>
        <w:t>cm/s的黏土层的防渗性能，一般污染防渗区的防渗性能不应低于1.5m厚渗透系数为1.0×10</w:t>
      </w:r>
      <w:r>
        <w:rPr>
          <w:rFonts w:ascii="Times New Roman" w:hAnsi="Times New Roman" w:eastAsiaTheme="minorEastAsia"/>
          <w:color w:val="000000" w:themeColor="text1"/>
          <w:kern w:val="0"/>
          <w:sz w:val="24"/>
          <w:szCs w:val="24"/>
          <w:vertAlign w:val="superscript"/>
          <w14:textFill>
            <w14:solidFill>
              <w14:schemeClr w14:val="tx1"/>
            </w14:solidFill>
          </w14:textFill>
        </w:rPr>
        <w:t>-7</w:t>
      </w:r>
      <w:r>
        <w:rPr>
          <w:rFonts w:ascii="Times New Roman" w:hAnsi="Times New Roman" w:eastAsiaTheme="minorEastAsia"/>
          <w:color w:val="000000" w:themeColor="text1"/>
          <w:kern w:val="0"/>
          <w:sz w:val="24"/>
          <w:szCs w:val="24"/>
          <w14:textFill>
            <w14:solidFill>
              <w14:schemeClr w14:val="tx1"/>
            </w14:solidFill>
          </w14:textFill>
        </w:rPr>
        <w:t>cm/s的黏土层的防渗性能，防渗层由单一或多种防渗材料组成，污染防治区地面坡向排水口或排水沟。</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⑸</w:t>
      </w:r>
      <w:r>
        <w:rPr>
          <w:rFonts w:ascii="Times New Roman" w:hAnsi="Times New Roman" w:eastAsiaTheme="minorEastAsia"/>
          <w:color w:val="000000" w:themeColor="text1"/>
          <w:kern w:val="0"/>
          <w:sz w:val="24"/>
          <w:szCs w:val="24"/>
          <w14:textFill>
            <w14:solidFill>
              <w14:schemeClr w14:val="tx1"/>
            </w14:solidFill>
          </w14:textFill>
        </w:rPr>
        <w:t xml:space="preserve"> 防渗措施</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重点污染防渗区：参照《危险废物贮存污染控制标准》（GB18597-2001）执行地面防渗设计。采用50cm厚粘土层加2mm的HDPE土工膜进行人工防渗，保证防渗层的渗透系数应小于1.0×10</w:t>
      </w:r>
      <w:r>
        <w:rPr>
          <w:rFonts w:ascii="Times New Roman" w:hAnsi="Times New Roman" w:eastAsiaTheme="minorEastAsia"/>
          <w:color w:val="000000" w:themeColor="text1"/>
          <w:kern w:val="0"/>
          <w:sz w:val="24"/>
          <w:szCs w:val="24"/>
          <w:vertAlign w:val="superscript"/>
          <w14:textFill>
            <w14:solidFill>
              <w14:schemeClr w14:val="tx1"/>
            </w14:solidFill>
          </w14:textFill>
        </w:rPr>
        <w:t>-7</w:t>
      </w:r>
      <w:r>
        <w:rPr>
          <w:rFonts w:ascii="Times New Roman" w:hAnsi="Times New Roman" w:eastAsiaTheme="minorEastAsia"/>
          <w:color w:val="000000" w:themeColor="text1"/>
          <w:kern w:val="0"/>
          <w:sz w:val="24"/>
          <w:szCs w:val="24"/>
          <w14:textFill>
            <w14:solidFill>
              <w14:schemeClr w14:val="tx1"/>
            </w14:solidFill>
          </w14:textFill>
        </w:rPr>
        <w:t>cm/s。</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一般污染防渗区：参照《一般工业固体废物贮存、处置场污染控标准》（GB18599-2001）</w:t>
      </w:r>
      <w:r>
        <w:rPr>
          <w:rFonts w:hint="eastAsia" w:ascii="宋体" w:hAnsi="宋体" w:cs="宋体"/>
          <w:color w:val="000000" w:themeColor="text1"/>
          <w:kern w:val="0"/>
          <w:sz w:val="24"/>
          <w:szCs w:val="24"/>
          <w14:textFill>
            <w14:solidFill>
              <w14:schemeClr w14:val="tx1"/>
            </w14:solidFill>
          </w14:textFill>
        </w:rPr>
        <w:t>Ⅱ</w:t>
      </w:r>
      <w:r>
        <w:rPr>
          <w:rFonts w:ascii="Times New Roman" w:hAnsi="Times New Roman" w:eastAsiaTheme="minorEastAsia"/>
          <w:color w:val="000000" w:themeColor="text1"/>
          <w:kern w:val="0"/>
          <w:sz w:val="24"/>
          <w:szCs w:val="24"/>
          <w14:textFill>
            <w14:solidFill>
              <w14:schemeClr w14:val="tx1"/>
            </w14:solidFill>
          </w14:textFill>
        </w:rPr>
        <w:t>类场进行设计。当天然基础层的渗透系数大于1.0×10</w:t>
      </w:r>
      <w:r>
        <w:rPr>
          <w:rFonts w:ascii="Times New Roman" w:hAnsi="Times New Roman" w:eastAsiaTheme="minorEastAsia"/>
          <w:color w:val="000000" w:themeColor="text1"/>
          <w:kern w:val="0"/>
          <w:sz w:val="24"/>
          <w:szCs w:val="24"/>
          <w:vertAlign w:val="superscript"/>
          <w14:textFill>
            <w14:solidFill>
              <w14:schemeClr w14:val="tx1"/>
            </w14:solidFill>
          </w14:textFill>
        </w:rPr>
        <w:t>-7</w:t>
      </w:r>
      <w:r>
        <w:rPr>
          <w:rFonts w:ascii="Times New Roman" w:hAnsi="Times New Roman" w:eastAsiaTheme="minorEastAsia"/>
          <w:color w:val="000000" w:themeColor="text1"/>
          <w:kern w:val="0"/>
          <w:sz w:val="24"/>
          <w:szCs w:val="24"/>
          <w14:textFill>
            <w14:solidFill>
              <w14:schemeClr w14:val="tx1"/>
            </w14:solidFill>
          </w14:textFill>
        </w:rPr>
        <w:t>cm/s时，应采用天然或人工材料建筑防渗层，防渗层的厚度相当于渗透系数1.0×10</w:t>
      </w:r>
      <w:r>
        <w:rPr>
          <w:rFonts w:ascii="Times New Roman" w:hAnsi="Times New Roman" w:eastAsiaTheme="minorEastAsia"/>
          <w:color w:val="000000" w:themeColor="text1"/>
          <w:kern w:val="0"/>
          <w:sz w:val="24"/>
          <w:szCs w:val="24"/>
          <w:vertAlign w:val="superscript"/>
          <w14:textFill>
            <w14:solidFill>
              <w14:schemeClr w14:val="tx1"/>
            </w14:solidFill>
          </w14:textFill>
        </w:rPr>
        <w:t>-7</w:t>
      </w:r>
      <w:r>
        <w:rPr>
          <w:rFonts w:ascii="Times New Roman" w:hAnsi="Times New Roman" w:eastAsiaTheme="minorEastAsia"/>
          <w:color w:val="000000" w:themeColor="text1"/>
          <w:kern w:val="0"/>
          <w:sz w:val="24"/>
          <w:szCs w:val="24"/>
          <w14:textFill>
            <w14:solidFill>
              <w14:schemeClr w14:val="tx1"/>
            </w14:solidFill>
          </w14:textFill>
        </w:rPr>
        <w:t>cm/s 和1.5m的粘土层的防渗性能。</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非污染防治区：不采取专门针对地下水污染的防治措施。</w:t>
      </w:r>
    </w:p>
    <w:p>
      <w:pPr>
        <w:autoSpaceDE w:val="0"/>
        <w:autoSpaceDN w:val="0"/>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3、地下水污染监控</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定期对管道周边地下水上下游地区进行水质监测，一旦发现有污染地下水现象应立即排查污染源，对污染源头进行治理，对已污染地下水应进行抽水净化，对受到污染的包气带土壤应进行换土。</w:t>
      </w:r>
    </w:p>
    <w:p>
      <w:pPr>
        <w:autoSpaceDE w:val="0"/>
        <w:autoSpaceDN w:val="0"/>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4、风险事故应急响应</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一旦通过监测等手段确定区域地下水受到污染，特别是检出和本项目相关的特征污染因子，建设单位应立即停止运输并向环境保护行政主管部门报告，检查排查管道是否存在渗漏点导致地下水污染。</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废气污染防治措施</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对于煤炭装卸过程因高差而散发的无组织排放的粉尘，建设方采取的主要措施包括：</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⑴</w:t>
      </w:r>
      <w:r>
        <w:rPr>
          <w:rFonts w:ascii="Times New Roman" w:hAnsi="Times New Roman"/>
          <w:color w:val="000000" w:themeColor="text1"/>
          <w:kern w:val="0"/>
          <w:sz w:val="24"/>
          <w:szCs w:val="24"/>
          <w14:textFill>
            <w14:solidFill>
              <w14:schemeClr w14:val="tx1"/>
            </w14:solidFill>
          </w14:textFill>
        </w:rPr>
        <w:t xml:space="preserve"> 在煤炭接卸过程中适当降低取料高度，在煤抓斗下方趸船与运煤船之间设置防撒煤的帆布，防止煤装卸过程中煤撒落至长江中；</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⑵</w:t>
      </w:r>
      <w:r>
        <w:rPr>
          <w:rFonts w:ascii="Times New Roman" w:hAnsi="Times New Roman"/>
          <w:color w:val="000000" w:themeColor="text1"/>
          <w:kern w:val="0"/>
          <w:sz w:val="24"/>
          <w:szCs w:val="24"/>
          <w14:textFill>
            <w14:solidFill>
              <w14:schemeClr w14:val="tx1"/>
            </w14:solidFill>
          </w14:textFill>
        </w:rPr>
        <w:t xml:space="preserve"> 在趸船上设置2台雾炮机，在码头装卸平台及输煤皮带廊内设置一套微雾抑尘系统，要求在每个转运节点设置多个喷头；</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⑶</w:t>
      </w:r>
      <w:r>
        <w:rPr>
          <w:rFonts w:ascii="Times New Roman" w:hAnsi="Times New Roman"/>
          <w:color w:val="000000" w:themeColor="text1"/>
          <w:kern w:val="0"/>
          <w:sz w:val="24"/>
          <w:szCs w:val="24"/>
          <w14:textFill>
            <w14:solidFill>
              <w14:schemeClr w14:val="tx1"/>
            </w14:solidFill>
          </w14:textFill>
        </w:rPr>
        <w:t xml:space="preserve"> 趸船和码头陆域平台之间的运输皮带机、运输皮带均设为完全封闭的形式，以减少扬尘的产生量；</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宋体" w:hAnsi="宋体" w:cs="宋体"/>
          <w:color w:val="000000"/>
          <w:sz w:val="24"/>
          <w:szCs w:val="24"/>
          <w:lang w:val="zh-CN"/>
        </w:rPr>
        <w:t>⑷</w:t>
      </w:r>
      <w:r>
        <w:rPr>
          <w:rFonts w:ascii="Times New Roman" w:hAnsi="Times New Roman"/>
          <w:color w:val="000000"/>
          <w:sz w:val="24"/>
          <w:szCs w:val="24"/>
          <w:lang w:val="zh-CN"/>
        </w:rPr>
        <w:t xml:space="preserve"> </w:t>
      </w:r>
      <w:r>
        <w:rPr>
          <w:rFonts w:ascii="Times New Roman" w:hAnsi="Times New Roman"/>
          <w:color w:val="000000" w:themeColor="text1"/>
          <w:kern w:val="0"/>
          <w:sz w:val="24"/>
          <w:szCs w:val="24"/>
          <w14:textFill>
            <w14:solidFill>
              <w14:schemeClr w14:val="tx1"/>
            </w14:solidFill>
          </w14:textFill>
        </w:rPr>
        <w:t>落料处设置水雾化喷淋装置并在落料处设置返尘板；</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⑸</w:t>
      </w:r>
      <w:r>
        <w:rPr>
          <w:rFonts w:ascii="Times New Roman" w:hAnsi="Times New Roman"/>
          <w:color w:val="000000" w:themeColor="text1"/>
          <w:kern w:val="0"/>
          <w:sz w:val="24"/>
          <w:szCs w:val="24"/>
          <w14:textFill>
            <w14:solidFill>
              <w14:schemeClr w14:val="tx1"/>
            </w14:solidFill>
          </w14:textFill>
        </w:rPr>
        <w:t xml:space="preserve"> 选用低燃气污染的环保型港口装卸运输机械；</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⑹</w:t>
      </w:r>
      <w:r>
        <w:rPr>
          <w:rFonts w:ascii="Times New Roman" w:hAnsi="Times New Roman"/>
          <w:color w:val="000000" w:themeColor="text1"/>
          <w:kern w:val="0"/>
          <w:sz w:val="24"/>
          <w:szCs w:val="24"/>
          <w14:textFill>
            <w14:solidFill>
              <w14:schemeClr w14:val="tx1"/>
            </w14:solidFill>
          </w14:textFill>
        </w:rPr>
        <w:t xml:space="preserve"> 对码头作业区路面和陆域平台每天清扫，每6日冲洗一次；</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做好码头绿化，在码头陆域平台场界设置绿化带，注意乔灌草合理搭配，可栽植即具抗尘性又具有景观价值的树种如广玉兰、香樟等。</w:t>
      </w:r>
    </w:p>
    <w:p>
      <w:pPr>
        <w:pStyle w:val="4"/>
        <w:rPr>
          <w:rFonts w:eastAsiaTheme="minorEastAsia"/>
          <w:color w:val="000000" w:themeColor="text1"/>
          <w14:textFill>
            <w14:solidFill>
              <w14:schemeClr w14:val="tx1"/>
            </w14:solidFill>
          </w14:textFill>
        </w:rPr>
      </w:pPr>
      <w:bookmarkStart w:id="345" w:name="6.2.2废水污染防治措施"/>
      <w:bookmarkEnd w:id="345"/>
      <w:bookmarkStart w:id="346" w:name="6.2.3噪声污染防治措施"/>
      <w:bookmarkEnd w:id="346"/>
      <w:r>
        <w:rPr>
          <w:rFonts w:eastAsiaTheme="minorEastAsia"/>
          <w:color w:val="000000" w:themeColor="text1"/>
          <w14:textFill>
            <w14:solidFill>
              <w14:schemeClr w14:val="tx1"/>
            </w14:solidFill>
          </w14:textFill>
        </w:rPr>
        <w:t>噪声污染防治措施</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项目营运期间的噪声主要来源于装卸机械、船舶发动机和船舶鸣号产生的交通噪声等。船舶发动机噪声源强可达80~90dB(A)，一般停靠港后不开动发动机，所以影响不大。船舶鸣笛为突发性噪声，主要采取船舶按照规定进行鸣笛的措施来减轻船舶鸣笛噪声影响。</w:t>
      </w:r>
    </w:p>
    <w:p>
      <w:pPr>
        <w:autoSpaceDE w:val="0"/>
        <w:autoSpaceDN w:val="0"/>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1、噪声源控制</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⑴</w:t>
      </w:r>
      <w:r>
        <w:rPr>
          <w:rFonts w:ascii="Times New Roman" w:hAnsi="Times New Roman" w:eastAsiaTheme="minorEastAsia"/>
          <w:color w:val="000000" w:themeColor="text1"/>
          <w:kern w:val="0"/>
          <w:sz w:val="24"/>
          <w:szCs w:val="24"/>
          <w14:textFill>
            <w14:solidFill>
              <w14:schemeClr w14:val="tx1"/>
            </w14:solidFill>
          </w14:textFill>
        </w:rPr>
        <w:t xml:space="preserve"> 选用低噪声机械设备；</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⑵</w:t>
      </w:r>
      <w:r>
        <w:rPr>
          <w:rFonts w:ascii="Times New Roman" w:hAnsi="Times New Roman" w:eastAsiaTheme="minorEastAsia"/>
          <w:color w:val="000000" w:themeColor="text1"/>
          <w:kern w:val="0"/>
          <w:sz w:val="24"/>
          <w:szCs w:val="24"/>
          <w14:textFill>
            <w14:solidFill>
              <w14:schemeClr w14:val="tx1"/>
            </w14:solidFill>
          </w14:textFill>
        </w:rPr>
        <w:t xml:space="preserve"> 设专人对机械设备进行定期保养和维护，并负责对工作人员进行培训，严格按操作规范使用各类机械；</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⑶</w:t>
      </w:r>
      <w:r>
        <w:rPr>
          <w:rFonts w:ascii="Times New Roman" w:hAnsi="Times New Roman" w:eastAsiaTheme="minorEastAsia"/>
          <w:color w:val="000000" w:themeColor="text1"/>
          <w:kern w:val="0"/>
          <w:sz w:val="24"/>
          <w:szCs w:val="24"/>
          <w14:textFill>
            <w14:solidFill>
              <w14:schemeClr w14:val="tx1"/>
            </w14:solidFill>
          </w14:textFill>
        </w:rPr>
        <w:t xml:space="preserve"> 船舶进入港区禁止鸣笛，并安排专人通过通信设施或其他设施方法引导，确保船舶航行安全；</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⑷</w:t>
      </w:r>
      <w:r>
        <w:rPr>
          <w:rFonts w:ascii="Times New Roman" w:hAnsi="Times New Roman" w:eastAsiaTheme="minorEastAsia"/>
          <w:color w:val="000000" w:themeColor="text1"/>
          <w:kern w:val="0"/>
          <w:sz w:val="24"/>
          <w:szCs w:val="24"/>
          <w14:textFill>
            <w14:solidFill>
              <w14:schemeClr w14:val="tx1"/>
            </w14:solidFill>
          </w14:textFill>
        </w:rPr>
        <w:t xml:space="preserve"> 流动性设备尽可能远离厂界运行，以增大其噪声衰减距离；</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⑸</w:t>
      </w:r>
      <w:r>
        <w:rPr>
          <w:rFonts w:ascii="Times New Roman" w:hAnsi="Times New Roman" w:eastAsiaTheme="minorEastAsia"/>
          <w:color w:val="000000" w:themeColor="text1"/>
          <w:kern w:val="0"/>
          <w:sz w:val="24"/>
          <w:szCs w:val="24"/>
          <w14:textFill>
            <w14:solidFill>
              <w14:schemeClr w14:val="tx1"/>
            </w14:solidFill>
          </w14:textFill>
        </w:rPr>
        <w:t xml:space="preserve"> 加强港区附近交通管理，避免交通阻塞而增加车辆噪声。</w:t>
      </w:r>
    </w:p>
    <w:p>
      <w:pPr>
        <w:autoSpaceDE w:val="0"/>
        <w:autoSpaceDN w:val="0"/>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2、装卸产生的瞬时突发噪声</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可以通过绿化带、建筑物隔声减噪8~10dB(A)，且建议采取以下管理控制措施：</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⑴</w:t>
      </w:r>
      <w:r>
        <w:rPr>
          <w:rFonts w:ascii="Times New Roman" w:hAnsi="Times New Roman" w:eastAsiaTheme="minorEastAsia"/>
          <w:color w:val="000000" w:themeColor="text1"/>
          <w:kern w:val="0"/>
          <w:sz w:val="24"/>
          <w:szCs w:val="24"/>
          <w14:textFill>
            <w14:solidFill>
              <w14:schemeClr w14:val="tx1"/>
            </w14:solidFill>
          </w14:textFill>
        </w:rPr>
        <w:t xml:space="preserve"> 严格遵守设备及装卸操作规范，防止因误操作而产生异常噪音，做到轻拿轻放。</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⑵</w:t>
      </w:r>
      <w:r>
        <w:rPr>
          <w:rFonts w:ascii="Times New Roman" w:hAnsi="Times New Roman" w:eastAsiaTheme="minorEastAsia"/>
          <w:color w:val="000000" w:themeColor="text1"/>
          <w:kern w:val="0"/>
          <w:sz w:val="24"/>
          <w:szCs w:val="24"/>
          <w14:textFill>
            <w14:solidFill>
              <w14:schemeClr w14:val="tx1"/>
            </w14:solidFill>
          </w14:textFill>
        </w:rPr>
        <w:t xml:space="preserve"> 定期对设备的主要部件进行维修和保养，保持其技术性能良好，使其排放的噪声符合有关技术标准。</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⑶</w:t>
      </w:r>
      <w:r>
        <w:rPr>
          <w:rFonts w:ascii="Times New Roman" w:hAnsi="Times New Roman" w:eastAsiaTheme="minorEastAsia"/>
          <w:color w:val="000000" w:themeColor="text1"/>
          <w:kern w:val="0"/>
          <w:sz w:val="24"/>
          <w:szCs w:val="24"/>
          <w14:textFill>
            <w14:solidFill>
              <w14:schemeClr w14:val="tx1"/>
            </w14:solidFill>
          </w14:textFill>
        </w:rPr>
        <w:t xml:space="preserve"> 检查设备的状态时，注重对其噪声的监测，对超过噪声排放标准的设备及时采取控制措施。</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⑷</w:t>
      </w:r>
      <w:r>
        <w:rPr>
          <w:rFonts w:ascii="Times New Roman" w:hAnsi="Times New Roman" w:eastAsiaTheme="minorEastAsia"/>
          <w:color w:val="000000" w:themeColor="text1"/>
          <w:kern w:val="0"/>
          <w:sz w:val="24"/>
          <w:szCs w:val="24"/>
          <w14:textFill>
            <w14:solidFill>
              <w14:schemeClr w14:val="tx1"/>
            </w14:solidFill>
          </w14:textFill>
        </w:rPr>
        <w:t xml:space="preserve"> 加强设备的检查工作，遇到突发情况时，及时修理产生异常噪音的车辆、机械设备，缩短异常噪音的排放时间。</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⑸</w:t>
      </w:r>
      <w:r>
        <w:rPr>
          <w:rFonts w:ascii="Times New Roman" w:hAnsi="Times New Roman" w:eastAsiaTheme="minorEastAsia"/>
          <w:color w:val="000000" w:themeColor="text1"/>
          <w:kern w:val="0"/>
          <w:sz w:val="24"/>
          <w:szCs w:val="24"/>
          <w14:textFill>
            <w14:solidFill>
              <w14:schemeClr w14:val="tx1"/>
            </w14:solidFill>
          </w14:textFill>
        </w:rPr>
        <w:t xml:space="preserve"> 船舶噪声主要有船舶发动机的移动噪声和船舶的汽笛声，均为间歇性噪声源，其中汽笛声为突发性噪声。主要采取的措施有：船舶发动机噪声主要采用停港即停机，减少停靠时间等方法减少发声时间，船舶汽笛按照规定进行鸣笛。</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通过采取上述治理措施后，可确保所有厂界噪声排放均达到《工业企业厂界环境噪声排放标准》（GB12348-2008）相应的3类、4类标准要求。噪声治理措施容易实施，所需费用较少，在经济上是可行的，其防治措施可行。</w:t>
      </w:r>
    </w:p>
    <w:p>
      <w:pPr>
        <w:pStyle w:val="4"/>
        <w:rPr>
          <w:rFonts w:eastAsiaTheme="minorEastAsia"/>
          <w:color w:val="000000" w:themeColor="text1"/>
          <w14:textFill>
            <w14:solidFill>
              <w14:schemeClr w14:val="tx1"/>
            </w14:solidFill>
          </w14:textFill>
        </w:rPr>
      </w:pPr>
      <w:bookmarkStart w:id="347" w:name="6.2.4固体废物污染防治措施"/>
      <w:bookmarkEnd w:id="347"/>
      <w:r>
        <w:rPr>
          <w:rFonts w:eastAsiaTheme="minorEastAsia"/>
          <w:color w:val="000000" w:themeColor="text1"/>
          <w14:textFill>
            <w14:solidFill>
              <w14:schemeClr w14:val="tx1"/>
            </w14:solidFill>
          </w14:textFill>
        </w:rPr>
        <w:t>固体废物污染防治措施</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港区设置垃圾桶、垃圾集中堆放场地，码头平台设置垃圾桶，码头作业区少量生活垃圾分别收集后委托环卫部门定期清运；废含油抹布等机修废物约为3t/a，对照《国家危险废物名录》（2016版），“废弃的含油抹布、劳保”用品可全部混入生活垃圾，全过程不按危险废物管理，因此本项目含油抹布纳入到生活垃圾处理系统，收集上岸后委托环卫部门统一清运。</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营运期到港船舶垃圾主要为船舶生活垃圾，其产生量为5.94t/a，到港船舶不得在本码头水域内排放船舶垃圾，船舶垃圾确需上岸接收的，由海事部门指定的船舶接收统一处理或专门船舶污染物接收单位有偿接收处理。来自疫情港口的船舶，其船舶垃圾需经卫生检疫部门检疫并进行卫生处理后，由海事部门认定的船舶污染物接收船有偿接收并焚烧处理。</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机械设备维修产生的废油属于HW08废矿物油类危险废物，收集后暂存于危废暂存间，定期交由有资质的危废处置单位统一处理。</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本项目在配套设施平台处设置一处6m</w:t>
      </w:r>
      <w:r>
        <w:rPr>
          <w:rFonts w:ascii="Times New Roman" w:hAnsi="Times New Roman" w:eastAsiaTheme="minorEastAsia"/>
          <w:color w:val="000000" w:themeColor="text1"/>
          <w:kern w:val="0"/>
          <w:sz w:val="24"/>
          <w:szCs w:val="24"/>
          <w:vertAlign w:val="superscript"/>
          <w14:textFill>
            <w14:solidFill>
              <w14:schemeClr w14:val="tx1"/>
            </w14:solidFill>
          </w14:textFill>
        </w:rPr>
        <w:t>2</w:t>
      </w:r>
      <w:r>
        <w:rPr>
          <w:rFonts w:ascii="Times New Roman" w:hAnsi="Times New Roman" w:eastAsiaTheme="minorEastAsia"/>
          <w:color w:val="000000" w:themeColor="text1"/>
          <w:kern w:val="0"/>
          <w:sz w:val="24"/>
          <w:szCs w:val="24"/>
          <w14:textFill>
            <w14:solidFill>
              <w14:schemeClr w14:val="tx1"/>
            </w14:solidFill>
          </w14:textFill>
        </w:rPr>
        <w:t>危废暂存间，可以满足危废贮存的要求，同时应保证及时委托处置。危险废物在收集、贮存、运输和处置过程中要符合以下要求：</w:t>
      </w:r>
    </w:p>
    <w:p>
      <w:pPr>
        <w:autoSpaceDE w:val="0"/>
        <w:autoSpaceDN w:val="0"/>
        <w:adjustRightInd w:val="0"/>
        <w:snapToGrid w:val="0"/>
        <w:spacing w:line="360" w:lineRule="auto"/>
        <w:ind w:firstLine="482" w:firstLineChars="200"/>
        <w:rPr>
          <w:rFonts w:ascii="Times New Roman" w:hAnsi="Times New Roman" w:eastAsiaTheme="minorEastAsia"/>
          <w:b/>
          <w:bCs/>
          <w:color w:val="000000" w:themeColor="text1"/>
          <w:kern w:val="0"/>
          <w:sz w:val="24"/>
          <w:szCs w:val="24"/>
          <w14:textFill>
            <w14:solidFill>
              <w14:schemeClr w14:val="tx1"/>
            </w14:solidFill>
          </w14:textFill>
        </w:rPr>
      </w:pPr>
      <w:r>
        <w:rPr>
          <w:rFonts w:ascii="Times New Roman" w:hAnsi="Times New Roman" w:eastAsiaTheme="minorEastAsia"/>
          <w:b/>
          <w:bCs/>
          <w:color w:val="000000" w:themeColor="text1"/>
          <w:kern w:val="0"/>
          <w:sz w:val="24"/>
          <w:szCs w:val="24"/>
          <w14:textFill>
            <w14:solidFill>
              <w14:schemeClr w14:val="tx1"/>
            </w14:solidFill>
          </w14:textFill>
        </w:rPr>
        <w:t>1、危险废物的收集防治要求</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⑴</w:t>
      </w:r>
      <w:r>
        <w:rPr>
          <w:rFonts w:ascii="Times New Roman" w:hAnsi="Times New Roman" w:eastAsiaTheme="minorEastAsia"/>
          <w:color w:val="000000" w:themeColor="text1"/>
          <w:kern w:val="0"/>
          <w:sz w:val="24"/>
          <w:szCs w:val="24"/>
          <w14:textFill>
            <w14:solidFill>
              <w14:schemeClr w14:val="tx1"/>
            </w14:solidFill>
          </w14:textFill>
        </w:rPr>
        <w:t xml:space="preserve"> 危险废物要根据其成分，用符合国家标准的专门容器分类收集。</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⑵</w:t>
      </w:r>
      <w:r>
        <w:rPr>
          <w:rFonts w:ascii="Times New Roman" w:hAnsi="Times New Roman" w:eastAsiaTheme="minorEastAsia"/>
          <w:color w:val="000000" w:themeColor="text1"/>
          <w:kern w:val="0"/>
          <w:sz w:val="24"/>
          <w:szCs w:val="24"/>
          <w14:textFill>
            <w14:solidFill>
              <w14:schemeClr w14:val="tx1"/>
            </w14:solidFill>
          </w14:textFill>
        </w:rPr>
        <w:t xml:space="preserve"> 装有危险废物的容器和场所必须设有标签，在标签上详细标明危险废物的名称、重量、成分、特性以及发生泄漏、扩散污染事故时的应急措施和补救方法。</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⑶</w:t>
      </w:r>
      <w:r>
        <w:rPr>
          <w:rFonts w:ascii="Times New Roman" w:hAnsi="Times New Roman" w:eastAsiaTheme="minorEastAsia"/>
          <w:color w:val="000000" w:themeColor="text1"/>
          <w:kern w:val="0"/>
          <w:sz w:val="24"/>
          <w:szCs w:val="24"/>
          <w14:textFill>
            <w14:solidFill>
              <w14:schemeClr w14:val="tx1"/>
            </w14:solidFill>
          </w14:textFill>
        </w:rPr>
        <w:t xml:space="preserve"> 危险废物收集时应根据危险废物的种类、数量、危险特性、物理形态、运输要求等因素确定包装形式，具体包装应符合如下要求：</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①</w:t>
      </w:r>
      <w:r>
        <w:rPr>
          <w:rFonts w:ascii="Times New Roman" w:hAnsi="Times New Roman" w:eastAsiaTheme="minorEastAsia"/>
          <w:color w:val="000000" w:themeColor="text1"/>
          <w:kern w:val="0"/>
          <w:sz w:val="24"/>
          <w:szCs w:val="24"/>
          <w14:textFill>
            <w14:solidFill>
              <w14:schemeClr w14:val="tx1"/>
            </w14:solidFill>
          </w14:textFill>
        </w:rPr>
        <w:t xml:space="preserve"> 包装材质要与危险废物相容，可根据废物特性选择钢、铝、塑料等材质。</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②</w:t>
      </w:r>
      <w:r>
        <w:rPr>
          <w:rFonts w:ascii="Times New Roman" w:hAnsi="Times New Roman" w:eastAsiaTheme="minorEastAsia"/>
          <w:color w:val="000000" w:themeColor="text1"/>
          <w:kern w:val="0"/>
          <w:sz w:val="24"/>
          <w:szCs w:val="24"/>
          <w14:textFill>
            <w14:solidFill>
              <w14:schemeClr w14:val="tx1"/>
            </w14:solidFill>
          </w14:textFill>
        </w:rPr>
        <w:t xml:space="preserve"> 性质类似的废物可收集到同一容器中，性质不相容的危险废物不应混合包装。</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③</w:t>
      </w:r>
      <w:r>
        <w:rPr>
          <w:rFonts w:ascii="Times New Roman" w:hAnsi="Times New Roman" w:eastAsiaTheme="minorEastAsia"/>
          <w:color w:val="000000" w:themeColor="text1"/>
          <w:kern w:val="0"/>
          <w:sz w:val="24"/>
          <w:szCs w:val="24"/>
          <w14:textFill>
            <w14:solidFill>
              <w14:schemeClr w14:val="tx1"/>
            </w14:solidFill>
          </w14:textFill>
        </w:rPr>
        <w:t xml:space="preserve"> 危险废物包装应能有效隔断危险废物迁移扩散途径，并达到防渗、防漏要求。</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④</w:t>
      </w:r>
      <w:r>
        <w:rPr>
          <w:rFonts w:ascii="Times New Roman" w:hAnsi="Times New Roman" w:eastAsiaTheme="minorEastAsia"/>
          <w:color w:val="000000" w:themeColor="text1"/>
          <w:kern w:val="0"/>
          <w:sz w:val="24"/>
          <w:szCs w:val="24"/>
          <w14:textFill>
            <w14:solidFill>
              <w14:schemeClr w14:val="tx1"/>
            </w14:solidFill>
          </w14:textFill>
        </w:rPr>
        <w:t xml:space="preserve"> 包装好的危险废物应设置相应的标签，标签信息应填写完整详实。</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⑤</w:t>
      </w:r>
      <w:r>
        <w:rPr>
          <w:rFonts w:ascii="Times New Roman" w:hAnsi="Times New Roman" w:eastAsiaTheme="minorEastAsia"/>
          <w:color w:val="000000" w:themeColor="text1"/>
          <w:kern w:val="0"/>
          <w:sz w:val="24"/>
          <w:szCs w:val="24"/>
          <w14:textFill>
            <w14:solidFill>
              <w14:schemeClr w14:val="tx1"/>
            </w14:solidFill>
          </w14:textFill>
        </w:rPr>
        <w:t xml:space="preserve"> 盛装过危险废物的包装袋或包装容器破损后应按危险废物进行管理和处置。</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⑥</w:t>
      </w:r>
      <w:r>
        <w:rPr>
          <w:rFonts w:ascii="Times New Roman" w:hAnsi="Times New Roman" w:eastAsiaTheme="minorEastAsia"/>
          <w:color w:val="000000" w:themeColor="text1"/>
          <w:kern w:val="0"/>
          <w:sz w:val="24"/>
          <w:szCs w:val="24"/>
          <w14:textFill>
            <w14:solidFill>
              <w14:schemeClr w14:val="tx1"/>
            </w14:solidFill>
          </w14:textFill>
        </w:rPr>
        <w:t xml:space="preserve"> 危险废物还应根据《危险货物运输包装通用技术条件》（GB12463-2009）的有关要求进行运输包装。</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⑷</w:t>
      </w:r>
      <w:r>
        <w:rPr>
          <w:rFonts w:ascii="Times New Roman" w:hAnsi="Times New Roman" w:eastAsiaTheme="minorEastAsia"/>
          <w:color w:val="000000" w:themeColor="text1"/>
          <w:kern w:val="0"/>
          <w:sz w:val="24"/>
          <w:szCs w:val="24"/>
          <w14:textFill>
            <w14:solidFill>
              <w14:schemeClr w14:val="tx1"/>
            </w14:solidFill>
          </w14:textFill>
        </w:rPr>
        <w:t xml:space="preserve"> 危险废物的收集作业应满足如下要求：</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①</w:t>
      </w:r>
      <w:r>
        <w:rPr>
          <w:rFonts w:ascii="Times New Roman" w:hAnsi="Times New Roman" w:eastAsiaTheme="minorEastAsia"/>
          <w:color w:val="000000" w:themeColor="text1"/>
          <w:kern w:val="0"/>
          <w:sz w:val="24"/>
          <w:szCs w:val="24"/>
          <w14:textFill>
            <w14:solidFill>
              <w14:schemeClr w14:val="tx1"/>
            </w14:solidFill>
          </w14:textFill>
        </w:rPr>
        <w:t xml:space="preserve"> 应根据收集设备、转运车辆以及现场人员等实际情况确定相应作业区域，同时要设置作业界限标志和警示牌。</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②</w:t>
      </w:r>
      <w:r>
        <w:rPr>
          <w:rFonts w:ascii="Times New Roman" w:hAnsi="Times New Roman" w:eastAsiaTheme="minorEastAsia"/>
          <w:color w:val="000000" w:themeColor="text1"/>
          <w:kern w:val="0"/>
          <w:sz w:val="24"/>
          <w:szCs w:val="24"/>
          <w14:textFill>
            <w14:solidFill>
              <w14:schemeClr w14:val="tx1"/>
            </w14:solidFill>
          </w14:textFill>
        </w:rPr>
        <w:t xml:space="preserve"> 作业区域内应设置危险废物收集专用通道和人员避险通道。</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③</w:t>
      </w:r>
      <w:r>
        <w:rPr>
          <w:rFonts w:ascii="Times New Roman" w:hAnsi="Times New Roman" w:eastAsiaTheme="minorEastAsia"/>
          <w:color w:val="000000" w:themeColor="text1"/>
          <w:kern w:val="0"/>
          <w:sz w:val="24"/>
          <w:szCs w:val="24"/>
          <w14:textFill>
            <w14:solidFill>
              <w14:schemeClr w14:val="tx1"/>
            </w14:solidFill>
          </w14:textFill>
        </w:rPr>
        <w:t xml:space="preserve"> 收集时应配备必要的收集工具和包装物，以及必要的应急监测设备及应急装备。</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④</w:t>
      </w:r>
      <w:r>
        <w:rPr>
          <w:rFonts w:ascii="Times New Roman" w:hAnsi="Times New Roman" w:eastAsiaTheme="minorEastAsia"/>
          <w:color w:val="000000" w:themeColor="text1"/>
          <w:kern w:val="0"/>
          <w:sz w:val="24"/>
          <w:szCs w:val="24"/>
          <w14:textFill>
            <w14:solidFill>
              <w14:schemeClr w14:val="tx1"/>
            </w14:solidFill>
          </w14:textFill>
        </w:rPr>
        <w:t xml:space="preserve"> 危险废物收集应参照《危险废物收集贮存运输技术规范》（HJ2025-2012）附录A填写记录表，并将记录表作为危险废物管理的重要档案妥善保存。</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⑤</w:t>
      </w:r>
      <w:r>
        <w:rPr>
          <w:rFonts w:ascii="Times New Roman" w:hAnsi="Times New Roman" w:eastAsiaTheme="minorEastAsia"/>
          <w:color w:val="000000" w:themeColor="text1"/>
          <w:kern w:val="0"/>
          <w:sz w:val="24"/>
          <w:szCs w:val="24"/>
          <w14:textFill>
            <w14:solidFill>
              <w14:schemeClr w14:val="tx1"/>
            </w14:solidFill>
          </w14:textFill>
        </w:rPr>
        <w:t xml:space="preserve"> 收集结束后应清理和恢复收集作业区域，确保作业区域环境整洁安全。</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⑥</w:t>
      </w:r>
      <w:r>
        <w:rPr>
          <w:rFonts w:ascii="Times New Roman" w:hAnsi="Times New Roman" w:eastAsiaTheme="minorEastAsia"/>
          <w:color w:val="000000" w:themeColor="text1"/>
          <w:kern w:val="0"/>
          <w:sz w:val="24"/>
          <w:szCs w:val="24"/>
          <w14:textFill>
            <w14:solidFill>
              <w14:schemeClr w14:val="tx1"/>
            </w14:solidFill>
          </w14:textFill>
        </w:rPr>
        <w:t xml:space="preserve"> 收集过危险废物的容器、设备、设施、场所及其它物品转作它用时，应消除污染，确保其使用安全。</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⑸</w:t>
      </w:r>
      <w:r>
        <w:rPr>
          <w:rFonts w:ascii="Times New Roman" w:hAnsi="Times New Roman" w:eastAsiaTheme="minorEastAsia"/>
          <w:color w:val="000000" w:themeColor="text1"/>
          <w:kern w:val="0"/>
          <w:sz w:val="24"/>
          <w:szCs w:val="24"/>
          <w14:textFill>
            <w14:solidFill>
              <w14:schemeClr w14:val="tx1"/>
            </w14:solidFill>
          </w14:textFill>
        </w:rPr>
        <w:t xml:space="preserve"> 危险废物内部转运作业应满足如下要求：</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①</w:t>
      </w:r>
      <w:r>
        <w:rPr>
          <w:rFonts w:ascii="Times New Roman" w:hAnsi="Times New Roman" w:eastAsiaTheme="minorEastAsia"/>
          <w:color w:val="000000" w:themeColor="text1"/>
          <w:kern w:val="0"/>
          <w:sz w:val="24"/>
          <w:szCs w:val="24"/>
          <w14:textFill>
            <w14:solidFill>
              <w14:schemeClr w14:val="tx1"/>
            </w14:solidFill>
          </w14:textFill>
        </w:rPr>
        <w:t xml:space="preserve"> 危险废物内部转运作业应采用专用的工具，危险废物内部转运应参照《危险废物收集贮存运输技术规范》（HJ2025-2012）附录B填写《危险废物厂内转运记录表》。</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②</w:t>
      </w:r>
      <w:r>
        <w:rPr>
          <w:rFonts w:ascii="Times New Roman" w:hAnsi="Times New Roman" w:eastAsiaTheme="minorEastAsia"/>
          <w:color w:val="000000" w:themeColor="text1"/>
          <w:kern w:val="0"/>
          <w:sz w:val="24"/>
          <w:szCs w:val="24"/>
          <w14:textFill>
            <w14:solidFill>
              <w14:schemeClr w14:val="tx1"/>
            </w14:solidFill>
          </w14:textFill>
        </w:rPr>
        <w:t xml:space="preserve"> 危险废物内部转运结束后，应对转运路线进行检查和清理，确保无危险废物遗失在转运路线上，并对转运工具进行清洗。</w:t>
      </w:r>
    </w:p>
    <w:p>
      <w:pPr>
        <w:autoSpaceDE w:val="0"/>
        <w:autoSpaceDN w:val="0"/>
        <w:adjustRightInd w:val="0"/>
        <w:snapToGrid w:val="0"/>
        <w:spacing w:line="360" w:lineRule="auto"/>
        <w:ind w:firstLine="482" w:firstLineChars="200"/>
        <w:rPr>
          <w:rFonts w:ascii="Times New Roman" w:hAnsi="Times New Roman" w:eastAsiaTheme="minorEastAsia"/>
          <w:b/>
          <w:bCs/>
          <w:color w:val="000000" w:themeColor="text1"/>
          <w:kern w:val="0"/>
          <w:sz w:val="24"/>
          <w:szCs w:val="24"/>
          <w14:textFill>
            <w14:solidFill>
              <w14:schemeClr w14:val="tx1"/>
            </w14:solidFill>
          </w14:textFill>
        </w:rPr>
      </w:pPr>
      <w:r>
        <w:rPr>
          <w:rFonts w:ascii="Times New Roman" w:hAnsi="Times New Roman" w:eastAsiaTheme="minorEastAsia"/>
          <w:b/>
          <w:bCs/>
          <w:color w:val="000000" w:themeColor="text1"/>
          <w:kern w:val="0"/>
          <w:sz w:val="24"/>
          <w:szCs w:val="24"/>
          <w14:textFill>
            <w14:solidFill>
              <w14:schemeClr w14:val="tx1"/>
            </w14:solidFill>
          </w14:textFill>
        </w:rPr>
        <w:t>2、危险废物的贮存防治要求</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⑴</w:t>
      </w:r>
      <w:r>
        <w:rPr>
          <w:rFonts w:ascii="Times New Roman" w:hAnsi="Times New Roman" w:eastAsiaTheme="minorEastAsia"/>
          <w:color w:val="000000" w:themeColor="text1"/>
          <w:kern w:val="0"/>
          <w:sz w:val="24"/>
          <w:szCs w:val="24"/>
          <w14:textFill>
            <w14:solidFill>
              <w14:schemeClr w14:val="tx1"/>
            </w14:solidFill>
          </w14:textFill>
        </w:rPr>
        <w:t xml:space="preserve"> 对已产生的危险废物，若暂时不能回收利用或进行处理处置的，其产生单位须建设专门的危险废物贮存设施进行贮存，并设立危险废物标志，或委托具有专门危险废物贮存设施的单位进行贮存，贮存期限不得超过国家规定。</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贮存危险废物的单位需拥有相应的许可证。禁止将危险废物以任何形式转移给无许可证的单位，或转移到非危险废物贮存设施中。危险废物贮存设施应有相应的配套设施并按有关规定进行管理。</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⑵</w:t>
      </w:r>
      <w:r>
        <w:rPr>
          <w:rFonts w:ascii="Times New Roman" w:hAnsi="Times New Roman" w:eastAsiaTheme="minorEastAsia"/>
          <w:color w:val="000000" w:themeColor="text1"/>
          <w:kern w:val="0"/>
          <w:sz w:val="24"/>
          <w:szCs w:val="24"/>
          <w14:textFill>
            <w14:solidFill>
              <w14:schemeClr w14:val="tx1"/>
            </w14:solidFill>
          </w14:textFill>
        </w:rPr>
        <w:t xml:space="preserve"> 危险废物的贮存设施应满足以下要求：</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①</w:t>
      </w:r>
      <w:r>
        <w:rPr>
          <w:rFonts w:ascii="Times New Roman" w:hAnsi="Times New Roman" w:eastAsiaTheme="minorEastAsia"/>
          <w:color w:val="000000" w:themeColor="text1"/>
          <w:kern w:val="0"/>
          <w:sz w:val="24"/>
          <w:szCs w:val="24"/>
          <w14:textFill>
            <w14:solidFill>
              <w14:schemeClr w14:val="tx1"/>
            </w14:solidFill>
          </w14:textFill>
        </w:rPr>
        <w:t xml:space="preserve"> 应建有堵截泄漏的裙脚，地面与裙脚要用坚固防渗的材料建造。应有隔离设施、报警装置和防风、防晒、防雨设施；</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②</w:t>
      </w:r>
      <w:r>
        <w:rPr>
          <w:rFonts w:ascii="Times New Roman" w:hAnsi="Times New Roman" w:eastAsiaTheme="minorEastAsia"/>
          <w:color w:val="000000" w:themeColor="text1"/>
          <w:kern w:val="0"/>
          <w:sz w:val="24"/>
          <w:szCs w:val="24"/>
          <w14:textFill>
            <w14:solidFill>
              <w14:schemeClr w14:val="tx1"/>
            </w14:solidFill>
          </w14:textFill>
        </w:rPr>
        <w:t xml:space="preserve"> 基础防渗层为粘土层的，其厚度应在1米以上，渗透系数应小于1.0×10</w:t>
      </w:r>
      <w:r>
        <w:rPr>
          <w:rFonts w:ascii="Times New Roman" w:hAnsi="Times New Roman" w:eastAsiaTheme="minorEastAsia"/>
          <w:color w:val="000000" w:themeColor="text1"/>
          <w:kern w:val="0"/>
          <w:sz w:val="24"/>
          <w:szCs w:val="24"/>
          <w:vertAlign w:val="superscript"/>
          <w14:textFill>
            <w14:solidFill>
              <w14:schemeClr w14:val="tx1"/>
            </w14:solidFill>
          </w14:textFill>
        </w:rPr>
        <w:t>-7</w:t>
      </w:r>
      <w:r>
        <w:rPr>
          <w:rFonts w:ascii="Times New Roman" w:hAnsi="Times New Roman" w:eastAsiaTheme="minorEastAsia"/>
          <w:color w:val="000000" w:themeColor="text1"/>
          <w:kern w:val="0"/>
          <w:sz w:val="24"/>
          <w:szCs w:val="24"/>
          <w14:textFill>
            <w14:solidFill>
              <w14:schemeClr w14:val="tx1"/>
            </w14:solidFill>
          </w14:textFill>
        </w:rPr>
        <w:t>厘米/秒；基础防渗层也可用厚度在2毫米以上的高密度聚乙烯或其他人工防渗材料组成，渗透系数应小于1.0×10</w:t>
      </w:r>
      <w:r>
        <w:rPr>
          <w:rFonts w:ascii="Times New Roman" w:hAnsi="Times New Roman" w:eastAsiaTheme="minorEastAsia"/>
          <w:color w:val="000000" w:themeColor="text1"/>
          <w:kern w:val="0"/>
          <w:sz w:val="24"/>
          <w:szCs w:val="24"/>
          <w:vertAlign w:val="superscript"/>
          <w14:textFill>
            <w14:solidFill>
              <w14:schemeClr w14:val="tx1"/>
            </w14:solidFill>
          </w14:textFill>
        </w:rPr>
        <w:t>-10</w:t>
      </w:r>
      <w:r>
        <w:rPr>
          <w:rFonts w:ascii="Times New Roman" w:hAnsi="Times New Roman" w:eastAsiaTheme="minorEastAsia"/>
          <w:color w:val="000000" w:themeColor="text1"/>
          <w:kern w:val="0"/>
          <w:sz w:val="24"/>
          <w:szCs w:val="24"/>
          <w14:textFill>
            <w14:solidFill>
              <w14:schemeClr w14:val="tx1"/>
            </w14:solidFill>
          </w14:textFill>
        </w:rPr>
        <w:t>厘米/秒；</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③</w:t>
      </w:r>
      <w:r>
        <w:rPr>
          <w:rFonts w:ascii="Times New Roman" w:hAnsi="Times New Roman" w:eastAsiaTheme="minorEastAsia"/>
          <w:color w:val="000000" w:themeColor="text1"/>
          <w:kern w:val="0"/>
          <w:sz w:val="24"/>
          <w:szCs w:val="24"/>
          <w14:textFill>
            <w14:solidFill>
              <w14:schemeClr w14:val="tx1"/>
            </w14:solidFill>
          </w14:textFill>
        </w:rPr>
        <w:t xml:space="preserve"> 须有泄漏液体收集装置及气体导出口和气体净化装置；</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④</w:t>
      </w:r>
      <w:r>
        <w:rPr>
          <w:rFonts w:ascii="Times New Roman" w:hAnsi="Times New Roman" w:eastAsiaTheme="minorEastAsia"/>
          <w:color w:val="000000" w:themeColor="text1"/>
          <w:kern w:val="0"/>
          <w:sz w:val="24"/>
          <w:szCs w:val="24"/>
          <w14:textFill>
            <w14:solidFill>
              <w14:schemeClr w14:val="tx1"/>
            </w14:solidFill>
          </w14:textFill>
        </w:rPr>
        <w:t xml:space="preserve"> 用于存放液体、半固体危险废物的地方，还须有耐腐蚀的硬化地面，地面无裂隙；</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⑤</w:t>
      </w:r>
      <w:r>
        <w:rPr>
          <w:rFonts w:ascii="Times New Roman" w:hAnsi="Times New Roman" w:eastAsiaTheme="minorEastAsia"/>
          <w:color w:val="000000" w:themeColor="text1"/>
          <w:kern w:val="0"/>
          <w:sz w:val="24"/>
          <w:szCs w:val="24"/>
          <w14:textFill>
            <w14:solidFill>
              <w14:schemeClr w14:val="tx1"/>
            </w14:solidFill>
          </w14:textFill>
        </w:rPr>
        <w:t xml:space="preserve"> 贮存危险废物时应按危险废物的种类和特性进行分区贮存，每个贮存区域之间宜设置挡墙间隔，并应设置防雨、防火、防雷、防扬尘装置；</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⑥</w:t>
      </w:r>
      <w:r>
        <w:rPr>
          <w:rFonts w:ascii="Times New Roman" w:hAnsi="Times New Roman" w:eastAsiaTheme="minorEastAsia"/>
          <w:color w:val="000000" w:themeColor="text1"/>
          <w:kern w:val="0"/>
          <w:sz w:val="24"/>
          <w:szCs w:val="24"/>
          <w14:textFill>
            <w14:solidFill>
              <w14:schemeClr w14:val="tx1"/>
            </w14:solidFill>
          </w14:textFill>
        </w:rPr>
        <w:t xml:space="preserve"> 衬层上需建有渗滤液收集清除系统、径流疏导系统、雨水收集池；</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⑦</w:t>
      </w:r>
      <w:r>
        <w:rPr>
          <w:rFonts w:ascii="Times New Roman" w:hAnsi="Times New Roman" w:eastAsiaTheme="minorEastAsia"/>
          <w:color w:val="000000" w:themeColor="text1"/>
          <w:kern w:val="0"/>
          <w:sz w:val="24"/>
          <w:szCs w:val="24"/>
          <w14:textFill>
            <w14:solidFill>
              <w14:schemeClr w14:val="tx1"/>
            </w14:solidFill>
          </w14:textFill>
        </w:rPr>
        <w:t xml:space="preserve"> 危险废物贮存设施应配备通讯设备、照明设施和消防设施；</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⑧</w:t>
      </w:r>
      <w:r>
        <w:rPr>
          <w:rFonts w:ascii="Times New Roman" w:hAnsi="Times New Roman" w:eastAsiaTheme="minorEastAsia"/>
          <w:color w:val="000000" w:themeColor="text1"/>
          <w:kern w:val="0"/>
          <w:sz w:val="24"/>
          <w:szCs w:val="24"/>
          <w14:textFill>
            <w14:solidFill>
              <w14:schemeClr w14:val="tx1"/>
            </w14:solidFill>
          </w14:textFill>
        </w:rPr>
        <w:t xml:space="preserve"> 废弃危险化学品贮存应满足《危险化学品安全管理条例》、《废弃危险化学品污染环境防治办法》的要求。贮存废弃剧毒化学品还应充分考虑防盗要求，采用双钥匙封闭式管理，且有专人24小时看管。</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⑨</w:t>
      </w:r>
      <w:r>
        <w:rPr>
          <w:rFonts w:ascii="Times New Roman" w:hAnsi="Times New Roman" w:eastAsiaTheme="minorEastAsia"/>
          <w:color w:val="000000" w:themeColor="text1"/>
          <w:kern w:val="0"/>
          <w:sz w:val="24"/>
          <w:szCs w:val="24"/>
          <w14:textFill>
            <w14:solidFill>
              <w14:schemeClr w14:val="tx1"/>
            </w14:solidFill>
          </w14:textFill>
        </w:rPr>
        <w:t xml:space="preserve"> 危险废物贮存设施应根据贮存的废物种类和特性按照</w:t>
      </w:r>
      <w:r>
        <w:rPr>
          <w:rFonts w:hint="eastAsia" w:ascii="Times New Roman" w:hAnsi="Times New Roman" w:eastAsiaTheme="minorEastAsia"/>
          <w:color w:val="000000" w:themeColor="text1"/>
          <w:kern w:val="0"/>
          <w:sz w:val="24"/>
          <w:szCs w:val="24"/>
          <w:lang w:eastAsia="zh-CN"/>
          <w14:textFill>
            <w14:solidFill>
              <w14:schemeClr w14:val="tx1"/>
            </w14:solidFill>
          </w14:textFill>
        </w:rPr>
        <w:t>《</w:t>
      </w:r>
      <w:r>
        <w:rPr>
          <w:rFonts w:ascii="Times New Roman" w:hAnsi="Times New Roman" w:eastAsiaTheme="minorEastAsia"/>
          <w:color w:val="000000" w:themeColor="text1"/>
          <w:kern w:val="0"/>
          <w:sz w:val="24"/>
          <w:szCs w:val="24"/>
          <w14:textFill>
            <w14:solidFill>
              <w14:schemeClr w14:val="tx1"/>
            </w14:solidFill>
          </w14:textFill>
        </w:rPr>
        <w:t>危险废物贮存污染控制标准</w:t>
      </w:r>
      <w:r>
        <w:rPr>
          <w:rFonts w:hint="eastAsia" w:ascii="Times New Roman" w:hAnsi="Times New Roman" w:eastAsiaTheme="minorEastAsia"/>
          <w:color w:val="000000" w:themeColor="text1"/>
          <w:kern w:val="0"/>
          <w:sz w:val="24"/>
          <w:szCs w:val="24"/>
          <w:lang w:eastAsia="zh-CN"/>
          <w14:textFill>
            <w14:solidFill>
              <w14:schemeClr w14:val="tx1"/>
            </w14:solidFill>
          </w14:textFill>
        </w:rPr>
        <w:t>》（</w:t>
      </w:r>
      <w:r>
        <w:rPr>
          <w:rFonts w:hint="default" w:ascii="Times New Roman" w:hAnsi="Times New Roman" w:eastAsiaTheme="minorEastAsia"/>
          <w:color w:val="000000" w:themeColor="text1"/>
          <w:kern w:val="0"/>
          <w:sz w:val="24"/>
          <w:szCs w:val="24"/>
          <w14:textFill>
            <w14:solidFill>
              <w14:schemeClr w14:val="tx1"/>
            </w14:solidFill>
          </w14:textFill>
        </w:rPr>
        <w:t>GB18597-2001</w:t>
      </w:r>
      <w:r>
        <w:rPr>
          <w:rFonts w:hint="eastAsia" w:ascii="Times New Roman" w:hAnsi="Times New Roman" w:eastAsiaTheme="minorEastAsia"/>
          <w:color w:val="000000" w:themeColor="text1"/>
          <w:kern w:val="0"/>
          <w:sz w:val="24"/>
          <w:szCs w:val="24"/>
          <w:lang w:eastAsia="zh-CN"/>
          <w14:textFill>
            <w14:solidFill>
              <w14:schemeClr w14:val="tx1"/>
            </w14:solidFill>
          </w14:textFill>
        </w:rPr>
        <w:t>）</w:t>
      </w:r>
      <w:r>
        <w:rPr>
          <w:rFonts w:ascii="Times New Roman" w:hAnsi="Times New Roman" w:eastAsiaTheme="minorEastAsia"/>
          <w:color w:val="000000" w:themeColor="text1"/>
          <w:kern w:val="0"/>
          <w:sz w:val="24"/>
          <w:szCs w:val="24"/>
          <w14:textFill>
            <w14:solidFill>
              <w14:schemeClr w14:val="tx1"/>
            </w14:solidFill>
          </w14:textFill>
        </w:rPr>
        <w:t>附录A设置标志。</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⑶</w:t>
      </w:r>
      <w:r>
        <w:rPr>
          <w:rFonts w:ascii="Times New Roman" w:hAnsi="Times New Roman" w:eastAsiaTheme="minorEastAsia"/>
          <w:color w:val="000000" w:themeColor="text1"/>
          <w:kern w:val="0"/>
          <w:sz w:val="24"/>
          <w:szCs w:val="24"/>
          <w14:textFill>
            <w14:solidFill>
              <w14:schemeClr w14:val="tx1"/>
            </w14:solidFill>
          </w14:textFill>
        </w:rPr>
        <w:t xml:space="preserve"> 危险废物的贮存设施的选址与设计、运行与管理、安全防护、环境监测及应急措施、以及关闭等须遵循《危险废物贮存污染控制标准》的规定。</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⑷</w:t>
      </w:r>
      <w:r>
        <w:rPr>
          <w:rFonts w:ascii="Times New Roman" w:hAnsi="Times New Roman" w:eastAsiaTheme="minorEastAsia"/>
          <w:color w:val="000000" w:themeColor="text1"/>
          <w:kern w:val="0"/>
          <w:sz w:val="24"/>
          <w:szCs w:val="24"/>
          <w14:textFill>
            <w14:solidFill>
              <w14:schemeClr w14:val="tx1"/>
            </w14:solidFill>
          </w14:textFill>
        </w:rPr>
        <w:t xml:space="preserve"> 贮存易燃易爆危险废物应配置有机气体报警、火灾报警装置和导出静电的接地装置。</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⑸</w:t>
      </w:r>
      <w:r>
        <w:rPr>
          <w:rFonts w:ascii="Times New Roman" w:hAnsi="Times New Roman" w:eastAsiaTheme="minorEastAsia"/>
          <w:color w:val="000000" w:themeColor="text1"/>
          <w:kern w:val="0"/>
          <w:sz w:val="24"/>
          <w:szCs w:val="24"/>
          <w14:textFill>
            <w14:solidFill>
              <w14:schemeClr w14:val="tx1"/>
            </w14:solidFill>
          </w14:textFill>
        </w:rPr>
        <w:t xml:space="preserve"> 危险废物贮存期限应符合《中华人民共和国固体废物污染环境防治法》中的规定，不得超过一年。</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⑹</w:t>
      </w:r>
      <w:r>
        <w:rPr>
          <w:rFonts w:ascii="Times New Roman" w:hAnsi="Times New Roman" w:eastAsiaTheme="minorEastAsia"/>
          <w:color w:val="000000" w:themeColor="text1"/>
          <w:kern w:val="0"/>
          <w:sz w:val="24"/>
          <w:szCs w:val="24"/>
          <w14:textFill>
            <w14:solidFill>
              <w14:schemeClr w14:val="tx1"/>
            </w14:solidFill>
          </w14:textFill>
        </w:rPr>
        <w:t xml:space="preserve"> 危险废物贮存单位应建立危险废物贮存的台账制度，危险废物出入库交接记录内容应参照《危险废物收集贮存运输技术规范》（HJ2025-2012）附录C执行。</w:t>
      </w:r>
    </w:p>
    <w:p>
      <w:pPr>
        <w:autoSpaceDE w:val="0"/>
        <w:autoSpaceDN w:val="0"/>
        <w:adjustRightInd w:val="0"/>
        <w:snapToGrid w:val="0"/>
        <w:spacing w:line="360" w:lineRule="auto"/>
        <w:ind w:firstLine="482"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b/>
          <w:bCs/>
          <w:color w:val="000000" w:themeColor="text1"/>
          <w:kern w:val="0"/>
          <w:sz w:val="24"/>
          <w:szCs w:val="24"/>
          <w14:textFill>
            <w14:solidFill>
              <w14:schemeClr w14:val="tx1"/>
            </w14:solidFill>
          </w14:textFill>
        </w:rPr>
        <w:t>3、危险废物运输过程污染防治</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⑴</w:t>
      </w:r>
      <w:r>
        <w:rPr>
          <w:rFonts w:ascii="Times New Roman" w:hAnsi="Times New Roman" w:eastAsiaTheme="minorEastAsia"/>
          <w:color w:val="000000" w:themeColor="text1"/>
          <w:kern w:val="0"/>
          <w:sz w:val="24"/>
          <w:szCs w:val="24"/>
          <w14:textFill>
            <w14:solidFill>
              <w14:schemeClr w14:val="tx1"/>
            </w14:solidFill>
          </w14:textFill>
        </w:rPr>
        <w:t xml:space="preserve"> 危险废物运输应由持有危险废物经营许可证的单位按照其许可证的经营范围组织实施，承担危险废物运输的单位应获得交通运输部门颁发的危险货物运输资质。</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⑵</w:t>
      </w:r>
      <w:r>
        <w:rPr>
          <w:rFonts w:ascii="Times New Roman" w:hAnsi="Times New Roman" w:eastAsiaTheme="minorEastAsia"/>
          <w:color w:val="000000" w:themeColor="text1"/>
          <w:kern w:val="0"/>
          <w:sz w:val="24"/>
          <w:szCs w:val="24"/>
          <w14:textFill>
            <w14:solidFill>
              <w14:schemeClr w14:val="tx1"/>
            </w14:solidFill>
          </w14:textFill>
        </w:rPr>
        <w:t xml:space="preserve"> 危险废物公路运输应按照《道路危险货物运输管理规定》（交通部令</w:t>
      </w:r>
      <w:r>
        <w:rPr>
          <w:rFonts w:hint="eastAsia" w:ascii="Times New Roman" w:hAnsi="Times New Roman" w:eastAsiaTheme="minorEastAsia"/>
          <w:color w:val="000000" w:themeColor="text1"/>
          <w:kern w:val="0"/>
          <w:sz w:val="24"/>
          <w:szCs w:val="24"/>
          <w:lang w:eastAsia="zh-CN"/>
          <w14:textFill>
            <w14:solidFill>
              <w14:schemeClr w14:val="tx1"/>
            </w14:solidFill>
          </w14:textFill>
        </w:rPr>
        <w:t>〔</w:t>
      </w:r>
      <w:r>
        <w:rPr>
          <w:rFonts w:ascii="Times New Roman" w:hAnsi="Times New Roman" w:eastAsiaTheme="minorEastAsia"/>
          <w:color w:val="000000" w:themeColor="text1"/>
          <w:kern w:val="0"/>
          <w:sz w:val="24"/>
          <w:szCs w:val="24"/>
          <w14:textFill>
            <w14:solidFill>
              <w14:schemeClr w14:val="tx1"/>
            </w14:solidFill>
          </w14:textFill>
        </w:rPr>
        <w:t>2005</w:t>
      </w:r>
      <w:r>
        <w:rPr>
          <w:rFonts w:hint="eastAsia" w:ascii="Times New Roman" w:hAnsi="Times New Roman" w:eastAsiaTheme="minorEastAsia"/>
          <w:color w:val="000000" w:themeColor="text1"/>
          <w:kern w:val="0"/>
          <w:sz w:val="24"/>
          <w:szCs w:val="24"/>
          <w:lang w:eastAsia="zh-CN"/>
          <w14:textFill>
            <w14:solidFill>
              <w14:schemeClr w14:val="tx1"/>
            </w14:solidFill>
          </w14:textFill>
        </w:rPr>
        <w:t>〕</w:t>
      </w:r>
      <w:r>
        <w:rPr>
          <w:rFonts w:ascii="Times New Roman" w:hAnsi="Times New Roman" w:eastAsiaTheme="minorEastAsia"/>
          <w:color w:val="000000" w:themeColor="text1"/>
          <w:kern w:val="0"/>
          <w:sz w:val="24"/>
          <w:szCs w:val="24"/>
          <w14:textFill>
            <w14:solidFill>
              <w14:schemeClr w14:val="tx1"/>
            </w14:solidFill>
          </w14:textFill>
        </w:rPr>
        <w:t>第9号）、JT617以及JT618执行。</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⑶</w:t>
      </w:r>
      <w:r>
        <w:rPr>
          <w:rFonts w:ascii="Times New Roman" w:hAnsi="Times New Roman" w:eastAsiaTheme="minorEastAsia"/>
          <w:color w:val="000000" w:themeColor="text1"/>
          <w:kern w:val="0"/>
          <w:sz w:val="24"/>
          <w:szCs w:val="24"/>
          <w14:textFill>
            <w14:solidFill>
              <w14:schemeClr w14:val="tx1"/>
            </w14:solidFill>
          </w14:textFill>
        </w:rPr>
        <w:t xml:space="preserve"> 运输单位承运危险废物时，应在危险废物包装上按照 GB18597 附录A设置标志。</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⑷</w:t>
      </w:r>
      <w:r>
        <w:rPr>
          <w:rFonts w:ascii="Times New Roman" w:hAnsi="Times New Roman" w:eastAsiaTheme="minorEastAsia"/>
          <w:color w:val="000000" w:themeColor="text1"/>
          <w:kern w:val="0"/>
          <w:sz w:val="24"/>
          <w:szCs w:val="24"/>
          <w14:textFill>
            <w14:solidFill>
              <w14:schemeClr w14:val="tx1"/>
            </w14:solidFill>
          </w14:textFill>
        </w:rPr>
        <w:t xml:space="preserve"> 危险废物公路运输时，运输车辆应按GB13392设置车辆标志。</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⑸</w:t>
      </w:r>
      <w:r>
        <w:rPr>
          <w:rFonts w:ascii="Times New Roman" w:hAnsi="Times New Roman" w:eastAsiaTheme="minorEastAsia"/>
          <w:color w:val="000000" w:themeColor="text1"/>
          <w:kern w:val="0"/>
          <w:sz w:val="24"/>
          <w:szCs w:val="24"/>
          <w14:textFill>
            <w14:solidFill>
              <w14:schemeClr w14:val="tx1"/>
            </w14:solidFill>
          </w14:textFill>
        </w:rPr>
        <w:t xml:space="preserve"> 危险废物运输时的中转、装卸过程应遵守如下技术要求：</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①</w:t>
      </w:r>
      <w:r>
        <w:rPr>
          <w:rFonts w:ascii="Times New Roman" w:hAnsi="Times New Roman" w:eastAsiaTheme="minorEastAsia"/>
          <w:color w:val="000000" w:themeColor="text1"/>
          <w:kern w:val="0"/>
          <w:sz w:val="24"/>
          <w:szCs w:val="24"/>
          <w14:textFill>
            <w14:solidFill>
              <w14:schemeClr w14:val="tx1"/>
            </w14:solidFill>
          </w14:textFill>
        </w:rPr>
        <w:t xml:space="preserve"> 卸载区的工作人员应熟悉废物的危险特性，并配备适当的个人防护装备，装卸剧 毒废物应配备特殊的防护装备。</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②</w:t>
      </w:r>
      <w:r>
        <w:rPr>
          <w:rFonts w:ascii="Times New Roman" w:hAnsi="Times New Roman" w:eastAsiaTheme="minorEastAsia"/>
          <w:color w:val="000000" w:themeColor="text1"/>
          <w:kern w:val="0"/>
          <w:sz w:val="24"/>
          <w:szCs w:val="24"/>
          <w14:textFill>
            <w14:solidFill>
              <w14:schemeClr w14:val="tx1"/>
            </w14:solidFill>
          </w14:textFill>
        </w:rPr>
        <w:t xml:space="preserve"> 卸载区应配备必要的消防设备和设施，并设置明显的指示标志。</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③</w:t>
      </w:r>
      <w:r>
        <w:rPr>
          <w:rFonts w:ascii="Times New Roman" w:hAnsi="Times New Roman" w:eastAsiaTheme="minorEastAsia"/>
          <w:color w:val="000000" w:themeColor="text1"/>
          <w:kern w:val="0"/>
          <w:sz w:val="24"/>
          <w:szCs w:val="24"/>
          <w14:textFill>
            <w14:solidFill>
              <w14:schemeClr w14:val="tx1"/>
            </w14:solidFill>
          </w14:textFill>
        </w:rPr>
        <w:t xml:space="preserve"> 危险废物装卸区应设置隔离设施，液态废物卸载区应设置收集槽和缓冲罐。</w:t>
      </w:r>
    </w:p>
    <w:p>
      <w:pPr>
        <w:autoSpaceDE w:val="0"/>
        <w:autoSpaceDN w:val="0"/>
        <w:adjustRightInd w:val="0"/>
        <w:snapToGrid w:val="0"/>
        <w:spacing w:line="360" w:lineRule="auto"/>
        <w:ind w:firstLine="482"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b/>
          <w:bCs/>
          <w:color w:val="000000" w:themeColor="text1"/>
          <w:kern w:val="0"/>
          <w:sz w:val="24"/>
          <w:szCs w:val="24"/>
          <w14:textFill>
            <w14:solidFill>
              <w14:schemeClr w14:val="tx1"/>
            </w14:solidFill>
          </w14:textFill>
        </w:rPr>
        <w:t>4、危险废物处置过程污染防治</w:t>
      </w:r>
      <w:r>
        <w:rPr>
          <w:rFonts w:ascii="Times New Roman" w:hAnsi="Times New Roman" w:eastAsiaTheme="minorEastAsia"/>
          <w:color w:val="000000" w:themeColor="text1"/>
          <w:kern w:val="0"/>
          <w:sz w:val="24"/>
          <w:szCs w:val="24"/>
          <w14:textFill>
            <w14:solidFill>
              <w14:schemeClr w14:val="tx1"/>
            </w14:solidFill>
          </w14:textFill>
        </w:rPr>
        <w:t xml:space="preserve"> </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项目产生的危险废物委托有资质的单位安全处置，由处置单位负责运输。危险废物转移过程应按《危险废物转移联单管理办法》执行。</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只要建设单位认真按《中华人民共和国固体废物污染环境防治法》、《危险废物贮存污染控制标准》（GB18579-2001）和《危险废物收集贮存运输技术规范》（HJ2025-2012）的要求，进行危险废物贮存场所及贮存设施的建设、运行管理，本项目所产生的危险废物对环境的影响可得到有效地控制。</w:t>
      </w:r>
    </w:p>
    <w:p>
      <w:pPr>
        <w:autoSpaceDE w:val="0"/>
        <w:autoSpaceDN w:val="0"/>
        <w:adjustRightInd w:val="0"/>
        <w:snapToGrid w:val="0"/>
        <w:spacing w:line="360" w:lineRule="auto"/>
        <w:ind w:firstLine="482"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b/>
          <w:bCs/>
          <w:color w:val="000000" w:themeColor="text1"/>
          <w:kern w:val="0"/>
          <w:sz w:val="24"/>
          <w:szCs w:val="24"/>
          <w14:textFill>
            <w14:solidFill>
              <w14:schemeClr w14:val="tx1"/>
            </w14:solidFill>
          </w14:textFill>
        </w:rPr>
        <w:t>5、危险废物的申报和转移</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根据国务院令第591号《危险化学品安全管理条例》的有关规定，在危险废物外运至处置单位时必须严格遵守以下要求：</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①</w:t>
      </w:r>
      <w:r>
        <w:rPr>
          <w:rFonts w:ascii="Times New Roman" w:hAnsi="Times New Roman" w:eastAsiaTheme="minorEastAsia"/>
          <w:color w:val="000000" w:themeColor="text1"/>
          <w:kern w:val="0"/>
          <w:sz w:val="24"/>
          <w:szCs w:val="24"/>
          <w14:textFill>
            <w14:solidFill>
              <w14:schemeClr w14:val="tx1"/>
            </w14:solidFill>
          </w14:textFill>
        </w:rPr>
        <w:t xml:space="preserve"> 做好每次外运处置废物的运输登记，按照湖</w:t>
      </w:r>
      <w:r>
        <w:rPr>
          <w:rFonts w:hint="eastAsia" w:ascii="Times New Roman" w:hAnsi="Times New Roman" w:eastAsiaTheme="minorEastAsia"/>
          <w:color w:val="000000" w:themeColor="text1"/>
          <w:kern w:val="0"/>
          <w:sz w:val="24"/>
          <w:szCs w:val="24"/>
          <w14:textFill>
            <w14:solidFill>
              <w14:schemeClr w14:val="tx1"/>
            </w14:solidFill>
          </w14:textFill>
        </w:rPr>
        <w:t>南</w:t>
      </w:r>
      <w:r>
        <w:rPr>
          <w:rFonts w:ascii="Times New Roman" w:hAnsi="Times New Roman" w:eastAsiaTheme="minorEastAsia"/>
          <w:color w:val="000000" w:themeColor="text1"/>
          <w:kern w:val="0"/>
          <w:sz w:val="24"/>
          <w:szCs w:val="24"/>
          <w14:textFill>
            <w14:solidFill>
              <w14:schemeClr w14:val="tx1"/>
            </w14:solidFill>
          </w14:textFill>
        </w:rPr>
        <w:t>省开展危废申报登记要求，进行网上申报。</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②</w:t>
      </w:r>
      <w:r>
        <w:rPr>
          <w:rFonts w:ascii="Times New Roman" w:hAnsi="Times New Roman" w:eastAsiaTheme="minorEastAsia"/>
          <w:color w:val="000000" w:themeColor="text1"/>
          <w:kern w:val="0"/>
          <w:sz w:val="24"/>
          <w:szCs w:val="24"/>
          <w14:textFill>
            <w14:solidFill>
              <w14:schemeClr w14:val="tx1"/>
            </w14:solidFill>
          </w14:textFill>
        </w:rPr>
        <w:t xml:space="preserve"> 废物处置单位的运输人员必须掌握危险化学品运输的安全知识，了解所运载的危险化学品的性质、危害特性、包装容器的使用特性和发生意外时的应急措施。运输车辆必须具有车辆危险货物运输许可证。驾驶人员必须由取得驾驶执照的熟练人员担任。</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③</w:t>
      </w:r>
      <w:r>
        <w:rPr>
          <w:rFonts w:ascii="Times New Roman" w:hAnsi="Times New Roman" w:eastAsiaTheme="minorEastAsia"/>
          <w:color w:val="000000" w:themeColor="text1"/>
          <w:kern w:val="0"/>
          <w:sz w:val="24"/>
          <w:szCs w:val="24"/>
          <w14:textFill>
            <w14:solidFill>
              <w14:schemeClr w14:val="tx1"/>
            </w14:solidFill>
          </w14:textFill>
        </w:rPr>
        <w:t xml:space="preserve"> 处置单位在运输危险废物时必须配备押运人员，并随时处于押运人员的监管之下，不得超装、超载，严格按照所在城市规定的行车时间和行车路线行驶，不得进入危险化学品运输车辆禁止通行的区域。</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④</w:t>
      </w:r>
      <w:r>
        <w:rPr>
          <w:rFonts w:ascii="Times New Roman" w:hAnsi="Times New Roman" w:eastAsiaTheme="minorEastAsia"/>
          <w:color w:val="000000" w:themeColor="text1"/>
          <w:kern w:val="0"/>
          <w:sz w:val="24"/>
          <w:szCs w:val="24"/>
          <w14:textFill>
            <w14:solidFill>
              <w14:schemeClr w14:val="tx1"/>
            </w14:solidFill>
          </w14:textFill>
        </w:rPr>
        <w:t xml:space="preserve"> 危险废物在运输途中若发生被盗、丢失、流散、泄漏等情况时，公司及押运人员必须立即向当地公安部门报告，并采取一切可能的警示措施。</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⑤</w:t>
      </w:r>
      <w:r>
        <w:rPr>
          <w:rFonts w:ascii="Times New Roman" w:hAnsi="Times New Roman" w:eastAsiaTheme="minorEastAsia"/>
          <w:color w:val="000000" w:themeColor="text1"/>
          <w:kern w:val="0"/>
          <w:sz w:val="24"/>
          <w:szCs w:val="24"/>
          <w14:textFill>
            <w14:solidFill>
              <w14:schemeClr w14:val="tx1"/>
            </w14:solidFill>
          </w14:textFill>
        </w:rPr>
        <w:t xml:space="preserve"> 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等措施，并对一事故造成的危害进行监测、处置，直至符合国家环境保护标准。</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只要建设单位认真按《危险废物贮存污染控制标准》（GB18579-2001）的要求，进行危险废物贮存场所及贮存设施的建设、运行管理，本项目危险废物的贮存对环境的影响可得到有效的控制。</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综上所述，项目营运期固体废物污染防治措施经济技术可行，可以实现固体废物的100%无害化处理。</w:t>
      </w:r>
    </w:p>
    <w:p>
      <w:pPr>
        <w:pStyle w:val="3"/>
        <w:rPr>
          <w:rFonts w:ascii="Times New Roman" w:hAnsi="Times New Roman" w:eastAsiaTheme="minorEastAsia"/>
          <w:b/>
        </w:rPr>
      </w:pPr>
      <w:bookmarkStart w:id="348" w:name="6.2.5地下水污染防治措施"/>
      <w:bookmarkEnd w:id="348"/>
      <w:bookmarkStart w:id="349" w:name="6.3项目环保投资及“三同时”验收"/>
      <w:bookmarkEnd w:id="349"/>
      <w:bookmarkStart w:id="350" w:name="_bookmark56"/>
      <w:bookmarkEnd w:id="350"/>
      <w:bookmarkStart w:id="351" w:name="_Toc30728"/>
      <w:r>
        <w:rPr>
          <w:rFonts w:ascii="Times New Roman" w:hAnsi="Times New Roman" w:eastAsiaTheme="minorEastAsia"/>
          <w:b/>
        </w:rPr>
        <w:t>项目环保投资及“三同时”验收</w:t>
      </w:r>
      <w:bookmarkEnd w:id="351"/>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本项目环境保护投资约</w:t>
      </w:r>
      <w:r>
        <w:rPr>
          <w:rFonts w:hint="eastAsia" w:ascii="Times New Roman" w:hAnsi="Times New Roman" w:eastAsiaTheme="minorEastAsia"/>
          <w:color w:val="000000" w:themeColor="text1"/>
          <w:kern w:val="0"/>
          <w:sz w:val="24"/>
          <w:szCs w:val="24"/>
          <w:lang w:val="en-US" w:eastAsia="zh-CN"/>
          <w14:textFill>
            <w14:solidFill>
              <w14:schemeClr w14:val="tx1"/>
            </w14:solidFill>
          </w14:textFill>
        </w:rPr>
        <w:t>390.1</w:t>
      </w:r>
      <w:r>
        <w:rPr>
          <w:rFonts w:ascii="Times New Roman" w:hAnsi="Times New Roman" w:eastAsiaTheme="minorEastAsia"/>
          <w:color w:val="000000" w:themeColor="text1"/>
          <w:kern w:val="0"/>
          <w:sz w:val="24"/>
          <w:szCs w:val="24"/>
          <w14:textFill>
            <w14:solidFill>
              <w14:schemeClr w14:val="tx1"/>
            </w14:solidFill>
          </w14:textFill>
        </w:rPr>
        <w:t>万元，占总投资</w:t>
      </w:r>
      <w:r>
        <w:rPr>
          <w:rFonts w:ascii="Times New Roman" w:hAnsi="Times New Roman" w:eastAsiaTheme="minorEastAsia"/>
          <w:color w:val="000000"/>
          <w:kern w:val="0"/>
          <w:sz w:val="24"/>
          <w:szCs w:val="24"/>
          <w:lang w:bidi="ar"/>
        </w:rPr>
        <w:t>14059.61</w:t>
      </w:r>
      <w:r>
        <w:rPr>
          <w:rFonts w:ascii="Times New Roman" w:hAnsi="Times New Roman" w:eastAsiaTheme="minorEastAsia"/>
          <w:color w:val="000000" w:themeColor="text1"/>
          <w:kern w:val="0"/>
          <w:sz w:val="24"/>
          <w:szCs w:val="24"/>
          <w14:textFill>
            <w14:solidFill>
              <w14:schemeClr w14:val="tx1"/>
            </w14:solidFill>
          </w14:textFill>
        </w:rPr>
        <w:t>万元的</w:t>
      </w:r>
      <w:r>
        <w:rPr>
          <w:rFonts w:hint="eastAsia" w:ascii="Times New Roman" w:hAnsi="Times New Roman" w:eastAsiaTheme="minorEastAsia"/>
          <w:color w:val="000000" w:themeColor="text1"/>
          <w:kern w:val="0"/>
          <w:sz w:val="24"/>
          <w:szCs w:val="24"/>
          <w:lang w:val="en-US" w:eastAsia="zh-CN"/>
          <w14:textFill>
            <w14:solidFill>
              <w14:schemeClr w14:val="tx1"/>
            </w14:solidFill>
          </w14:textFill>
        </w:rPr>
        <w:t>2.77</w:t>
      </w:r>
      <w:r>
        <w:rPr>
          <w:rFonts w:ascii="Times New Roman" w:hAnsi="Times New Roman" w:eastAsiaTheme="minorEastAsia"/>
          <w:color w:val="000000" w:themeColor="text1"/>
          <w:kern w:val="0"/>
          <w:sz w:val="24"/>
          <w:szCs w:val="24"/>
          <w14:textFill>
            <w14:solidFill>
              <w14:schemeClr w14:val="tx1"/>
            </w14:solidFill>
          </w14:textFill>
        </w:rPr>
        <w:t>%，项目项目环境保护“三同时”措施汇总及投资估算见表8.3-1。</w:t>
      </w:r>
    </w:p>
    <w:p>
      <w:pPr>
        <w:autoSpaceDE w:val="0"/>
        <w:autoSpaceDN w:val="0"/>
        <w:adjustRightInd w:val="0"/>
        <w:snapToGrid w:val="0"/>
        <w:spacing w:line="360" w:lineRule="auto"/>
        <w:rPr>
          <w:rFonts w:ascii="Times New Roman" w:hAnsi="Times New Roman" w:eastAsiaTheme="minorEastAsia"/>
          <w:kern w:val="0"/>
          <w:sz w:val="24"/>
          <w:szCs w:val="24"/>
        </w:rPr>
      </w:pP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sectPr>
          <w:headerReference r:id="rId16" w:type="default"/>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spacing w:line="276" w:lineRule="auto"/>
        <w:jc w:val="center"/>
        <w:rPr>
          <w:rFonts w:ascii="Times New Roman" w:hAnsi="Times New Roman" w:eastAsiaTheme="minorEastAsia"/>
          <w:b/>
          <w:sz w:val="24"/>
          <w:szCs w:val="24"/>
        </w:rPr>
      </w:pPr>
      <w:r>
        <w:rPr>
          <w:rFonts w:ascii="Times New Roman" w:hAnsi="Times New Roman" w:eastAsiaTheme="minorEastAsia"/>
          <w:b/>
          <w:sz w:val="24"/>
          <w:szCs w:val="24"/>
        </w:rPr>
        <w:t>表8.3-1  本项目环境保护“三同时”措施汇总及投资估算表</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62"/>
        <w:gridCol w:w="567"/>
        <w:gridCol w:w="1347"/>
        <w:gridCol w:w="1765"/>
        <w:gridCol w:w="5980"/>
        <w:gridCol w:w="2660"/>
        <w:gridCol w:w="85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509" w:type="pct"/>
            <w:gridSpan w:val="2"/>
            <w:tcBorders>
              <w:tl2br w:val="nil"/>
              <w:tr2bl w:val="nil"/>
            </w:tcBorders>
            <w:shd w:val="clear" w:color="auto" w:fill="auto"/>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类别</w:t>
            </w:r>
          </w:p>
        </w:tc>
        <w:tc>
          <w:tcPr>
            <w:tcW w:w="480" w:type="pct"/>
            <w:tcBorders>
              <w:tl2br w:val="nil"/>
              <w:tr2bl w:val="nil"/>
            </w:tcBorders>
            <w:shd w:val="clear" w:color="auto" w:fill="auto"/>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污染源</w:t>
            </w:r>
          </w:p>
        </w:tc>
        <w:tc>
          <w:tcPr>
            <w:tcW w:w="629" w:type="pct"/>
            <w:tcBorders>
              <w:tl2br w:val="nil"/>
              <w:tr2bl w:val="nil"/>
            </w:tcBorders>
            <w:shd w:val="clear" w:color="auto" w:fill="auto"/>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污染物</w:t>
            </w:r>
          </w:p>
        </w:tc>
        <w:tc>
          <w:tcPr>
            <w:tcW w:w="2131" w:type="pct"/>
            <w:tcBorders>
              <w:tl2br w:val="nil"/>
              <w:tr2bl w:val="nil"/>
            </w:tcBorders>
            <w:shd w:val="clear" w:color="auto" w:fill="auto"/>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治理措施（设施数量、规模、处理能力等）</w:t>
            </w:r>
          </w:p>
        </w:tc>
        <w:tc>
          <w:tcPr>
            <w:tcW w:w="948" w:type="pct"/>
            <w:tcBorders>
              <w:tl2br w:val="nil"/>
              <w:tr2bl w:val="nil"/>
            </w:tcBorders>
            <w:shd w:val="clear" w:color="auto" w:fill="auto"/>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处理效果、执行标准或拟达要求</w:t>
            </w:r>
          </w:p>
        </w:tc>
        <w:tc>
          <w:tcPr>
            <w:tcW w:w="303" w:type="pct"/>
            <w:tcBorders>
              <w:tl2br w:val="nil"/>
              <w:tr2bl w:val="nil"/>
            </w:tcBorders>
            <w:shd w:val="clear" w:color="auto" w:fill="auto"/>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投资</w:t>
            </w:r>
          </w:p>
          <w:p>
            <w:pPr>
              <w:adjustRightInd w:val="0"/>
              <w:snapToGrid w:val="0"/>
              <w:rPr>
                <w:rFonts w:ascii="Times New Roman" w:hAnsi="Times New Roman" w:eastAsiaTheme="minorEastAsia"/>
                <w:b/>
              </w:rPr>
            </w:pPr>
            <w:r>
              <w:rPr>
                <w:rFonts w:ascii="Times New Roman" w:hAnsi="Times New Roman" w:eastAsiaTheme="minorEastAsia"/>
                <w:b/>
              </w:rPr>
              <w:t>（万元）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7" w:type="pct"/>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施工期</w:t>
            </w:r>
          </w:p>
        </w:tc>
        <w:tc>
          <w:tcPr>
            <w:tcW w:w="202" w:type="pct"/>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废气</w:t>
            </w:r>
          </w:p>
        </w:tc>
        <w:tc>
          <w:tcPr>
            <w:tcW w:w="480"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粉尘</w:t>
            </w:r>
          </w:p>
        </w:tc>
        <w:tc>
          <w:tcPr>
            <w:tcW w:w="629"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TSP</w:t>
            </w:r>
          </w:p>
        </w:tc>
        <w:tc>
          <w:tcPr>
            <w:tcW w:w="2131"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限速行驶和保持路面的清洁，洒水抑尘、物料遮盖</w:t>
            </w:r>
          </w:p>
        </w:tc>
        <w:tc>
          <w:tcPr>
            <w:tcW w:w="948" w:type="pct"/>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措施落实到位</w:t>
            </w:r>
          </w:p>
        </w:tc>
        <w:tc>
          <w:tcPr>
            <w:tcW w:w="30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202"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480"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尾气</w:t>
            </w:r>
          </w:p>
        </w:tc>
        <w:tc>
          <w:tcPr>
            <w:tcW w:w="629"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CO、HC（碳氢化合物）、NOx</w:t>
            </w:r>
          </w:p>
        </w:tc>
        <w:tc>
          <w:tcPr>
            <w:tcW w:w="2131"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948"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0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202" w:type="pct"/>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废水</w:t>
            </w:r>
          </w:p>
        </w:tc>
        <w:tc>
          <w:tcPr>
            <w:tcW w:w="480"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生产废水</w:t>
            </w:r>
          </w:p>
        </w:tc>
        <w:tc>
          <w:tcPr>
            <w:tcW w:w="629"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COD、SS、石油类</w:t>
            </w:r>
          </w:p>
        </w:tc>
        <w:tc>
          <w:tcPr>
            <w:tcW w:w="2131"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围堰施工，采用隔油池、沉淀池处理施工机械冲洗废水，处理达标后回用于施工机械冲洗，不外排</w:t>
            </w:r>
          </w:p>
        </w:tc>
        <w:tc>
          <w:tcPr>
            <w:tcW w:w="948"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0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202"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480"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船舶污水</w:t>
            </w:r>
          </w:p>
        </w:tc>
        <w:tc>
          <w:tcPr>
            <w:tcW w:w="629"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COD、BOD</w:t>
            </w:r>
            <w:r>
              <w:rPr>
                <w:rFonts w:ascii="Times New Roman" w:hAnsi="Times New Roman" w:eastAsiaTheme="minorEastAsia"/>
                <w:vertAlign w:val="subscript"/>
              </w:rPr>
              <w:t>5</w:t>
            </w:r>
            <w:r>
              <w:rPr>
                <w:rFonts w:ascii="Times New Roman" w:hAnsi="Times New Roman" w:eastAsiaTheme="minorEastAsia"/>
              </w:rPr>
              <w:t>、SS、氨氮、石油类</w:t>
            </w:r>
          </w:p>
        </w:tc>
        <w:tc>
          <w:tcPr>
            <w:tcW w:w="2131"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船舶污水经船主收集送海事部门指定单位收集并负责处理。建设单位在施工招标时，应明确施工单位落实船舶油污水处理责任</w:t>
            </w:r>
          </w:p>
        </w:tc>
        <w:tc>
          <w:tcPr>
            <w:tcW w:w="948"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0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202"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480"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生活污水</w:t>
            </w:r>
          </w:p>
        </w:tc>
        <w:tc>
          <w:tcPr>
            <w:tcW w:w="629"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COD、BOD</w:t>
            </w:r>
            <w:r>
              <w:rPr>
                <w:rFonts w:ascii="Times New Roman" w:hAnsi="Times New Roman" w:eastAsiaTheme="minorEastAsia"/>
                <w:vertAlign w:val="subscript"/>
              </w:rPr>
              <w:t>5</w:t>
            </w:r>
            <w:r>
              <w:rPr>
                <w:rFonts w:ascii="Times New Roman" w:hAnsi="Times New Roman" w:eastAsiaTheme="minorEastAsia"/>
              </w:rPr>
              <w:t>、SS、氨氮</w:t>
            </w:r>
          </w:p>
        </w:tc>
        <w:tc>
          <w:tcPr>
            <w:tcW w:w="2131"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临时化粪池，运至华能电厂厂区内处理</w:t>
            </w:r>
          </w:p>
        </w:tc>
        <w:tc>
          <w:tcPr>
            <w:tcW w:w="948"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0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202"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噪声</w:t>
            </w:r>
          </w:p>
        </w:tc>
        <w:tc>
          <w:tcPr>
            <w:tcW w:w="480"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施工机械、车辆</w:t>
            </w:r>
          </w:p>
        </w:tc>
        <w:tc>
          <w:tcPr>
            <w:tcW w:w="629"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噪声</w:t>
            </w:r>
          </w:p>
        </w:tc>
        <w:tc>
          <w:tcPr>
            <w:tcW w:w="2131"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948"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0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202" w:type="pct"/>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固废</w:t>
            </w:r>
          </w:p>
        </w:tc>
        <w:tc>
          <w:tcPr>
            <w:tcW w:w="480"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建筑垃圾</w:t>
            </w:r>
          </w:p>
        </w:tc>
        <w:tc>
          <w:tcPr>
            <w:tcW w:w="629"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建筑垃圾</w:t>
            </w:r>
          </w:p>
        </w:tc>
        <w:tc>
          <w:tcPr>
            <w:tcW w:w="2131" w:type="pct"/>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尽量回收利用，不能利用的送至市政要求填埋处</w:t>
            </w:r>
          </w:p>
        </w:tc>
        <w:tc>
          <w:tcPr>
            <w:tcW w:w="948"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03" w:type="pct"/>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202"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480"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桩基钻渣</w:t>
            </w:r>
          </w:p>
        </w:tc>
        <w:tc>
          <w:tcPr>
            <w:tcW w:w="629"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桩基钻渣</w:t>
            </w:r>
          </w:p>
        </w:tc>
        <w:tc>
          <w:tcPr>
            <w:tcW w:w="2131"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948"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03"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202"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480"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生活垃圾</w:t>
            </w:r>
          </w:p>
        </w:tc>
        <w:tc>
          <w:tcPr>
            <w:tcW w:w="629"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生活垃圾</w:t>
            </w:r>
          </w:p>
        </w:tc>
        <w:tc>
          <w:tcPr>
            <w:tcW w:w="2131"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垃圾桶收集，环卫部门统一清运</w:t>
            </w:r>
          </w:p>
        </w:tc>
        <w:tc>
          <w:tcPr>
            <w:tcW w:w="948"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0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7" w:type="pct"/>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营运期</w:t>
            </w:r>
          </w:p>
        </w:tc>
        <w:tc>
          <w:tcPr>
            <w:tcW w:w="202" w:type="pct"/>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废气</w:t>
            </w:r>
          </w:p>
        </w:tc>
        <w:tc>
          <w:tcPr>
            <w:tcW w:w="480" w:type="pct"/>
            <w:tcBorders>
              <w:tl2br w:val="nil"/>
              <w:tr2bl w:val="nil"/>
            </w:tcBorders>
            <w:shd w:val="clear" w:color="auto" w:fill="auto"/>
            <w:vAlign w:val="center"/>
          </w:tcPr>
          <w:p>
            <w:pPr>
              <w:pStyle w:val="7"/>
              <w:adjustRightInd w:val="0"/>
              <w:snapToGrid w:val="0"/>
              <w:spacing w:after="0"/>
              <w:jc w:val="center"/>
              <w:rPr>
                <w:rFonts w:ascii="Times New Roman" w:hAnsi="Times New Roman" w:eastAsiaTheme="minorEastAsia"/>
              </w:rPr>
            </w:pPr>
            <w:r>
              <w:rPr>
                <w:rFonts w:ascii="Times New Roman" w:hAnsi="Times New Roman" w:eastAsiaTheme="minorEastAsia"/>
              </w:rPr>
              <w:t>船舶柴油机尾气</w:t>
            </w:r>
          </w:p>
        </w:tc>
        <w:tc>
          <w:tcPr>
            <w:tcW w:w="629"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非甲烷总烃、SO</w:t>
            </w:r>
            <w:r>
              <w:rPr>
                <w:rFonts w:ascii="Times New Roman" w:hAnsi="Times New Roman" w:eastAsiaTheme="minorEastAsia"/>
                <w:vertAlign w:val="subscript"/>
              </w:rPr>
              <w:t>2</w:t>
            </w:r>
            <w:r>
              <w:rPr>
                <w:rFonts w:ascii="Times New Roman" w:hAnsi="Times New Roman" w:eastAsiaTheme="minorEastAsia"/>
              </w:rPr>
              <w:t>、CO、NOx</w:t>
            </w:r>
          </w:p>
        </w:tc>
        <w:tc>
          <w:tcPr>
            <w:tcW w:w="2131"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948"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30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202"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480" w:type="pct"/>
            <w:tcBorders>
              <w:tl2br w:val="nil"/>
              <w:tr2bl w:val="nil"/>
            </w:tcBorders>
            <w:shd w:val="clear" w:color="auto" w:fill="auto"/>
            <w:vAlign w:val="center"/>
          </w:tcPr>
          <w:p>
            <w:pPr>
              <w:pStyle w:val="7"/>
              <w:adjustRightInd w:val="0"/>
              <w:snapToGrid w:val="0"/>
              <w:spacing w:after="0"/>
              <w:jc w:val="center"/>
              <w:rPr>
                <w:rFonts w:ascii="Times New Roman" w:hAnsi="Times New Roman" w:eastAsiaTheme="minorEastAsia"/>
              </w:rPr>
            </w:pPr>
            <w:r>
              <w:rPr>
                <w:rFonts w:ascii="Times New Roman" w:hAnsi="Times New Roman" w:eastAsiaTheme="minorEastAsia"/>
              </w:rPr>
              <w:t>码头装卸料作业起尘</w:t>
            </w:r>
          </w:p>
        </w:tc>
        <w:tc>
          <w:tcPr>
            <w:tcW w:w="629"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TSP</w:t>
            </w:r>
          </w:p>
        </w:tc>
        <w:tc>
          <w:tcPr>
            <w:tcW w:w="2131"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在趸船上设置2台雾炮机，在码头装卸平台及输煤皮带廊内设置一套微雾抑尘系统，要求在每个转运节点设置多个喷头，并设有返尘板，降低装卸中煤炭跌落高度等措施</w:t>
            </w:r>
          </w:p>
        </w:tc>
        <w:tc>
          <w:tcPr>
            <w:tcW w:w="948"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《大气污染物综合排放标准》（GB16297-1996）中 的无组织排放限值要求</w:t>
            </w:r>
          </w:p>
        </w:tc>
        <w:tc>
          <w:tcPr>
            <w:tcW w:w="30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202" w:type="pct"/>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废水</w:t>
            </w:r>
          </w:p>
        </w:tc>
        <w:tc>
          <w:tcPr>
            <w:tcW w:w="480"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bCs/>
              </w:rPr>
              <w:t>到港船舶舱底油污水</w:t>
            </w:r>
          </w:p>
        </w:tc>
        <w:tc>
          <w:tcPr>
            <w:tcW w:w="629"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COD、石油类</w:t>
            </w:r>
          </w:p>
        </w:tc>
        <w:tc>
          <w:tcPr>
            <w:tcW w:w="2131"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bCs/>
              </w:rPr>
              <w:t>由船舶自备的油水分离器隔油处理后由船舶交给海事部门环保船接收处理，不上岸处理</w:t>
            </w:r>
          </w:p>
        </w:tc>
        <w:tc>
          <w:tcPr>
            <w:tcW w:w="948" w:type="pct"/>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《船舶水污染物排放标准》</w:t>
            </w:r>
          </w:p>
        </w:tc>
        <w:tc>
          <w:tcPr>
            <w:tcW w:w="30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202"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480"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bCs/>
              </w:rPr>
              <w:t>船舶生活污水</w:t>
            </w:r>
          </w:p>
        </w:tc>
        <w:tc>
          <w:tcPr>
            <w:tcW w:w="629"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COD、BOD</w:t>
            </w:r>
            <w:r>
              <w:rPr>
                <w:rFonts w:ascii="Times New Roman" w:hAnsi="Times New Roman" w:eastAsiaTheme="minorEastAsia"/>
                <w:vertAlign w:val="subscript"/>
              </w:rPr>
              <w:t>5</w:t>
            </w:r>
            <w:r>
              <w:rPr>
                <w:rFonts w:ascii="Times New Roman" w:hAnsi="Times New Roman" w:eastAsiaTheme="minorEastAsia"/>
              </w:rPr>
              <w:t>、SS、NH</w:t>
            </w:r>
            <w:r>
              <w:rPr>
                <w:rFonts w:ascii="Times New Roman" w:hAnsi="Times New Roman" w:eastAsiaTheme="minorEastAsia"/>
                <w:vertAlign w:val="subscript"/>
              </w:rPr>
              <w:t>3</w:t>
            </w:r>
            <w:r>
              <w:rPr>
                <w:rFonts w:ascii="Times New Roman" w:hAnsi="Times New Roman" w:eastAsiaTheme="minorEastAsia"/>
              </w:rPr>
              <w:t>-N</w:t>
            </w:r>
          </w:p>
        </w:tc>
        <w:tc>
          <w:tcPr>
            <w:tcW w:w="2131"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rPr>
              <w:t>海事部门环保船接收处理，不上岸处理</w:t>
            </w:r>
          </w:p>
        </w:tc>
        <w:tc>
          <w:tcPr>
            <w:tcW w:w="948"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0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202"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480"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bCs/>
              </w:rPr>
              <w:t>趸船冲洗废水</w:t>
            </w:r>
          </w:p>
        </w:tc>
        <w:tc>
          <w:tcPr>
            <w:tcW w:w="629"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SS</w:t>
            </w:r>
          </w:p>
        </w:tc>
        <w:tc>
          <w:tcPr>
            <w:tcW w:w="2131"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bCs/>
              </w:rPr>
              <w:t>收集坎收集后进入趸船内设煤水收集池，经沉淀处理后泵送上岸进入后方码头院内的污水处理站处理</w:t>
            </w:r>
          </w:p>
        </w:tc>
        <w:tc>
          <w:tcPr>
            <w:tcW w:w="948" w:type="pct"/>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bCs/>
              </w:rPr>
              <w:t>达到《污水综合排放标准》（GB8978-1996）一级标准后，再通过管道泵送至电厂厂区用作绿化用水</w:t>
            </w:r>
          </w:p>
        </w:tc>
        <w:tc>
          <w:tcPr>
            <w:tcW w:w="303" w:type="pct"/>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110（不纳入本项目环保投资）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202"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480"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bCs/>
              </w:rPr>
              <w:t>员工生活污水</w:t>
            </w:r>
          </w:p>
        </w:tc>
        <w:tc>
          <w:tcPr>
            <w:tcW w:w="629"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COD、BOD</w:t>
            </w:r>
            <w:r>
              <w:rPr>
                <w:rFonts w:ascii="Times New Roman" w:hAnsi="Times New Roman" w:eastAsiaTheme="minorEastAsia"/>
                <w:vertAlign w:val="subscript"/>
              </w:rPr>
              <w:t>5</w:t>
            </w:r>
            <w:r>
              <w:rPr>
                <w:rFonts w:ascii="Times New Roman" w:hAnsi="Times New Roman" w:eastAsiaTheme="minorEastAsia"/>
              </w:rPr>
              <w:t>、SS、NH</w:t>
            </w:r>
            <w:r>
              <w:rPr>
                <w:rFonts w:ascii="Times New Roman" w:hAnsi="Times New Roman" w:eastAsiaTheme="minorEastAsia"/>
                <w:vertAlign w:val="subscript"/>
              </w:rPr>
              <w:t>3</w:t>
            </w:r>
            <w:r>
              <w:rPr>
                <w:rFonts w:ascii="Times New Roman" w:hAnsi="Times New Roman" w:eastAsiaTheme="minorEastAsia"/>
              </w:rPr>
              <w:t>-N</w:t>
            </w:r>
          </w:p>
        </w:tc>
        <w:tc>
          <w:tcPr>
            <w:tcW w:w="2131"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bCs/>
              </w:rPr>
              <w:t>码头设置简易环保型厕所，污水泵送至后方码头院内生活污水处理站处理</w:t>
            </w:r>
          </w:p>
        </w:tc>
        <w:tc>
          <w:tcPr>
            <w:tcW w:w="948"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03"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202"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480"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bCs/>
                <w:spacing w:val="-1"/>
              </w:rPr>
              <w:t>初期雨水</w:t>
            </w:r>
          </w:p>
        </w:tc>
        <w:tc>
          <w:tcPr>
            <w:tcW w:w="629"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SS</w:t>
            </w:r>
          </w:p>
        </w:tc>
        <w:tc>
          <w:tcPr>
            <w:tcW w:w="2131"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bCs/>
              </w:rPr>
              <w:t>趸船装卸区四周设收集坎，趸船内设收集池，初期雨水经收集后，与冲煤废水一同泵送上岸进入后方码头院内的污水处理站处理</w:t>
            </w:r>
          </w:p>
        </w:tc>
        <w:tc>
          <w:tcPr>
            <w:tcW w:w="948"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03"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202"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噪声</w:t>
            </w:r>
          </w:p>
        </w:tc>
        <w:tc>
          <w:tcPr>
            <w:tcW w:w="480"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各类风机、船舶、油泵</w:t>
            </w:r>
          </w:p>
        </w:tc>
        <w:tc>
          <w:tcPr>
            <w:tcW w:w="629"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高噪声设备</w:t>
            </w:r>
          </w:p>
        </w:tc>
        <w:tc>
          <w:tcPr>
            <w:tcW w:w="2131"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降低航速，船舶发动机及排气进行隔声处理、采用低噪声设备，建筑隔声，关键部位加胶垫以减少振动，设吸收板或隔声罩或安装消声器以减少噪声等</w:t>
            </w:r>
          </w:p>
        </w:tc>
        <w:tc>
          <w:tcPr>
            <w:tcW w:w="948"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厂界达《工业企业厂界环境噪声排放标准》（GB12348-2008）中2类、4类标准</w:t>
            </w:r>
          </w:p>
        </w:tc>
        <w:tc>
          <w:tcPr>
            <w:tcW w:w="30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202" w:type="pct"/>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固废</w:t>
            </w:r>
          </w:p>
        </w:tc>
        <w:tc>
          <w:tcPr>
            <w:tcW w:w="480"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船舶</w:t>
            </w:r>
          </w:p>
        </w:tc>
        <w:tc>
          <w:tcPr>
            <w:tcW w:w="629"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船舶生活垃圾、固体废弃物</w:t>
            </w:r>
          </w:p>
        </w:tc>
        <w:tc>
          <w:tcPr>
            <w:tcW w:w="2131"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交海事部门环保船接收处理</w:t>
            </w:r>
          </w:p>
        </w:tc>
        <w:tc>
          <w:tcPr>
            <w:tcW w:w="948" w:type="pct"/>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满足环保要求</w:t>
            </w:r>
          </w:p>
        </w:tc>
        <w:tc>
          <w:tcPr>
            <w:tcW w:w="303" w:type="pct"/>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202"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480" w:type="pct"/>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码头</w:t>
            </w:r>
          </w:p>
        </w:tc>
        <w:tc>
          <w:tcPr>
            <w:tcW w:w="629"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员工生活垃圾</w:t>
            </w:r>
          </w:p>
        </w:tc>
        <w:tc>
          <w:tcPr>
            <w:tcW w:w="2131"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垃圾桶收集，交环卫部门处理</w:t>
            </w:r>
          </w:p>
        </w:tc>
        <w:tc>
          <w:tcPr>
            <w:tcW w:w="948"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03"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202"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480"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629"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废含油抹布</w:t>
            </w:r>
          </w:p>
        </w:tc>
        <w:tc>
          <w:tcPr>
            <w:tcW w:w="2131"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纳入到生活垃圾处理系统</w:t>
            </w:r>
          </w:p>
        </w:tc>
        <w:tc>
          <w:tcPr>
            <w:tcW w:w="948"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03"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202"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480"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629"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废油渣</w:t>
            </w:r>
          </w:p>
        </w:tc>
        <w:tc>
          <w:tcPr>
            <w:tcW w:w="2131"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设置6m</w:t>
            </w:r>
            <w:r>
              <w:rPr>
                <w:rFonts w:ascii="Times New Roman" w:hAnsi="Times New Roman" w:eastAsiaTheme="minorEastAsia"/>
                <w:vertAlign w:val="superscript"/>
              </w:rPr>
              <w:t>2</w:t>
            </w:r>
            <w:r>
              <w:rPr>
                <w:rFonts w:ascii="Times New Roman" w:hAnsi="Times New Roman" w:eastAsiaTheme="minorEastAsia"/>
              </w:rPr>
              <w:t>的危废暂存间，收集后交有处理资质的单位进行处理</w:t>
            </w:r>
          </w:p>
        </w:tc>
        <w:tc>
          <w:tcPr>
            <w:tcW w:w="948"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03"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202"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480"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629"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污泥、沉渣</w:t>
            </w:r>
          </w:p>
        </w:tc>
        <w:tc>
          <w:tcPr>
            <w:tcW w:w="2131"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交由华能岳阳电厂进行综合利用</w:t>
            </w:r>
          </w:p>
        </w:tc>
        <w:tc>
          <w:tcPr>
            <w:tcW w:w="948"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03"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pct"/>
            <w:gridSpan w:val="2"/>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生态</w:t>
            </w:r>
          </w:p>
        </w:tc>
        <w:tc>
          <w:tcPr>
            <w:tcW w:w="480" w:type="pct"/>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629"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水生生态</w:t>
            </w:r>
          </w:p>
        </w:tc>
        <w:tc>
          <w:tcPr>
            <w:tcW w:w="2131"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生态修复，人工增殖放流，水生生物监测等生态补偿</w:t>
            </w:r>
          </w:p>
        </w:tc>
        <w:tc>
          <w:tcPr>
            <w:tcW w:w="948"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303" w:type="pct"/>
            <w:tcBorders>
              <w:tl2br w:val="nil"/>
              <w:tr2bl w:val="nil"/>
            </w:tcBorders>
            <w:shd w:val="clear" w:color="auto" w:fill="auto"/>
            <w:vAlign w:val="center"/>
          </w:tcPr>
          <w:p>
            <w:pPr>
              <w:adjustRightInd w:val="0"/>
              <w:snapToGrid w:val="0"/>
              <w:jc w:val="center"/>
              <w:rPr>
                <w:rFonts w:hint="default" w:ascii="Times New Roman" w:hAnsi="Times New Roman" w:eastAsiaTheme="minorEastAsia"/>
                <w:lang w:val="en-US" w:eastAsia="zh-CN"/>
              </w:rPr>
            </w:pPr>
            <w:r>
              <w:rPr>
                <w:rFonts w:hint="eastAsia" w:ascii="Times New Roman" w:hAnsi="Times New Roman" w:eastAsiaTheme="minorEastAsia"/>
                <w:lang w:val="en-US" w:eastAsia="zh-CN"/>
              </w:rPr>
              <w:t>209.9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pct"/>
            <w:gridSpan w:val="2"/>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480"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629"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陆域生态</w:t>
            </w:r>
          </w:p>
        </w:tc>
        <w:tc>
          <w:tcPr>
            <w:tcW w:w="2131"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生态恢复，生态补偿</w:t>
            </w:r>
          </w:p>
        </w:tc>
        <w:tc>
          <w:tcPr>
            <w:tcW w:w="948"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30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pct"/>
            <w:gridSpan w:val="2"/>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绿化</w:t>
            </w:r>
          </w:p>
        </w:tc>
        <w:tc>
          <w:tcPr>
            <w:tcW w:w="3240" w:type="pct"/>
            <w:gridSpan w:val="3"/>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选择适宜当地气候生长的常绿乔木和灌木如：刺槐、槐树、女贞、夹竹桃等进行绿化</w:t>
            </w:r>
          </w:p>
        </w:tc>
        <w:tc>
          <w:tcPr>
            <w:tcW w:w="948"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30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pct"/>
            <w:gridSpan w:val="2"/>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事故应急措施</w:t>
            </w:r>
          </w:p>
        </w:tc>
        <w:tc>
          <w:tcPr>
            <w:tcW w:w="3240" w:type="pct"/>
            <w:gridSpan w:val="3"/>
            <w:tcBorders>
              <w:tl2br w:val="nil"/>
              <w:tr2bl w:val="nil"/>
            </w:tcBorders>
            <w:shd w:val="clear" w:color="auto" w:fill="auto"/>
            <w:vAlign w:val="center"/>
          </w:tcPr>
          <w:p>
            <w:pPr>
              <w:adjustRightInd w:val="0"/>
              <w:snapToGrid w:val="0"/>
              <w:rPr>
                <w:rFonts w:ascii="Times New Roman" w:hAnsi="Times New Roman" w:eastAsiaTheme="minorEastAsia"/>
              </w:rPr>
            </w:pPr>
            <w:r>
              <w:rPr>
                <w:rFonts w:ascii="Times New Roman" w:hAnsi="Times New Roman" w:eastAsiaTheme="minorEastAsia"/>
              </w:rPr>
              <w:t>事故应急人员培训，围油设备、收油设备及其他防护设备，制定污染应急计划，预留事故水质监测，通讯报警设备、设施</w:t>
            </w:r>
          </w:p>
        </w:tc>
        <w:tc>
          <w:tcPr>
            <w:tcW w:w="948"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30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pct"/>
            <w:gridSpan w:val="2"/>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环境管理（机构、监测能力等）</w:t>
            </w:r>
          </w:p>
        </w:tc>
        <w:tc>
          <w:tcPr>
            <w:tcW w:w="3240" w:type="pct"/>
            <w:gridSpan w:val="3"/>
            <w:tcBorders>
              <w:tl2br w:val="nil"/>
              <w:tr2bl w:val="nil"/>
            </w:tcBorders>
            <w:shd w:val="clear" w:color="auto" w:fill="auto"/>
            <w:vAlign w:val="center"/>
          </w:tcPr>
          <w:p>
            <w:pPr>
              <w:adjustRightInd w:val="0"/>
              <w:snapToGrid w:val="0"/>
              <w:rPr>
                <w:rFonts w:ascii="Times New Roman" w:hAnsi="Times New Roman" w:eastAsiaTheme="minorEastAsia"/>
              </w:rPr>
            </w:pPr>
            <w:r>
              <w:rPr>
                <w:rFonts w:ascii="Times New Roman" w:hAnsi="Times New Roman" w:eastAsiaTheme="minorEastAsia"/>
              </w:rPr>
              <w:t>本项目建成后，应设立专门的环境管理机构和专职或兼职环保人员1~2名，负责环境保护监督管理工作。本项目施工期和运营期的环境保护和防治污染设施由建设单位实施，政府监督部门为岳阳市生态环境局</w:t>
            </w:r>
          </w:p>
        </w:tc>
        <w:tc>
          <w:tcPr>
            <w:tcW w:w="948"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303" w:type="pct"/>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pct"/>
            <w:gridSpan w:val="2"/>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污分流、排污口规范化设置</w:t>
            </w:r>
          </w:p>
        </w:tc>
        <w:tc>
          <w:tcPr>
            <w:tcW w:w="3240" w:type="pct"/>
            <w:gridSpan w:val="3"/>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清污分流，雨污分流管网铺设</w:t>
            </w:r>
          </w:p>
        </w:tc>
        <w:tc>
          <w:tcPr>
            <w:tcW w:w="948"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符合相关规范</w:t>
            </w:r>
          </w:p>
        </w:tc>
        <w:tc>
          <w:tcPr>
            <w:tcW w:w="303"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9" w:type="pct"/>
            <w:gridSpan w:val="2"/>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总量平衡具体</w:t>
            </w:r>
          </w:p>
          <w:p>
            <w:pPr>
              <w:adjustRightInd w:val="0"/>
              <w:snapToGrid w:val="0"/>
              <w:jc w:val="center"/>
              <w:rPr>
                <w:rFonts w:ascii="Times New Roman" w:hAnsi="Times New Roman" w:eastAsiaTheme="minorEastAsia"/>
              </w:rPr>
            </w:pPr>
            <w:r>
              <w:rPr>
                <w:rFonts w:ascii="Times New Roman" w:hAnsi="Times New Roman" w:eastAsiaTheme="minorEastAsia"/>
              </w:rPr>
              <w:t>方案</w:t>
            </w:r>
          </w:p>
        </w:tc>
        <w:tc>
          <w:tcPr>
            <w:tcW w:w="4188" w:type="pct"/>
            <w:gridSpan w:val="4"/>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本项目废气均为无组织废气，无需申请总量。本项目废水经处理回用作绿化用水。</w:t>
            </w:r>
          </w:p>
        </w:tc>
        <w:tc>
          <w:tcPr>
            <w:tcW w:w="30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97" w:type="pct"/>
            <w:gridSpan w:val="6"/>
            <w:tcBorders>
              <w:tl2br w:val="nil"/>
              <w:tr2bl w:val="nil"/>
            </w:tcBorders>
            <w:shd w:val="clear" w:color="auto" w:fill="auto"/>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共计</w:t>
            </w:r>
          </w:p>
        </w:tc>
        <w:tc>
          <w:tcPr>
            <w:tcW w:w="303" w:type="pct"/>
            <w:tcBorders>
              <w:tl2br w:val="nil"/>
              <w:tr2bl w:val="nil"/>
            </w:tcBorders>
            <w:shd w:val="clear" w:color="auto" w:fill="auto"/>
            <w:vAlign w:val="center"/>
          </w:tcPr>
          <w:p>
            <w:pPr>
              <w:adjustRightInd w:val="0"/>
              <w:snapToGrid w:val="0"/>
              <w:jc w:val="center"/>
              <w:rPr>
                <w:rFonts w:hint="default" w:ascii="Times New Roman" w:hAnsi="Times New Roman" w:eastAsiaTheme="minorEastAsia"/>
                <w:b/>
                <w:lang w:val="en-US" w:eastAsia="zh-CN"/>
              </w:rPr>
            </w:pPr>
            <w:r>
              <w:rPr>
                <w:rFonts w:hint="eastAsia" w:ascii="Times New Roman" w:hAnsi="Times New Roman" w:eastAsiaTheme="minorEastAsia"/>
                <w:b/>
                <w:lang w:val="en-US" w:eastAsia="zh-CN"/>
              </w:rPr>
              <w:t>390.1</w:t>
            </w:r>
          </w:p>
        </w:tc>
      </w:tr>
    </w:tbl>
    <w:p>
      <w:pPr>
        <w:autoSpaceDE w:val="0"/>
        <w:autoSpaceDN w:val="0"/>
        <w:adjustRightInd w:val="0"/>
        <w:snapToGrid w:val="0"/>
        <w:spacing w:line="360" w:lineRule="auto"/>
        <w:rPr>
          <w:rFonts w:ascii="Times New Roman" w:hAnsi="Times New Roman" w:eastAsiaTheme="minorEastAsia"/>
          <w:kern w:val="0"/>
          <w:sz w:val="24"/>
          <w:szCs w:val="24"/>
        </w:rPr>
      </w:pPr>
    </w:p>
    <w:p>
      <w:pPr>
        <w:autoSpaceDE w:val="0"/>
        <w:autoSpaceDN w:val="0"/>
        <w:adjustRightInd w:val="0"/>
        <w:snapToGrid w:val="0"/>
        <w:spacing w:line="360" w:lineRule="auto"/>
        <w:ind w:firstLine="480" w:firstLineChars="200"/>
        <w:rPr>
          <w:rFonts w:ascii="Times New Roman" w:hAnsi="Times New Roman" w:eastAsiaTheme="minorEastAsia"/>
          <w:kern w:val="0"/>
          <w:sz w:val="24"/>
          <w:szCs w:val="24"/>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keepNext/>
        <w:keepLines/>
        <w:numPr>
          <w:ilvl w:val="0"/>
          <w:numId w:val="1"/>
        </w:numPr>
        <w:adjustRightInd w:val="0"/>
        <w:snapToGrid w:val="0"/>
        <w:spacing w:line="480" w:lineRule="auto"/>
        <w:ind w:left="431" w:hanging="431"/>
        <w:jc w:val="center"/>
        <w:outlineLvl w:val="0"/>
        <w:rPr>
          <w:rFonts w:ascii="Times New Roman" w:hAnsi="Times New Roman" w:eastAsiaTheme="minorEastAsia"/>
          <w:b/>
          <w:bCs/>
          <w:kern w:val="44"/>
          <w:sz w:val="32"/>
          <w:szCs w:val="32"/>
        </w:rPr>
      </w:pPr>
      <w:bookmarkStart w:id="352" w:name="_Toc3405"/>
      <w:r>
        <w:rPr>
          <w:rFonts w:ascii="Times New Roman" w:hAnsi="Times New Roman" w:eastAsiaTheme="minorEastAsia"/>
          <w:b/>
          <w:bCs/>
          <w:kern w:val="44"/>
          <w:sz w:val="32"/>
          <w:szCs w:val="32"/>
        </w:rPr>
        <w:t>环境经济损益分析</w:t>
      </w:r>
      <w:bookmarkEnd w:id="352"/>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对建设项目进行环境影响经济损益分析，是为了衡量项目投入的环保投资所能收到的环保效果和经济实效，有利于最大限度地控制污染，降低环境的影响程度，合理利用自然资源，以最少的环境代价取得最大的经济效益和社会效益。</w:t>
      </w:r>
    </w:p>
    <w:p>
      <w:pPr>
        <w:pStyle w:val="3"/>
        <w:ind w:left="0" w:firstLine="0"/>
        <w:rPr>
          <w:rFonts w:ascii="Times New Roman" w:hAnsi="Times New Roman" w:eastAsiaTheme="minorEastAsia"/>
          <w:b/>
        </w:rPr>
      </w:pPr>
      <w:bookmarkStart w:id="353" w:name="_Toc27954"/>
      <w:bookmarkStart w:id="354" w:name="_Toc488130023"/>
      <w:bookmarkStart w:id="355" w:name="_Toc317159563"/>
      <w:bookmarkStart w:id="356" w:name="_Toc402437485"/>
      <w:bookmarkStart w:id="357" w:name="_Toc419403923"/>
      <w:bookmarkStart w:id="358" w:name="_Toc336350988"/>
      <w:bookmarkStart w:id="359" w:name="_Toc457679015"/>
      <w:bookmarkStart w:id="360" w:name="_Toc336350359"/>
      <w:r>
        <w:rPr>
          <w:rFonts w:ascii="Times New Roman" w:hAnsi="Times New Roman" w:eastAsiaTheme="minorEastAsia"/>
          <w:b/>
        </w:rPr>
        <w:t>环保投资估算</w:t>
      </w:r>
      <w:bookmarkEnd w:id="353"/>
      <w:bookmarkEnd w:id="354"/>
      <w:bookmarkEnd w:id="355"/>
      <w:bookmarkEnd w:id="356"/>
      <w:bookmarkEnd w:id="357"/>
      <w:bookmarkEnd w:id="358"/>
      <w:bookmarkEnd w:id="359"/>
      <w:bookmarkEnd w:id="360"/>
    </w:p>
    <w:p>
      <w:pPr>
        <w:pStyle w:val="4"/>
        <w:rPr>
          <w:rFonts w:eastAsiaTheme="minorEastAsia"/>
        </w:rPr>
      </w:pPr>
      <w:r>
        <w:rPr>
          <w:rFonts w:eastAsiaTheme="minorEastAsia"/>
        </w:rPr>
        <w:t>环保设施建设费用</w:t>
      </w:r>
    </w:p>
    <w:p>
      <w:pPr>
        <w:spacing w:line="336" w:lineRule="auto"/>
        <w:ind w:firstLine="480" w:firstLineChars="200"/>
        <w:rPr>
          <w:rFonts w:ascii="Times New Roman" w:hAnsi="Times New Roman"/>
          <w:sz w:val="24"/>
          <w:highlight w:val="red"/>
        </w:rPr>
      </w:pPr>
      <w:bookmarkStart w:id="361" w:name="_Toc275873641"/>
      <w:r>
        <w:rPr>
          <w:rFonts w:ascii="Times New Roman" w:hAnsi="Times New Roman"/>
          <w:kern w:val="0"/>
          <w:sz w:val="24"/>
          <w:lang w:bidi="en-US"/>
        </w:rPr>
        <w:t>本项目的环保直接投资估算为</w:t>
      </w:r>
      <w:r>
        <w:rPr>
          <w:rFonts w:hint="eastAsia" w:ascii="Times New Roman" w:hAnsi="Times New Roman"/>
          <w:kern w:val="0"/>
          <w:sz w:val="24"/>
          <w:lang w:val="en-US" w:eastAsia="zh-CN" w:bidi="en-US"/>
        </w:rPr>
        <w:t>390.1</w:t>
      </w:r>
      <w:r>
        <w:rPr>
          <w:rFonts w:ascii="Times New Roman" w:hAnsi="Times New Roman"/>
          <w:kern w:val="0"/>
          <w:sz w:val="24"/>
          <w:lang w:bidi="en-US"/>
        </w:rPr>
        <w:t>万元，占总投资额</w:t>
      </w:r>
      <w:r>
        <w:rPr>
          <w:rFonts w:ascii="Times New Roman" w:hAnsi="Times New Roman"/>
          <w:sz w:val="24"/>
        </w:rPr>
        <w:t>14059.61万元</w:t>
      </w:r>
      <w:r>
        <w:rPr>
          <w:rFonts w:ascii="Times New Roman" w:hAnsi="Times New Roman"/>
          <w:kern w:val="0"/>
          <w:sz w:val="24"/>
          <w:lang w:bidi="en-US"/>
        </w:rPr>
        <w:t>的</w:t>
      </w:r>
      <w:r>
        <w:rPr>
          <w:rFonts w:hint="eastAsia" w:ascii="Times New Roman" w:hAnsi="Times New Roman"/>
          <w:kern w:val="0"/>
          <w:sz w:val="24"/>
          <w:lang w:val="en-US" w:eastAsia="zh-CN" w:bidi="en-US"/>
        </w:rPr>
        <w:t>2.77</w:t>
      </w:r>
      <w:r>
        <w:rPr>
          <w:rFonts w:ascii="Times New Roman" w:hAnsi="Times New Roman"/>
          <w:kern w:val="0"/>
          <w:sz w:val="24"/>
          <w:lang w:bidi="en-US"/>
        </w:rPr>
        <w:t>%。工程环境设施投资估算见</w:t>
      </w:r>
      <w:r>
        <w:rPr>
          <w:rFonts w:ascii="Times New Roman" w:hAnsi="Times New Roman"/>
          <w:sz w:val="24"/>
        </w:rPr>
        <w:t>表9.1-1。</w:t>
      </w:r>
    </w:p>
    <w:p>
      <w:pPr>
        <w:adjustRightInd w:val="0"/>
        <w:snapToGrid w:val="0"/>
        <w:spacing w:line="276" w:lineRule="auto"/>
        <w:jc w:val="center"/>
        <w:rPr>
          <w:rFonts w:ascii="Times New Roman" w:hAnsi="Times New Roman"/>
          <w:b/>
          <w:bCs/>
          <w:color w:val="000000"/>
          <w:sz w:val="24"/>
        </w:rPr>
      </w:pPr>
      <w:r>
        <w:rPr>
          <w:rFonts w:ascii="Times New Roman" w:hAnsi="Times New Roman"/>
          <w:b/>
          <w:bCs/>
          <w:color w:val="000000"/>
          <w:sz w:val="24"/>
        </w:rPr>
        <w:t>表9.1-1  本项目环保投资一览表</w:t>
      </w:r>
    </w:p>
    <w:tbl>
      <w:tblPr>
        <w:tblStyle w:val="7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13"/>
        <w:gridCol w:w="619"/>
        <w:gridCol w:w="1099"/>
        <w:gridCol w:w="1194"/>
        <w:gridCol w:w="4774"/>
        <w:gridCol w:w="100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567" w:type="pct"/>
            <w:gridSpan w:val="2"/>
            <w:tcBorders>
              <w:tl2br w:val="nil"/>
              <w:tr2bl w:val="nil"/>
            </w:tcBorders>
            <w:shd w:val="clear" w:color="auto" w:fill="auto"/>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类别</w:t>
            </w:r>
          </w:p>
        </w:tc>
        <w:tc>
          <w:tcPr>
            <w:tcW w:w="1260" w:type="pct"/>
            <w:gridSpan w:val="2"/>
            <w:tcBorders>
              <w:tl2br w:val="nil"/>
              <w:tr2bl w:val="nil"/>
            </w:tcBorders>
            <w:shd w:val="clear" w:color="auto" w:fill="auto"/>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污染源</w:t>
            </w:r>
          </w:p>
        </w:tc>
        <w:tc>
          <w:tcPr>
            <w:tcW w:w="2623" w:type="pct"/>
            <w:tcBorders>
              <w:tl2br w:val="nil"/>
              <w:tr2bl w:val="nil"/>
            </w:tcBorders>
            <w:shd w:val="clear" w:color="auto" w:fill="auto"/>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环保项目名称</w:t>
            </w:r>
          </w:p>
        </w:tc>
        <w:tc>
          <w:tcPr>
            <w:tcW w:w="550" w:type="pct"/>
            <w:tcBorders>
              <w:tl2br w:val="nil"/>
              <w:tr2bl w:val="nil"/>
            </w:tcBorders>
            <w:shd w:val="clear" w:color="auto" w:fill="auto"/>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投资</w:t>
            </w:r>
          </w:p>
          <w:p>
            <w:pPr>
              <w:adjustRightInd w:val="0"/>
              <w:snapToGrid w:val="0"/>
              <w:jc w:val="center"/>
              <w:rPr>
                <w:rFonts w:ascii="Times New Roman" w:hAnsi="Times New Roman" w:eastAsiaTheme="minorEastAsia"/>
                <w:b/>
              </w:rPr>
            </w:pPr>
            <w:r>
              <w:rPr>
                <w:rFonts w:ascii="Times New Roman" w:hAnsi="Times New Roman" w:eastAsiaTheme="minorEastAsia"/>
                <w:b/>
              </w:rPr>
              <w:t>（万元）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7" w:type="pct"/>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施工期</w:t>
            </w:r>
          </w:p>
        </w:tc>
        <w:tc>
          <w:tcPr>
            <w:tcW w:w="340" w:type="pct"/>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废气</w:t>
            </w:r>
          </w:p>
        </w:tc>
        <w:tc>
          <w:tcPr>
            <w:tcW w:w="1260" w:type="pct"/>
            <w:gridSpan w:val="2"/>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粉尘</w:t>
            </w:r>
          </w:p>
        </w:tc>
        <w:tc>
          <w:tcPr>
            <w:tcW w:w="262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限速行驶和保持路面的清洁，洒水抑尘、物料遮盖</w:t>
            </w:r>
          </w:p>
        </w:tc>
        <w:tc>
          <w:tcPr>
            <w:tcW w:w="550"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40"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1260" w:type="pct"/>
            <w:gridSpan w:val="2"/>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尾气</w:t>
            </w:r>
          </w:p>
        </w:tc>
        <w:tc>
          <w:tcPr>
            <w:tcW w:w="262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550"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40" w:type="pct"/>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废水</w:t>
            </w:r>
          </w:p>
        </w:tc>
        <w:tc>
          <w:tcPr>
            <w:tcW w:w="1260" w:type="pct"/>
            <w:gridSpan w:val="2"/>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生产废水</w:t>
            </w:r>
          </w:p>
        </w:tc>
        <w:tc>
          <w:tcPr>
            <w:tcW w:w="262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围堰施工，采用隔油池、沉淀池处理施工机械冲洗废水，处理达标后回用于施工机械冲洗，不外排</w:t>
            </w:r>
          </w:p>
        </w:tc>
        <w:tc>
          <w:tcPr>
            <w:tcW w:w="550"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40"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1260" w:type="pct"/>
            <w:gridSpan w:val="2"/>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船舶污水</w:t>
            </w:r>
          </w:p>
        </w:tc>
        <w:tc>
          <w:tcPr>
            <w:tcW w:w="262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船舶污水经船主收集送海事部门指定单位收集并负责处理。建设单位在施工招标时，应明确施工单位落实船舶油污水处理责任</w:t>
            </w:r>
          </w:p>
        </w:tc>
        <w:tc>
          <w:tcPr>
            <w:tcW w:w="550"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40"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1260" w:type="pct"/>
            <w:gridSpan w:val="2"/>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生活污水</w:t>
            </w:r>
          </w:p>
        </w:tc>
        <w:tc>
          <w:tcPr>
            <w:tcW w:w="262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临时化粪池，运至华能电厂厂区内处理</w:t>
            </w:r>
          </w:p>
        </w:tc>
        <w:tc>
          <w:tcPr>
            <w:tcW w:w="550"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40"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噪声</w:t>
            </w:r>
          </w:p>
        </w:tc>
        <w:tc>
          <w:tcPr>
            <w:tcW w:w="1260" w:type="pct"/>
            <w:gridSpan w:val="2"/>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施工机械、车辆</w:t>
            </w:r>
          </w:p>
        </w:tc>
        <w:tc>
          <w:tcPr>
            <w:tcW w:w="262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550"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40" w:type="pct"/>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固废</w:t>
            </w:r>
          </w:p>
        </w:tc>
        <w:tc>
          <w:tcPr>
            <w:tcW w:w="1260" w:type="pct"/>
            <w:gridSpan w:val="2"/>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建筑垃圾</w:t>
            </w:r>
          </w:p>
        </w:tc>
        <w:tc>
          <w:tcPr>
            <w:tcW w:w="2623" w:type="pct"/>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尽量回收利用，不能利用的送至市政要求填埋处</w:t>
            </w:r>
          </w:p>
        </w:tc>
        <w:tc>
          <w:tcPr>
            <w:tcW w:w="550" w:type="pct"/>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40"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1260" w:type="pct"/>
            <w:gridSpan w:val="2"/>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桩基钻渣</w:t>
            </w:r>
          </w:p>
        </w:tc>
        <w:tc>
          <w:tcPr>
            <w:tcW w:w="2623"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550"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40"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1260" w:type="pct"/>
            <w:gridSpan w:val="2"/>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生活垃圾</w:t>
            </w:r>
          </w:p>
        </w:tc>
        <w:tc>
          <w:tcPr>
            <w:tcW w:w="262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垃圾桶收集，环卫部门统一清运</w:t>
            </w:r>
          </w:p>
        </w:tc>
        <w:tc>
          <w:tcPr>
            <w:tcW w:w="550"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7" w:type="pct"/>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营运期</w:t>
            </w:r>
          </w:p>
        </w:tc>
        <w:tc>
          <w:tcPr>
            <w:tcW w:w="340" w:type="pct"/>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废气</w:t>
            </w:r>
          </w:p>
        </w:tc>
        <w:tc>
          <w:tcPr>
            <w:tcW w:w="1260" w:type="pct"/>
            <w:gridSpan w:val="2"/>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船舶柴油机尾气</w:t>
            </w:r>
          </w:p>
        </w:tc>
        <w:tc>
          <w:tcPr>
            <w:tcW w:w="262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c>
          <w:tcPr>
            <w:tcW w:w="550"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40"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1260" w:type="pct"/>
            <w:gridSpan w:val="2"/>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码头装卸料作业起尘</w:t>
            </w:r>
          </w:p>
        </w:tc>
        <w:tc>
          <w:tcPr>
            <w:tcW w:w="262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在趸船上设置2台雾炮机，在码头装卸平台及输煤皮带廊内设置一套微雾抑尘系统，要求在每个转运节点设置多个喷头，并设有返尘板，降低装卸中煤炭跌落高度等措施</w:t>
            </w:r>
          </w:p>
        </w:tc>
        <w:tc>
          <w:tcPr>
            <w:tcW w:w="550"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40" w:type="pct"/>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废水</w:t>
            </w:r>
          </w:p>
        </w:tc>
        <w:tc>
          <w:tcPr>
            <w:tcW w:w="1260" w:type="pct"/>
            <w:gridSpan w:val="2"/>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bCs/>
              </w:rPr>
              <w:t>到港船舶舱底油污水</w:t>
            </w:r>
          </w:p>
        </w:tc>
        <w:tc>
          <w:tcPr>
            <w:tcW w:w="262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bCs/>
              </w:rPr>
              <w:t>由船舶自备的油水分离器隔油处理后由船舶交给海事部门环保船接收处理，不上岸处理</w:t>
            </w:r>
          </w:p>
        </w:tc>
        <w:tc>
          <w:tcPr>
            <w:tcW w:w="550"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40"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1260" w:type="pct"/>
            <w:gridSpan w:val="2"/>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bCs/>
              </w:rPr>
              <w:t>船舶生活污水</w:t>
            </w:r>
          </w:p>
        </w:tc>
        <w:tc>
          <w:tcPr>
            <w:tcW w:w="262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rPr>
              <w:t>海事部门环保船接收处理，不上岸处理</w:t>
            </w:r>
          </w:p>
        </w:tc>
        <w:tc>
          <w:tcPr>
            <w:tcW w:w="550"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40"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1260" w:type="pct"/>
            <w:gridSpan w:val="2"/>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bCs/>
              </w:rPr>
              <w:t>趸船冲洗废水</w:t>
            </w:r>
          </w:p>
        </w:tc>
        <w:tc>
          <w:tcPr>
            <w:tcW w:w="262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bCs/>
              </w:rPr>
              <w:t>收集坎收集后进入趸船内设煤水收集池，经沉淀处理后泵送上岸进入后方码头院内的散货污水处理站处理</w:t>
            </w:r>
          </w:p>
        </w:tc>
        <w:tc>
          <w:tcPr>
            <w:tcW w:w="550" w:type="pct"/>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110（不纳入本项目环保投资）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40"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1260" w:type="pct"/>
            <w:gridSpan w:val="2"/>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bCs/>
              </w:rPr>
              <w:t>员工生活污水</w:t>
            </w:r>
          </w:p>
        </w:tc>
        <w:tc>
          <w:tcPr>
            <w:tcW w:w="262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bCs/>
              </w:rPr>
              <w:t>码头设置简易环保型厕所，污水泵送至后方码头院内生活污水处理站处理</w:t>
            </w:r>
          </w:p>
        </w:tc>
        <w:tc>
          <w:tcPr>
            <w:tcW w:w="550"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40"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1260" w:type="pct"/>
            <w:gridSpan w:val="2"/>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bCs/>
                <w:spacing w:val="-1"/>
              </w:rPr>
              <w:t>初期雨水</w:t>
            </w:r>
          </w:p>
        </w:tc>
        <w:tc>
          <w:tcPr>
            <w:tcW w:w="262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bCs/>
              </w:rPr>
              <w:t>趸船装卸区四周设收集坎，趸船内设污水箱，初期雨水经收集后，与冲煤废水一同泵送上岸进入后方码头院内的散货污水处理站处理</w:t>
            </w:r>
          </w:p>
        </w:tc>
        <w:tc>
          <w:tcPr>
            <w:tcW w:w="550"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40"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噪声</w:t>
            </w:r>
          </w:p>
        </w:tc>
        <w:tc>
          <w:tcPr>
            <w:tcW w:w="1260" w:type="pct"/>
            <w:gridSpan w:val="2"/>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各类风机、船舶、油泵</w:t>
            </w:r>
          </w:p>
        </w:tc>
        <w:tc>
          <w:tcPr>
            <w:tcW w:w="262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降低航速，船舶发动机及排气进行隔声处理、采用低噪声设备，建筑隔声，关键部位加胶垫以减少振动，设吸收板或隔声罩或安装消声器以减少噪声等</w:t>
            </w:r>
          </w:p>
        </w:tc>
        <w:tc>
          <w:tcPr>
            <w:tcW w:w="550"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40" w:type="pct"/>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固废</w:t>
            </w:r>
          </w:p>
        </w:tc>
        <w:tc>
          <w:tcPr>
            <w:tcW w:w="604"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船舶</w:t>
            </w:r>
          </w:p>
        </w:tc>
        <w:tc>
          <w:tcPr>
            <w:tcW w:w="656"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船舶生活垃圾、固体废弃物</w:t>
            </w:r>
          </w:p>
        </w:tc>
        <w:tc>
          <w:tcPr>
            <w:tcW w:w="262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交海事部门环保船接收处理</w:t>
            </w:r>
          </w:p>
        </w:tc>
        <w:tc>
          <w:tcPr>
            <w:tcW w:w="550" w:type="pct"/>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40"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604" w:type="pct"/>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码头</w:t>
            </w:r>
          </w:p>
        </w:tc>
        <w:tc>
          <w:tcPr>
            <w:tcW w:w="656"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员工生活垃圾</w:t>
            </w:r>
          </w:p>
        </w:tc>
        <w:tc>
          <w:tcPr>
            <w:tcW w:w="262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垃圾桶收集，交环卫部门处理</w:t>
            </w:r>
          </w:p>
        </w:tc>
        <w:tc>
          <w:tcPr>
            <w:tcW w:w="550"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40"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604"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656"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废含油抹布</w:t>
            </w:r>
          </w:p>
        </w:tc>
        <w:tc>
          <w:tcPr>
            <w:tcW w:w="262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纳入到生活垃圾处理系统</w:t>
            </w:r>
          </w:p>
        </w:tc>
        <w:tc>
          <w:tcPr>
            <w:tcW w:w="550"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40"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604"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656"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废油渣</w:t>
            </w:r>
          </w:p>
        </w:tc>
        <w:tc>
          <w:tcPr>
            <w:tcW w:w="262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设置6m</w:t>
            </w:r>
            <w:r>
              <w:rPr>
                <w:rFonts w:ascii="Times New Roman" w:hAnsi="Times New Roman" w:eastAsiaTheme="minorEastAsia"/>
                <w:vertAlign w:val="superscript"/>
              </w:rPr>
              <w:t>2</w:t>
            </w:r>
            <w:r>
              <w:rPr>
                <w:rFonts w:ascii="Times New Roman" w:hAnsi="Times New Roman" w:eastAsiaTheme="minorEastAsia"/>
              </w:rPr>
              <w:t>的危废暂存间，收集后交有处理资质的单位进行处理</w:t>
            </w:r>
          </w:p>
        </w:tc>
        <w:tc>
          <w:tcPr>
            <w:tcW w:w="550"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7"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340"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604"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656"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污泥、沉渣</w:t>
            </w:r>
          </w:p>
        </w:tc>
        <w:tc>
          <w:tcPr>
            <w:tcW w:w="262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交由华能岳阳电厂进行综合利用</w:t>
            </w:r>
          </w:p>
        </w:tc>
        <w:tc>
          <w:tcPr>
            <w:tcW w:w="550"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1" w:type="pct"/>
            <w:gridSpan w:val="3"/>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生态</w:t>
            </w:r>
          </w:p>
        </w:tc>
        <w:tc>
          <w:tcPr>
            <w:tcW w:w="656"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水生生态</w:t>
            </w:r>
          </w:p>
        </w:tc>
        <w:tc>
          <w:tcPr>
            <w:tcW w:w="262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生态修复，人工增殖放流，水生生物监测等生态补偿</w:t>
            </w:r>
          </w:p>
        </w:tc>
        <w:tc>
          <w:tcPr>
            <w:tcW w:w="550" w:type="pct"/>
            <w:tcBorders>
              <w:tl2br w:val="nil"/>
              <w:tr2bl w:val="nil"/>
            </w:tcBorders>
            <w:shd w:val="clear" w:color="auto" w:fill="auto"/>
            <w:vAlign w:val="center"/>
          </w:tcPr>
          <w:p>
            <w:pPr>
              <w:adjustRightInd w:val="0"/>
              <w:snapToGrid w:val="0"/>
              <w:jc w:val="center"/>
              <w:rPr>
                <w:rFonts w:hint="default" w:ascii="Times New Roman" w:hAnsi="Times New Roman" w:eastAsiaTheme="minorEastAsia"/>
                <w:lang w:val="en-US" w:eastAsia="zh-CN"/>
              </w:rPr>
            </w:pPr>
            <w:r>
              <w:rPr>
                <w:rFonts w:hint="eastAsia" w:ascii="Times New Roman" w:hAnsi="Times New Roman" w:eastAsiaTheme="minorEastAsia"/>
                <w:lang w:val="en-US" w:eastAsia="zh-CN"/>
              </w:rPr>
              <w:t>209.9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1" w:type="pct"/>
            <w:gridSpan w:val="3"/>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c>
          <w:tcPr>
            <w:tcW w:w="656"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陆域生态</w:t>
            </w:r>
          </w:p>
        </w:tc>
        <w:tc>
          <w:tcPr>
            <w:tcW w:w="2623"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生态恢复，生态补偿</w:t>
            </w:r>
          </w:p>
        </w:tc>
        <w:tc>
          <w:tcPr>
            <w:tcW w:w="550"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67" w:type="pct"/>
            <w:gridSpan w:val="2"/>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绿化</w:t>
            </w:r>
          </w:p>
        </w:tc>
        <w:tc>
          <w:tcPr>
            <w:tcW w:w="3883" w:type="pct"/>
            <w:gridSpan w:val="3"/>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选择适宜当地气候生长的常绿乔木和灌木如：刺槐、槐树、女贞、夹竹桃等进行绿化</w:t>
            </w:r>
          </w:p>
        </w:tc>
        <w:tc>
          <w:tcPr>
            <w:tcW w:w="550"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67" w:type="pct"/>
            <w:gridSpan w:val="2"/>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事故应急措施</w:t>
            </w:r>
          </w:p>
        </w:tc>
        <w:tc>
          <w:tcPr>
            <w:tcW w:w="3883" w:type="pct"/>
            <w:gridSpan w:val="3"/>
            <w:tcBorders>
              <w:tl2br w:val="nil"/>
              <w:tr2bl w:val="nil"/>
            </w:tcBorders>
            <w:shd w:val="clear" w:color="auto" w:fill="auto"/>
            <w:vAlign w:val="center"/>
          </w:tcPr>
          <w:p>
            <w:pPr>
              <w:adjustRightInd w:val="0"/>
              <w:snapToGrid w:val="0"/>
              <w:rPr>
                <w:rFonts w:ascii="Times New Roman" w:hAnsi="Times New Roman" w:eastAsiaTheme="minorEastAsia"/>
              </w:rPr>
            </w:pPr>
            <w:r>
              <w:rPr>
                <w:rFonts w:ascii="Times New Roman" w:hAnsi="Times New Roman" w:eastAsiaTheme="minorEastAsia"/>
              </w:rPr>
              <w:t>事故应急人员培训，围油设备、收油设备及其他防护设备，制定污染应急计划，预留事故水质监测，通讯报警设备、设施</w:t>
            </w:r>
          </w:p>
        </w:tc>
        <w:tc>
          <w:tcPr>
            <w:tcW w:w="550" w:type="pc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67" w:type="pct"/>
            <w:gridSpan w:val="2"/>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环境管理（机构、监测能力等）</w:t>
            </w:r>
          </w:p>
        </w:tc>
        <w:tc>
          <w:tcPr>
            <w:tcW w:w="3883" w:type="pct"/>
            <w:gridSpan w:val="3"/>
            <w:tcBorders>
              <w:tl2br w:val="nil"/>
              <w:tr2bl w:val="nil"/>
            </w:tcBorders>
            <w:shd w:val="clear" w:color="auto" w:fill="auto"/>
            <w:vAlign w:val="center"/>
          </w:tcPr>
          <w:p>
            <w:pPr>
              <w:adjustRightInd w:val="0"/>
              <w:snapToGrid w:val="0"/>
              <w:rPr>
                <w:rFonts w:ascii="Times New Roman" w:hAnsi="Times New Roman" w:eastAsiaTheme="minorEastAsia"/>
              </w:rPr>
            </w:pPr>
            <w:r>
              <w:rPr>
                <w:rFonts w:ascii="Times New Roman" w:hAnsi="Times New Roman" w:eastAsiaTheme="minorEastAsia"/>
              </w:rPr>
              <w:t>本项目建成后，应设立专门的环境管理机构和专职或兼职环保人员1~2名，负责环境保护监督管理工作。本项目施工期和运营期的环境保护和防治污染设施由建设单位实施，政府监督部门为岳阳市生态环境局</w:t>
            </w:r>
          </w:p>
        </w:tc>
        <w:tc>
          <w:tcPr>
            <w:tcW w:w="550" w:type="pct"/>
            <w:vMerge w:val="restart"/>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67" w:type="pct"/>
            <w:gridSpan w:val="2"/>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污分流、排污口规范化设置</w:t>
            </w:r>
          </w:p>
        </w:tc>
        <w:tc>
          <w:tcPr>
            <w:tcW w:w="3883" w:type="pct"/>
            <w:gridSpan w:val="3"/>
            <w:tcBorders>
              <w:tl2br w:val="nil"/>
              <w:tr2bl w:val="nil"/>
            </w:tcBorders>
            <w:shd w:val="clear" w:color="auto" w:fill="auto"/>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清污分流，雨污分流管网铺设</w:t>
            </w:r>
          </w:p>
        </w:tc>
        <w:tc>
          <w:tcPr>
            <w:tcW w:w="550" w:type="pct"/>
            <w:vMerge w:val="continue"/>
            <w:tcBorders>
              <w:tl2br w:val="nil"/>
              <w:tr2bl w:val="nil"/>
            </w:tcBorders>
            <w:shd w:val="clear" w:color="auto" w:fill="auto"/>
            <w:vAlign w:val="center"/>
          </w:tcPr>
          <w:p>
            <w:pPr>
              <w:adjustRightInd w:val="0"/>
              <w:snapToGrid w:val="0"/>
              <w:jc w:val="center"/>
              <w:rPr>
                <w:rFonts w:ascii="Times New Roman" w:hAnsi="Times New Roman" w:eastAsiaTheme="minorEastAsi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50" w:type="pct"/>
            <w:gridSpan w:val="5"/>
            <w:tcBorders>
              <w:tl2br w:val="nil"/>
              <w:tr2bl w:val="nil"/>
            </w:tcBorders>
            <w:shd w:val="clear" w:color="auto" w:fill="auto"/>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合计</w:t>
            </w:r>
          </w:p>
        </w:tc>
        <w:tc>
          <w:tcPr>
            <w:tcW w:w="550" w:type="pct"/>
            <w:tcBorders>
              <w:tl2br w:val="nil"/>
              <w:tr2bl w:val="nil"/>
            </w:tcBorders>
            <w:shd w:val="clear" w:color="auto" w:fill="auto"/>
            <w:vAlign w:val="center"/>
          </w:tcPr>
          <w:p>
            <w:pPr>
              <w:adjustRightInd w:val="0"/>
              <w:snapToGrid w:val="0"/>
              <w:jc w:val="center"/>
              <w:rPr>
                <w:rFonts w:hint="default" w:ascii="Times New Roman" w:hAnsi="Times New Roman" w:eastAsiaTheme="minorEastAsia"/>
                <w:b/>
                <w:lang w:val="en-US" w:eastAsia="zh-CN"/>
              </w:rPr>
            </w:pPr>
            <w:r>
              <w:rPr>
                <w:rFonts w:hint="eastAsia" w:ascii="Times New Roman" w:hAnsi="Times New Roman" w:eastAsiaTheme="minorEastAsia"/>
                <w:b/>
                <w:lang w:val="en-US" w:eastAsia="zh-CN"/>
              </w:rPr>
              <w:t>390.1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6"/>
            <w:tcBorders>
              <w:tl2br w:val="nil"/>
              <w:tr2bl w:val="nil"/>
            </w:tcBorders>
            <w:shd w:val="clear" w:color="auto" w:fill="auto"/>
            <w:vAlign w:val="center"/>
          </w:tcPr>
          <w:p>
            <w:pPr>
              <w:adjustRightInd w:val="0"/>
              <w:snapToGrid w:val="0"/>
              <w:rPr>
                <w:rFonts w:ascii="Times New Roman" w:hAnsi="Times New Roman"/>
              </w:rPr>
            </w:pPr>
            <w:r>
              <w:rPr>
                <w:rFonts w:ascii="Times New Roman" w:hAnsi="Times New Roman" w:eastAsiaTheme="minorEastAsia"/>
              </w:rPr>
              <w:t>注：水土保持措施不计入环保投资，污水处理站投资不纳入本项目环保投资</w:t>
            </w:r>
          </w:p>
        </w:tc>
      </w:tr>
    </w:tbl>
    <w:p>
      <w:pPr>
        <w:adjustRightInd w:val="0"/>
        <w:snapToGrid w:val="0"/>
        <w:spacing w:line="360" w:lineRule="auto"/>
        <w:ind w:firstLine="480" w:firstLineChars="200"/>
        <w:rPr>
          <w:rFonts w:ascii="Times New Roman" w:hAnsi="Times New Roman" w:eastAsiaTheme="minorEastAsia"/>
          <w:sz w:val="24"/>
          <w:szCs w:val="24"/>
        </w:rPr>
      </w:pPr>
    </w:p>
    <w:p>
      <w:pPr>
        <w:pStyle w:val="4"/>
        <w:rPr>
          <w:rFonts w:eastAsiaTheme="minorEastAsia"/>
        </w:rPr>
      </w:pPr>
      <w:r>
        <w:rPr>
          <w:rFonts w:eastAsiaTheme="minorEastAsia"/>
        </w:rPr>
        <w:t>环境保护设施运转费用</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本项目营运期间的环保运转费用主要来自于废水、废气、固体废物、噪声等治理措施运行费用，主要包括运行费用、设备折旧费和人工费。</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根据目前同类工程措施的运行费用情况，预计本项目环保设施运转费用约为每年20万元左右。</w:t>
      </w:r>
    </w:p>
    <w:p>
      <w:pPr>
        <w:pStyle w:val="4"/>
        <w:rPr>
          <w:rFonts w:eastAsiaTheme="minorEastAsia"/>
        </w:rPr>
      </w:pPr>
      <w:r>
        <w:rPr>
          <w:rFonts w:eastAsiaTheme="minorEastAsia"/>
        </w:rPr>
        <w:t>环境补偿性损失</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环境补偿性损失主要包括污染赔偿费、事故处理费和罚款等。</w:t>
      </w:r>
    </w:p>
    <w:p>
      <w:pPr>
        <w:pStyle w:val="3"/>
        <w:ind w:left="0" w:firstLine="0"/>
        <w:rPr>
          <w:rFonts w:ascii="Times New Roman" w:hAnsi="Times New Roman" w:eastAsiaTheme="minorEastAsia"/>
          <w:b/>
        </w:rPr>
      </w:pPr>
      <w:bookmarkStart w:id="362" w:name="_Toc361926056"/>
      <w:bookmarkStart w:id="363" w:name="_Toc419403924"/>
      <w:bookmarkStart w:id="364" w:name="_Toc457679016"/>
      <w:bookmarkStart w:id="365" w:name="_Toc32666"/>
      <w:bookmarkStart w:id="366" w:name="_Toc402437486"/>
      <w:bookmarkStart w:id="367" w:name="_Toc488130024"/>
      <w:bookmarkStart w:id="368" w:name="_Toc361990934"/>
      <w:r>
        <w:rPr>
          <w:rFonts w:ascii="Times New Roman" w:hAnsi="Times New Roman" w:eastAsiaTheme="minorEastAsia"/>
          <w:b/>
        </w:rPr>
        <w:t>经济损益分析</w:t>
      </w:r>
      <w:bookmarkEnd w:id="362"/>
      <w:bookmarkEnd w:id="363"/>
      <w:bookmarkEnd w:id="364"/>
      <w:bookmarkEnd w:id="365"/>
      <w:bookmarkEnd w:id="366"/>
      <w:bookmarkEnd w:id="367"/>
      <w:bookmarkEnd w:id="368"/>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本项目总投资14059.61万元，其中环保直接总投资</w:t>
      </w:r>
      <w:r>
        <w:rPr>
          <w:rFonts w:hint="eastAsia" w:ascii="Times New Roman" w:hAnsi="Times New Roman" w:eastAsiaTheme="minorEastAsia"/>
          <w:sz w:val="24"/>
          <w:szCs w:val="24"/>
          <w:lang w:val="en-US" w:eastAsia="zh-CN"/>
        </w:rPr>
        <w:t>390.1</w:t>
      </w:r>
      <w:r>
        <w:rPr>
          <w:rFonts w:ascii="Times New Roman" w:hAnsi="Times New Roman" w:eastAsiaTheme="minorEastAsia"/>
          <w:sz w:val="24"/>
          <w:szCs w:val="24"/>
        </w:rPr>
        <w:t>万元，约占总投资的</w:t>
      </w:r>
      <w:r>
        <w:rPr>
          <w:rFonts w:hint="eastAsia" w:ascii="Times New Roman" w:hAnsi="Times New Roman" w:eastAsiaTheme="minorEastAsia"/>
          <w:sz w:val="24"/>
          <w:szCs w:val="24"/>
          <w:lang w:val="en-US" w:eastAsia="zh-CN"/>
        </w:rPr>
        <w:t>2.27</w:t>
      </w:r>
      <w:r>
        <w:rPr>
          <w:rFonts w:ascii="Times New Roman" w:hAnsi="Times New Roman" w:eastAsiaTheme="minorEastAsia"/>
          <w:sz w:val="24"/>
          <w:szCs w:val="24"/>
        </w:rPr>
        <w:t>%。根据调查水路运输节省煤炭进厂价约50元/t，工程建成运行后新增水路运煤量为200万t/a，则可为岳阳电厂节省1亿元/a的成本。因此，本项目的实施具有良好的经济效益。</w:t>
      </w:r>
    </w:p>
    <w:p>
      <w:pPr>
        <w:pStyle w:val="3"/>
        <w:ind w:left="0" w:firstLine="0"/>
        <w:rPr>
          <w:rFonts w:ascii="Times New Roman" w:hAnsi="Times New Roman" w:eastAsiaTheme="minorEastAsia"/>
          <w:b/>
        </w:rPr>
      </w:pPr>
      <w:bookmarkStart w:id="369" w:name="_Toc361926057"/>
      <w:bookmarkStart w:id="370" w:name="_Toc16010"/>
      <w:bookmarkStart w:id="371" w:name="_Toc361990935"/>
      <w:bookmarkStart w:id="372" w:name="_Toc488130025"/>
      <w:bookmarkStart w:id="373" w:name="_Toc402437487"/>
      <w:bookmarkStart w:id="374" w:name="_Toc419403925"/>
      <w:bookmarkStart w:id="375" w:name="_Toc457679017"/>
      <w:r>
        <w:rPr>
          <w:rFonts w:ascii="Times New Roman" w:hAnsi="Times New Roman" w:eastAsiaTheme="minorEastAsia"/>
          <w:b/>
        </w:rPr>
        <w:t>环境效益</w:t>
      </w:r>
      <w:bookmarkEnd w:id="361"/>
      <w:bookmarkEnd w:id="369"/>
      <w:bookmarkEnd w:id="370"/>
      <w:bookmarkEnd w:id="371"/>
      <w:bookmarkEnd w:id="372"/>
      <w:bookmarkEnd w:id="373"/>
      <w:bookmarkEnd w:id="374"/>
      <w:bookmarkEnd w:id="375"/>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工程的环境经济效益是指通过环境经济损益分析定量估算工程需投入的环境保护投资所能收到的环境保护效果，并尽可能以货币数量表明。环保费用指标由治理费和辅助费用等构成。其中治理费用（c）一般用下式表示：</w:t>
      </w:r>
    </w:p>
    <w:p>
      <w:pPr>
        <w:adjustRightInd w:val="0"/>
        <w:snapToGrid w:val="0"/>
        <w:spacing w:line="360" w:lineRule="auto"/>
        <w:jc w:val="center"/>
        <w:rPr>
          <w:rFonts w:ascii="Times New Roman" w:hAnsi="Times New Roman"/>
          <w:spacing w:val="4"/>
          <w:sz w:val="24"/>
        </w:rPr>
      </w:pPr>
      <w:r>
        <w:rPr>
          <w:rFonts w:ascii="Times New Roman" w:hAnsi="Times New Roman"/>
          <w:spacing w:val="4"/>
          <w:sz w:val="24"/>
        </w:rPr>
        <w:object>
          <v:shape id="_x0000_i1032" o:spt="75" type="#_x0000_t75" style="height:31.5pt;width:83.25pt;" o:ole="t" filled="f" o:preferrelative="t" stroked="f" coordsize="21600,21600">
            <v:path/>
            <v:fill on="f" focussize="0,0"/>
            <v:stroke on="f" joinstyle="miter"/>
            <v:imagedata r:id="rId77" o:title=""/>
            <o:lock v:ext="edit" aspectratio="t"/>
            <w10:wrap type="none"/>
            <w10:anchorlock/>
          </v:shape>
          <o:OLEObject Type="Embed" ProgID="Equation.3" ShapeID="_x0000_i1032" DrawAspect="Content" ObjectID="_1468075732" r:id="rId76">
            <o:LockedField>false</o:LockedField>
          </o:OLEObject>
        </w:objec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式中：</w:t>
      </w:r>
      <w:r>
        <w:rPr>
          <w:rFonts w:ascii="Times New Roman" w:hAnsi="Times New Roman"/>
          <w:i/>
          <w:sz w:val="24"/>
        </w:rPr>
        <w:t>C</w:t>
      </w:r>
      <w:r>
        <w:rPr>
          <w:rFonts w:ascii="Times New Roman" w:hAnsi="Times New Roman"/>
          <w:i/>
          <w:sz w:val="24"/>
          <w:vertAlign w:val="subscript"/>
        </w:rPr>
        <w:t>1</w:t>
      </w:r>
      <w:r>
        <w:rPr>
          <w:rFonts w:ascii="Times New Roman" w:hAnsi="Times New Roman"/>
          <w:sz w:val="24"/>
        </w:rPr>
        <w:t>——</w:t>
      </w:r>
      <w:r>
        <w:rPr>
          <w:rFonts w:ascii="Times New Roman" w:hAnsi="Times New Roman"/>
          <w:spacing w:val="4"/>
          <w:sz w:val="24"/>
        </w:rPr>
        <w:t>为项目环保投资费用</w:t>
      </w:r>
      <w:r>
        <w:rPr>
          <w:rFonts w:ascii="Times New Roman" w:hAnsi="Times New Roman"/>
          <w:sz w:val="24"/>
        </w:rPr>
        <w:t>；</w:t>
      </w:r>
    </w:p>
    <w:p>
      <w:pPr>
        <w:adjustRightInd w:val="0"/>
        <w:snapToGrid w:val="0"/>
        <w:spacing w:line="360" w:lineRule="auto"/>
        <w:ind w:firstLine="1200" w:firstLineChars="500"/>
        <w:rPr>
          <w:rFonts w:ascii="Times New Roman" w:hAnsi="Times New Roman"/>
          <w:spacing w:val="4"/>
          <w:sz w:val="24"/>
        </w:rPr>
      </w:pPr>
      <w:r>
        <w:rPr>
          <w:rFonts w:ascii="Times New Roman" w:hAnsi="Times New Roman"/>
          <w:i/>
          <w:sz w:val="24"/>
        </w:rPr>
        <w:t>C</w:t>
      </w:r>
      <w:r>
        <w:rPr>
          <w:rFonts w:ascii="Times New Roman" w:hAnsi="Times New Roman"/>
          <w:i/>
          <w:sz w:val="24"/>
          <w:vertAlign w:val="subscript"/>
        </w:rPr>
        <w:t>2</w:t>
      </w:r>
      <w:r>
        <w:rPr>
          <w:rFonts w:ascii="Times New Roman" w:hAnsi="Times New Roman"/>
          <w:sz w:val="24"/>
        </w:rPr>
        <w:t>——</w:t>
      </w:r>
      <w:r>
        <w:rPr>
          <w:rFonts w:ascii="Times New Roman" w:hAnsi="Times New Roman"/>
          <w:spacing w:val="4"/>
          <w:sz w:val="24"/>
        </w:rPr>
        <w:t>处理设施运转费用；</w:t>
      </w:r>
    </w:p>
    <w:p>
      <w:pPr>
        <w:adjustRightInd w:val="0"/>
        <w:snapToGrid w:val="0"/>
        <w:spacing w:line="360" w:lineRule="auto"/>
        <w:ind w:firstLine="1240" w:firstLineChars="500"/>
        <w:rPr>
          <w:rFonts w:ascii="Times New Roman" w:hAnsi="Times New Roman"/>
          <w:sz w:val="24"/>
        </w:rPr>
      </w:pPr>
      <w:r>
        <w:rPr>
          <w:rFonts w:ascii="Times New Roman" w:hAnsi="Times New Roman"/>
          <w:i/>
          <w:spacing w:val="4"/>
          <w:sz w:val="24"/>
        </w:rPr>
        <w:t>N</w:t>
      </w:r>
      <w:r>
        <w:rPr>
          <w:rFonts w:ascii="Times New Roman" w:hAnsi="Times New Roman"/>
          <w:sz w:val="24"/>
        </w:rPr>
        <w:t>——</w:t>
      </w:r>
      <w:r>
        <w:rPr>
          <w:rFonts w:ascii="Times New Roman" w:hAnsi="Times New Roman"/>
          <w:spacing w:val="4"/>
          <w:sz w:val="24"/>
        </w:rPr>
        <w:t>为固定资产折旧年限</w:t>
      </w:r>
      <w:r>
        <w:rPr>
          <w:rFonts w:ascii="Times New Roman" w:hAnsi="Times New Roman"/>
          <w:sz w:val="24"/>
        </w:rPr>
        <w:t>；</w:t>
      </w:r>
    </w:p>
    <w:p>
      <w:pPr>
        <w:adjustRightInd w:val="0"/>
        <w:snapToGrid w:val="0"/>
        <w:spacing w:line="360" w:lineRule="auto"/>
        <w:ind w:firstLine="1240" w:firstLineChars="500"/>
        <w:rPr>
          <w:rFonts w:ascii="Times New Roman" w:hAnsi="Times New Roman"/>
          <w:sz w:val="24"/>
        </w:rPr>
      </w:pPr>
      <w:r>
        <w:rPr>
          <w:rFonts w:ascii="Times New Roman" w:hAnsi="Times New Roman"/>
          <w:i/>
          <w:spacing w:val="4"/>
          <w:sz w:val="24"/>
        </w:rPr>
        <w:t>β</w:t>
      </w:r>
      <w:r>
        <w:rPr>
          <w:rFonts w:ascii="Times New Roman" w:hAnsi="Times New Roman"/>
          <w:sz w:val="24"/>
        </w:rPr>
        <w:t>——</w:t>
      </w:r>
      <w:r>
        <w:rPr>
          <w:rFonts w:ascii="Times New Roman" w:hAnsi="Times New Roman"/>
          <w:spacing w:val="4"/>
          <w:sz w:val="24"/>
        </w:rPr>
        <w:t>为固定资产形成率</w:t>
      </w:r>
      <w:r>
        <w:rPr>
          <w:rFonts w:ascii="Times New Roman" w:hAnsi="Times New Roman"/>
          <w:sz w:val="24"/>
        </w:rPr>
        <w:t>。</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运转费用主要包括能耗费、药剂费、维修费、人员工资、管理费、监测费等，辅助费用主要指为充分发挥治理方案的效益而发生的科研、咨询、学术交流、环保政策的宣传等费用。</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本项目治理费用和辅助费用见表9.3-1。</w:t>
      </w:r>
    </w:p>
    <w:p>
      <w:pPr>
        <w:adjustRightInd w:val="0"/>
        <w:snapToGrid w:val="0"/>
        <w:spacing w:line="276" w:lineRule="auto"/>
        <w:jc w:val="center"/>
        <w:rPr>
          <w:rFonts w:ascii="Times New Roman" w:hAnsi="Times New Roman"/>
          <w:b/>
          <w:bCs/>
          <w:color w:val="000000"/>
          <w:sz w:val="24"/>
        </w:rPr>
      </w:pPr>
      <w:r>
        <w:rPr>
          <w:rFonts w:ascii="Times New Roman" w:hAnsi="Times New Roman"/>
          <w:b/>
          <w:bCs/>
          <w:color w:val="000000"/>
          <w:sz w:val="24"/>
        </w:rPr>
        <w:t>表9.3-1  本项目环保费用指标</w:t>
      </w:r>
    </w:p>
    <w:tbl>
      <w:tblPr>
        <w:tblStyle w:val="7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7" w:type="dxa"/>
          <w:bottom w:w="0" w:type="dxa"/>
          <w:right w:w="17" w:type="dxa"/>
        </w:tblCellMar>
      </w:tblPr>
      <w:tblGrid>
        <w:gridCol w:w="699"/>
        <w:gridCol w:w="2854"/>
        <w:gridCol w:w="1714"/>
        <w:gridCol w:w="38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340" w:hRule="atLeast"/>
          <w:tblHeader/>
        </w:trPr>
        <w:tc>
          <w:tcPr>
            <w:tcW w:w="384"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序号</w:t>
            </w:r>
          </w:p>
        </w:tc>
        <w:tc>
          <w:tcPr>
            <w:tcW w:w="1567"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费用名称</w:t>
            </w:r>
          </w:p>
        </w:tc>
        <w:tc>
          <w:tcPr>
            <w:tcW w:w="941"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数量（万元/年）</w:t>
            </w:r>
          </w:p>
        </w:tc>
        <w:tc>
          <w:tcPr>
            <w:tcW w:w="2107"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340" w:hRule="atLeast"/>
        </w:trPr>
        <w:tc>
          <w:tcPr>
            <w:tcW w:w="38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w:t>
            </w:r>
          </w:p>
        </w:tc>
        <w:tc>
          <w:tcPr>
            <w:tcW w:w="156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环保（固定资产）投资折旧</w:t>
            </w:r>
          </w:p>
        </w:tc>
        <w:tc>
          <w:tcPr>
            <w:tcW w:w="94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18.3</w:t>
            </w:r>
          </w:p>
        </w:tc>
        <w:tc>
          <w:tcPr>
            <w:tcW w:w="210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按平均10年折旧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340" w:hRule="atLeast"/>
        </w:trPr>
        <w:tc>
          <w:tcPr>
            <w:tcW w:w="38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w:t>
            </w:r>
          </w:p>
        </w:tc>
        <w:tc>
          <w:tcPr>
            <w:tcW w:w="156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处理设施维修费</w:t>
            </w:r>
          </w:p>
        </w:tc>
        <w:tc>
          <w:tcPr>
            <w:tcW w:w="94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1.5</w:t>
            </w:r>
          </w:p>
        </w:tc>
        <w:tc>
          <w:tcPr>
            <w:tcW w:w="2107" w:type="pct"/>
            <w:vAlign w:val="center"/>
          </w:tcPr>
          <w:p>
            <w:pPr>
              <w:adjustRightInd w:val="0"/>
              <w:snapToGrid w:val="0"/>
              <w:jc w:val="center"/>
              <w:rPr>
                <w:rFonts w:ascii="Times New Roman" w:hAnsi="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340" w:hRule="atLeast"/>
        </w:trPr>
        <w:tc>
          <w:tcPr>
            <w:tcW w:w="38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3</w:t>
            </w:r>
          </w:p>
        </w:tc>
        <w:tc>
          <w:tcPr>
            <w:tcW w:w="156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人员工资及管理费</w:t>
            </w:r>
          </w:p>
        </w:tc>
        <w:tc>
          <w:tcPr>
            <w:tcW w:w="94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8.4</w:t>
            </w:r>
          </w:p>
        </w:tc>
        <w:tc>
          <w:tcPr>
            <w:tcW w:w="2107" w:type="pct"/>
            <w:vAlign w:val="center"/>
          </w:tcPr>
          <w:p>
            <w:pPr>
              <w:adjustRightInd w:val="0"/>
              <w:snapToGrid w:val="0"/>
              <w:rPr>
                <w:rFonts w:ascii="Times New Roman" w:hAnsi="Times New Roman" w:eastAsiaTheme="minorEastAsia"/>
              </w:rPr>
            </w:pPr>
            <w:r>
              <w:rPr>
                <w:rFonts w:ascii="Times New Roman" w:hAnsi="Times New Roman" w:eastAsiaTheme="minorEastAsia"/>
              </w:rPr>
              <w:t>运行人员2人，人均工资按3500元/月计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340" w:hRule="atLeast"/>
        </w:trPr>
        <w:tc>
          <w:tcPr>
            <w:tcW w:w="384"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4</w:t>
            </w:r>
          </w:p>
        </w:tc>
        <w:tc>
          <w:tcPr>
            <w:tcW w:w="156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其他费用</w:t>
            </w:r>
          </w:p>
        </w:tc>
        <w:tc>
          <w:tcPr>
            <w:tcW w:w="941"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2.82</w:t>
            </w:r>
          </w:p>
        </w:tc>
        <w:tc>
          <w:tcPr>
            <w:tcW w:w="2107" w:type="pct"/>
            <w:vAlign w:val="center"/>
          </w:tcPr>
          <w:p>
            <w:pPr>
              <w:adjustRightInd w:val="0"/>
              <w:snapToGrid w:val="0"/>
              <w:jc w:val="center"/>
              <w:rPr>
                <w:rFonts w:ascii="Times New Roman" w:hAnsi="Times New Roman" w:eastAsiaTheme="minorEastAsia"/>
              </w:rPr>
            </w:pPr>
            <w:r>
              <w:rPr>
                <w:rFonts w:ascii="Times New Roman" w:hAnsi="Times New Roman" w:eastAsiaTheme="minorEastAsia"/>
              </w:rPr>
              <w:t>按以上费用的10%计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340" w:hRule="atLeast"/>
        </w:trPr>
        <w:tc>
          <w:tcPr>
            <w:tcW w:w="384"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合计</w:t>
            </w:r>
          </w:p>
        </w:tc>
        <w:tc>
          <w:tcPr>
            <w:tcW w:w="1567" w:type="pct"/>
            <w:vAlign w:val="center"/>
          </w:tcPr>
          <w:p>
            <w:pPr>
              <w:adjustRightInd w:val="0"/>
              <w:snapToGrid w:val="0"/>
              <w:jc w:val="center"/>
              <w:rPr>
                <w:rFonts w:ascii="Times New Roman" w:hAnsi="Times New Roman" w:eastAsiaTheme="minorEastAsia"/>
                <w:b/>
              </w:rPr>
            </w:pPr>
          </w:p>
        </w:tc>
        <w:tc>
          <w:tcPr>
            <w:tcW w:w="941" w:type="pct"/>
            <w:vAlign w:val="center"/>
          </w:tcPr>
          <w:p>
            <w:pPr>
              <w:adjustRightInd w:val="0"/>
              <w:snapToGrid w:val="0"/>
              <w:jc w:val="center"/>
              <w:rPr>
                <w:rFonts w:ascii="Times New Roman" w:hAnsi="Times New Roman" w:eastAsiaTheme="minorEastAsia"/>
                <w:b/>
              </w:rPr>
            </w:pPr>
            <w:r>
              <w:rPr>
                <w:rFonts w:ascii="Times New Roman" w:hAnsi="Times New Roman" w:eastAsiaTheme="minorEastAsia"/>
                <w:b/>
              </w:rPr>
              <w:t>31.02</w:t>
            </w:r>
          </w:p>
        </w:tc>
        <w:tc>
          <w:tcPr>
            <w:tcW w:w="2107" w:type="pct"/>
            <w:vAlign w:val="center"/>
          </w:tcPr>
          <w:p>
            <w:pPr>
              <w:adjustRightInd w:val="0"/>
              <w:snapToGrid w:val="0"/>
              <w:jc w:val="center"/>
              <w:rPr>
                <w:rFonts w:ascii="Times New Roman" w:hAnsi="Times New Roman" w:eastAsiaTheme="minorEastAsia"/>
              </w:rPr>
            </w:pPr>
          </w:p>
        </w:tc>
      </w:tr>
    </w:tbl>
    <w:p>
      <w:pPr>
        <w:adjustRightInd w:val="0"/>
        <w:snapToGrid w:val="0"/>
        <w:spacing w:line="360" w:lineRule="auto"/>
        <w:ind w:firstLine="480" w:firstLineChars="200"/>
        <w:rPr>
          <w:rFonts w:ascii="Times New Roman" w:hAnsi="Times New Roman"/>
          <w:sz w:val="24"/>
        </w:rPr>
      </w:pPr>
    </w:p>
    <w:p>
      <w:pPr>
        <w:adjustRightInd w:val="0"/>
        <w:snapToGrid w:val="0"/>
        <w:spacing w:line="360" w:lineRule="auto"/>
        <w:ind w:firstLine="480" w:firstLineChars="200"/>
        <w:rPr>
          <w:rFonts w:ascii="Times New Roman" w:hAnsi="Times New Roman"/>
          <w:sz w:val="24"/>
        </w:rPr>
      </w:pPr>
      <w:r>
        <w:rPr>
          <w:rFonts w:ascii="Times New Roman" w:hAnsi="Times New Roman"/>
          <w:sz w:val="24"/>
        </w:rPr>
        <w:t>根据表9.3-1可知，本项目环境治理费用为31.02万元/a，占工程效益总额的0.22%，表明工程具备维持环境治理运行费用能力。</w:t>
      </w:r>
    </w:p>
    <w:p>
      <w:pPr>
        <w:pStyle w:val="3"/>
        <w:ind w:left="0" w:firstLine="0"/>
        <w:rPr>
          <w:rFonts w:ascii="Times New Roman" w:hAnsi="Times New Roman" w:eastAsiaTheme="minorEastAsia"/>
          <w:b/>
        </w:rPr>
      </w:pPr>
      <w:bookmarkStart w:id="376" w:name="_Toc14837"/>
      <w:bookmarkStart w:id="377" w:name="_Toc23093121"/>
      <w:bookmarkStart w:id="378" w:name="_Toc457679018"/>
      <w:bookmarkStart w:id="379" w:name="_Toc419403926"/>
      <w:bookmarkStart w:id="380" w:name="_Toc488130026"/>
      <w:bookmarkStart w:id="381" w:name="_Toc331058269"/>
      <w:bookmarkStart w:id="382" w:name="_Toc402437488"/>
      <w:bookmarkStart w:id="383" w:name="_Toc152556788"/>
      <w:bookmarkStart w:id="384" w:name="_Toc152407403"/>
      <w:bookmarkStart w:id="385" w:name="_Toc154387000"/>
      <w:bookmarkStart w:id="386" w:name="_Toc151945819"/>
      <w:bookmarkStart w:id="387" w:name="_Toc150911282"/>
      <w:bookmarkStart w:id="388" w:name="_Toc151945740"/>
      <w:bookmarkStart w:id="389" w:name="_Toc151859150"/>
      <w:bookmarkStart w:id="390" w:name="_Toc151887640"/>
      <w:bookmarkStart w:id="391" w:name="_Toc150836999"/>
      <w:bookmarkStart w:id="392" w:name="_Toc150842773"/>
      <w:bookmarkStart w:id="393" w:name="_Toc150767143"/>
      <w:bookmarkStart w:id="394" w:name="_Toc150763495"/>
      <w:bookmarkStart w:id="395" w:name="_Toc150763629"/>
      <w:bookmarkStart w:id="396" w:name="_Toc150309260"/>
      <w:bookmarkStart w:id="397" w:name="_Toc150143773"/>
      <w:bookmarkStart w:id="398" w:name="_Toc32893227"/>
      <w:bookmarkStart w:id="399" w:name="_Toc149621171"/>
      <w:bookmarkStart w:id="400" w:name="_Toc35402297"/>
      <w:bookmarkStart w:id="401" w:name="_Toc32892928"/>
      <w:bookmarkStart w:id="402" w:name="_Toc23909517"/>
      <w:bookmarkStart w:id="403" w:name="_Toc482582745"/>
      <w:bookmarkStart w:id="404" w:name="_Toc502956258"/>
      <w:bookmarkStart w:id="405" w:name="_Toc21915269"/>
      <w:bookmarkStart w:id="406" w:name="_Toc512845515"/>
      <w:bookmarkStart w:id="407" w:name="_Toc502958193"/>
      <w:bookmarkStart w:id="408" w:name="_Toc21915927"/>
      <w:bookmarkStart w:id="409" w:name="_Toc23092917"/>
      <w:r>
        <w:rPr>
          <w:rFonts w:ascii="Times New Roman" w:hAnsi="Times New Roman" w:eastAsiaTheme="minorEastAsia"/>
          <w:b/>
        </w:rPr>
        <w:t>社会效益分析</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pPr>
        <w:adjustRightInd w:val="0"/>
        <w:snapToGrid w:val="0"/>
        <w:spacing w:line="360" w:lineRule="auto"/>
        <w:ind w:firstLine="480" w:firstLineChars="200"/>
        <w:rPr>
          <w:rFonts w:ascii="Times New Roman" w:hAnsi="Times New Roman"/>
          <w:sz w:val="24"/>
        </w:rPr>
      </w:pPr>
      <w:r>
        <w:rPr>
          <w:rFonts w:ascii="Times New Roman" w:hAnsi="Times New Roman"/>
          <w:sz w:val="24"/>
        </w:rPr>
        <w:t>根据本项目的财务效益分析，项目财务内部收益为8.14%（税后），高于目前商业银行中长期贷款年利率4.90%的水平。另外本项目的建设，有利于改善岳阳地区的投资环境，满足社会经济发展的物质运输需求，增加就业机会，增加职工收入，促进社会稳定。</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因此，本项目的实施具有一定的社会效益。</w:t>
      </w:r>
    </w:p>
    <w:p>
      <w:pPr>
        <w:pStyle w:val="6"/>
        <w:ind w:firstLine="0" w:firstLineChars="0"/>
        <w:rPr>
          <w:rFonts w:cs="Times New Roman" w:eastAsiaTheme="minorEastAsia"/>
        </w:rPr>
      </w:pPr>
    </w:p>
    <w:p>
      <w:pPr>
        <w:pStyle w:val="6"/>
        <w:ind w:firstLine="480"/>
        <w:rPr>
          <w:rFonts w:cs="Times New Roman" w:eastAsiaTheme="minorEastAsia"/>
        </w:rPr>
        <w:sectPr>
          <w:headerReference r:id="rId17" w:type="default"/>
          <w:pgSz w:w="11907" w:h="16839"/>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2"/>
        <w:spacing w:line="480" w:lineRule="auto"/>
        <w:ind w:left="431" w:hanging="431"/>
        <w:jc w:val="center"/>
        <w:rPr>
          <w:rFonts w:eastAsiaTheme="minorEastAsia"/>
          <w:b/>
          <w:sz w:val="32"/>
          <w:szCs w:val="32"/>
        </w:rPr>
      </w:pPr>
      <w:bookmarkStart w:id="410" w:name="_Toc3826"/>
      <w:r>
        <w:rPr>
          <w:rFonts w:eastAsiaTheme="minorEastAsia"/>
          <w:b/>
          <w:sz w:val="32"/>
          <w:szCs w:val="32"/>
        </w:rPr>
        <w:t>环境保护管理及监测计划</w:t>
      </w:r>
      <w:bookmarkEnd w:id="410"/>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本项目的环境管理将遵守环境保护法规有关规定，针对项目特点，遵循以下基本原则：</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⑴</w:t>
      </w:r>
      <w:r>
        <w:rPr>
          <w:rFonts w:ascii="Times New Roman" w:hAnsi="Times New Roman" w:eastAsiaTheme="minorEastAsia"/>
          <w:color w:val="000000" w:themeColor="text1"/>
          <w:kern w:val="0"/>
          <w:sz w:val="24"/>
          <w:szCs w:val="24"/>
          <w14:textFill>
            <w14:solidFill>
              <w14:schemeClr w14:val="tx1"/>
            </w14:solidFill>
          </w14:textFill>
        </w:rPr>
        <w:t xml:space="preserve"> 按“可持续发展战略”，正确处理发展生产和保护环境之间的关系，把经济和环境效益统一起来。</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⑵</w:t>
      </w:r>
      <w:r>
        <w:rPr>
          <w:rFonts w:ascii="Times New Roman" w:hAnsi="Times New Roman" w:eastAsiaTheme="minorEastAsia"/>
          <w:color w:val="000000" w:themeColor="text1"/>
          <w:kern w:val="0"/>
          <w:sz w:val="24"/>
          <w:szCs w:val="24"/>
          <w14:textFill>
            <w14:solidFill>
              <w14:schemeClr w14:val="tx1"/>
            </w14:solidFill>
          </w14:textFill>
        </w:rPr>
        <w:t xml:space="preserve"> 把环境管理作为企业管理的一个组成部分，并贯穿于生产全过程，将环保指标纳入生产计划指标，同时进行考核和检查。</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⑶</w:t>
      </w:r>
      <w:r>
        <w:rPr>
          <w:rFonts w:ascii="Times New Roman" w:hAnsi="Times New Roman" w:eastAsiaTheme="minorEastAsia"/>
          <w:color w:val="000000" w:themeColor="text1"/>
          <w:kern w:val="0"/>
          <w:sz w:val="24"/>
          <w:szCs w:val="24"/>
          <w14:textFill>
            <w14:solidFill>
              <w14:schemeClr w14:val="tx1"/>
            </w14:solidFill>
          </w14:textFill>
        </w:rPr>
        <w:t xml:space="preserve"> 加强全公司职工的环境保护意识，将专业管理和群众管理相结合。</w:t>
      </w:r>
    </w:p>
    <w:p>
      <w:pPr>
        <w:pStyle w:val="3"/>
        <w:rPr>
          <w:rFonts w:ascii="Times New Roman" w:hAnsi="Times New Roman" w:eastAsiaTheme="minorEastAsia"/>
          <w:b/>
        </w:rPr>
      </w:pPr>
      <w:bookmarkStart w:id="411" w:name="_Toc10865"/>
      <w:r>
        <w:rPr>
          <w:rFonts w:ascii="Times New Roman" w:hAnsi="Times New Roman" w:eastAsiaTheme="minorEastAsia"/>
          <w:b/>
        </w:rPr>
        <w:t>环境管理</w:t>
      </w:r>
      <w:bookmarkEnd w:id="411"/>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环境管理是以环境科学理论为基础，运用经济、法律、技术、行政、教育等手段对经济、社会发展过程中施加给环境的污染和破坏影响进行调节控制、实现经济、社会和环境效益的和谐统一。本环境管理计划依据环评报告书提出的主要环境问题、环保工程措施及省、地市环保部门对企业环境管理的要求，提出该项目的环境管理和监测计划，供各级环保部门对该项目进行环境管理时参考，并作为企业项目设计、建设及运营阶段环境保护管理工作的依据。</w:t>
      </w:r>
    </w:p>
    <w:p>
      <w:pPr>
        <w:pStyle w:val="4"/>
        <w:rPr>
          <w:rFonts w:eastAsiaTheme="minorEastAsia"/>
        </w:rPr>
      </w:pPr>
      <w:r>
        <w:rPr>
          <w:rFonts w:eastAsiaTheme="minorEastAsia"/>
        </w:rPr>
        <w:t>环境保护管理目的</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⑴</w:t>
      </w:r>
      <w:r>
        <w:rPr>
          <w:rFonts w:ascii="Times New Roman" w:hAnsi="Times New Roman" w:eastAsiaTheme="minorEastAsia"/>
          <w:color w:val="000000" w:themeColor="text1"/>
          <w:kern w:val="0"/>
          <w:sz w:val="24"/>
          <w:szCs w:val="24"/>
          <w14:textFill>
            <w14:solidFill>
              <w14:schemeClr w14:val="tx1"/>
            </w14:solidFill>
          </w14:textFill>
        </w:rPr>
        <w:t xml:space="preserve"> 贯彻执行环境保护法规和标准；</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⑵</w:t>
      </w:r>
      <w:r>
        <w:rPr>
          <w:rFonts w:ascii="Times New Roman" w:hAnsi="Times New Roman" w:eastAsiaTheme="minorEastAsia"/>
          <w:color w:val="000000" w:themeColor="text1"/>
          <w:kern w:val="0"/>
          <w:sz w:val="24"/>
          <w:szCs w:val="24"/>
          <w14:textFill>
            <w14:solidFill>
              <w14:schemeClr w14:val="tx1"/>
            </w14:solidFill>
          </w14:textFill>
        </w:rPr>
        <w:t xml:space="preserve"> 建立各种环境管理制度，并经常检查监督；</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⑶</w:t>
      </w:r>
      <w:r>
        <w:rPr>
          <w:rFonts w:ascii="Times New Roman" w:hAnsi="Times New Roman" w:eastAsiaTheme="minorEastAsia"/>
          <w:color w:val="000000" w:themeColor="text1"/>
          <w:kern w:val="0"/>
          <w:sz w:val="24"/>
          <w:szCs w:val="24"/>
          <w14:textFill>
            <w14:solidFill>
              <w14:schemeClr w14:val="tx1"/>
            </w14:solidFill>
          </w14:textFill>
        </w:rPr>
        <w:t xml:space="preserve"> 编制项目环境保护规划并组织实施；</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⑷</w:t>
      </w:r>
      <w:r>
        <w:rPr>
          <w:rFonts w:ascii="Times New Roman" w:hAnsi="Times New Roman" w:eastAsiaTheme="minorEastAsia"/>
          <w:color w:val="000000" w:themeColor="text1"/>
          <w:kern w:val="0"/>
          <w:sz w:val="24"/>
          <w:szCs w:val="24"/>
          <w14:textFill>
            <w14:solidFill>
              <w14:schemeClr w14:val="tx1"/>
            </w14:solidFill>
          </w14:textFill>
        </w:rPr>
        <w:t xml:space="preserve"> 领导并组织实施项目的环境监测工作，建立监控档案；</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⑸</w:t>
      </w:r>
      <w:r>
        <w:rPr>
          <w:rFonts w:ascii="Times New Roman" w:hAnsi="Times New Roman" w:eastAsiaTheme="minorEastAsia"/>
          <w:color w:val="000000" w:themeColor="text1"/>
          <w:kern w:val="0"/>
          <w:sz w:val="24"/>
          <w:szCs w:val="24"/>
          <w14:textFill>
            <w14:solidFill>
              <w14:schemeClr w14:val="tx1"/>
            </w14:solidFill>
          </w14:textFill>
        </w:rPr>
        <w:t xml:space="preserve"> 抓好环境教育和技术培训工作，提高员工素质；</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⑹</w:t>
      </w:r>
      <w:r>
        <w:rPr>
          <w:rFonts w:ascii="Times New Roman" w:hAnsi="Times New Roman" w:eastAsiaTheme="minorEastAsia"/>
          <w:color w:val="000000" w:themeColor="text1"/>
          <w:kern w:val="0"/>
          <w:sz w:val="24"/>
          <w:szCs w:val="24"/>
          <w14:textFill>
            <w14:solidFill>
              <w14:schemeClr w14:val="tx1"/>
            </w14:solidFill>
          </w14:textFill>
        </w:rPr>
        <w:t xml:space="preserve"> 建立项目有关污染物排放和环保设施运转的规章制度；</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⑺</w:t>
      </w:r>
      <w:r>
        <w:rPr>
          <w:rFonts w:ascii="Times New Roman" w:hAnsi="Times New Roman" w:eastAsiaTheme="minorEastAsia"/>
          <w:color w:val="000000" w:themeColor="text1"/>
          <w:kern w:val="0"/>
          <w:sz w:val="24"/>
          <w:szCs w:val="24"/>
          <w14:textFill>
            <w14:solidFill>
              <w14:schemeClr w14:val="tx1"/>
            </w14:solidFill>
          </w14:textFill>
        </w:rPr>
        <w:t xml:space="preserve"> 负责日常环境管理工作，并配合环保管理部门做好与其它社会各界有关环保问题的协调工作；</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⑻</w:t>
      </w:r>
      <w:r>
        <w:rPr>
          <w:rFonts w:ascii="Times New Roman" w:hAnsi="Times New Roman" w:eastAsiaTheme="minorEastAsia"/>
          <w:color w:val="000000" w:themeColor="text1"/>
          <w:kern w:val="0"/>
          <w:sz w:val="24"/>
          <w:szCs w:val="24"/>
          <w14:textFill>
            <w14:solidFill>
              <w14:schemeClr w14:val="tx1"/>
            </w14:solidFill>
          </w14:textFill>
        </w:rPr>
        <w:t xml:space="preserve"> 制定突发性事故的应急处理方案并参与突发性事故的应急处理工作；</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⑼</w:t>
      </w:r>
      <w:r>
        <w:rPr>
          <w:rFonts w:ascii="Times New Roman" w:hAnsi="Times New Roman" w:eastAsiaTheme="minorEastAsia"/>
          <w:color w:val="000000" w:themeColor="text1"/>
          <w:kern w:val="0"/>
          <w:sz w:val="24"/>
          <w:szCs w:val="24"/>
          <w14:textFill>
            <w14:solidFill>
              <w14:schemeClr w14:val="tx1"/>
            </w14:solidFill>
          </w14:textFill>
        </w:rPr>
        <w:t xml:space="preserve"> 定期检查监督环保法规执行情况，及时和有关部门联系落实各方面的环保措施，使之正常运行。</w:t>
      </w:r>
    </w:p>
    <w:p>
      <w:pPr>
        <w:pStyle w:val="4"/>
        <w:rPr>
          <w:rFonts w:eastAsiaTheme="minorEastAsia"/>
        </w:rPr>
      </w:pPr>
      <w:r>
        <w:rPr>
          <w:rFonts w:eastAsiaTheme="minorEastAsia"/>
        </w:rPr>
        <w:t>施工前环境管理</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在施工前，施工单位应详细编制施工组织计划并建立环境管理制度，要有专人负责施工期间的环境保护工作，对施工中产生的“三废”应作出相应的防治措施及处置方法。环境管理要做到贯彻国家的环保法规标准，建立各项环保管理制度，做到有章可循，科学管理。工程建设时应保证环保投资落实到位，使各项环保设施达到设计规定的效率和要求。</w:t>
      </w:r>
    </w:p>
    <w:p>
      <w:pPr>
        <w:pStyle w:val="4"/>
        <w:rPr>
          <w:rFonts w:eastAsiaTheme="minorEastAsia"/>
        </w:rPr>
      </w:pPr>
      <w:r>
        <w:rPr>
          <w:rFonts w:eastAsiaTheme="minorEastAsia"/>
        </w:rPr>
        <w:t>施工期环境管理</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为预防和治理施工中的环境污染问题，除采取必要的污染治理措施外，还必须加强施工期的环境监测和管理。对此，提出以下建议：</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⑴</w:t>
      </w:r>
      <w:r>
        <w:rPr>
          <w:rFonts w:ascii="Times New Roman" w:hAnsi="Times New Roman" w:eastAsiaTheme="minorEastAsia"/>
          <w:color w:val="000000" w:themeColor="text1"/>
          <w:kern w:val="0"/>
          <w:sz w:val="24"/>
          <w:szCs w:val="24"/>
          <w14:textFill>
            <w14:solidFill>
              <w14:schemeClr w14:val="tx1"/>
            </w14:solidFill>
          </w14:textFill>
        </w:rPr>
        <w:t xml:space="preserve"> 建设单位应与施工单位协商，将施工期环境保护责任纳入双方合同文本，要求施工单位认真落实施工的环境保护措施。</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⑵</w:t>
      </w:r>
      <w:r>
        <w:rPr>
          <w:rFonts w:ascii="Times New Roman" w:hAnsi="Times New Roman"/>
          <w:color w:val="000000" w:themeColor="text1"/>
          <w:kern w:val="0"/>
          <w:sz w:val="24"/>
          <w:szCs w:val="24"/>
          <w14:textFill>
            <w14:solidFill>
              <w14:schemeClr w14:val="tx1"/>
            </w14:solidFill>
          </w14:textFill>
        </w:rPr>
        <w:t xml:space="preserve"> </w:t>
      </w:r>
      <w:r>
        <w:rPr>
          <w:rFonts w:ascii="Times New Roman" w:hAnsi="Times New Roman" w:eastAsiaTheme="minorEastAsia"/>
          <w:color w:val="000000" w:themeColor="text1"/>
          <w:kern w:val="0"/>
          <w:sz w:val="24"/>
          <w:szCs w:val="24"/>
          <w14:textFill>
            <w14:solidFill>
              <w14:schemeClr w14:val="tx1"/>
            </w14:solidFill>
          </w14:textFill>
        </w:rPr>
        <w:t>施工单位施工前应严格按照环评报告书及批复的要求认真编制施工组织计划，将其作为环境管理和环境保护竣工验收的依据。</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⑶</w:t>
      </w:r>
      <w:r>
        <w:rPr>
          <w:rFonts w:ascii="Times New Roman" w:hAnsi="Times New Roman"/>
          <w:color w:val="000000" w:themeColor="text1"/>
          <w:kern w:val="0"/>
          <w:sz w:val="24"/>
          <w:szCs w:val="24"/>
          <w14:textFill>
            <w14:solidFill>
              <w14:schemeClr w14:val="tx1"/>
            </w14:solidFill>
          </w14:textFill>
        </w:rPr>
        <w:t xml:space="preserve"> </w:t>
      </w:r>
      <w:r>
        <w:rPr>
          <w:rFonts w:ascii="Times New Roman" w:hAnsi="Times New Roman" w:eastAsiaTheme="minorEastAsia"/>
          <w:color w:val="000000" w:themeColor="text1"/>
          <w:kern w:val="0"/>
          <w:sz w:val="24"/>
          <w:szCs w:val="24"/>
          <w14:textFill>
            <w14:solidFill>
              <w14:schemeClr w14:val="tx1"/>
            </w14:solidFill>
          </w14:textFill>
        </w:rPr>
        <w:t>施工单位应配备专职环境管理人员，负责各类污染源的现场监控和管理，对施工过程中产生的扬尘、噪声和污水等污染物，采取有效的处理措施，并将此项内容作为工程施工考核指标之一。</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⑷</w:t>
      </w:r>
      <w:r>
        <w:rPr>
          <w:rFonts w:ascii="Times New Roman" w:hAnsi="Times New Roman"/>
          <w:color w:val="000000" w:themeColor="text1"/>
          <w:kern w:val="0"/>
          <w:sz w:val="24"/>
          <w:szCs w:val="24"/>
          <w14:textFill>
            <w14:solidFill>
              <w14:schemeClr w14:val="tx1"/>
            </w14:solidFill>
          </w14:textFill>
        </w:rPr>
        <w:t xml:space="preserve"> </w:t>
      </w:r>
      <w:r>
        <w:rPr>
          <w:rFonts w:ascii="Times New Roman" w:hAnsi="Times New Roman" w:eastAsiaTheme="minorEastAsia"/>
          <w:color w:val="000000" w:themeColor="text1"/>
          <w:kern w:val="0"/>
          <w:sz w:val="24"/>
          <w:szCs w:val="24"/>
          <w14:textFill>
            <w14:solidFill>
              <w14:schemeClr w14:val="tx1"/>
            </w14:solidFill>
          </w14:textFill>
        </w:rPr>
        <w:t>专职环境管理人员应做好文明施工的宣传工作，借助黑板报、宣传栏等工具对施工工人进行环境保护教育。</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⑸</w:t>
      </w:r>
      <w:r>
        <w:rPr>
          <w:rFonts w:ascii="Times New Roman" w:hAnsi="Times New Roman"/>
          <w:color w:val="000000" w:themeColor="text1"/>
          <w:kern w:val="0"/>
          <w:sz w:val="24"/>
          <w:szCs w:val="24"/>
          <w14:textFill>
            <w14:solidFill>
              <w14:schemeClr w14:val="tx1"/>
            </w14:solidFill>
          </w14:textFill>
        </w:rPr>
        <w:t xml:space="preserve"> </w:t>
      </w:r>
      <w:r>
        <w:rPr>
          <w:rFonts w:ascii="Times New Roman" w:hAnsi="Times New Roman" w:eastAsiaTheme="minorEastAsia"/>
          <w:color w:val="000000" w:themeColor="text1"/>
          <w:kern w:val="0"/>
          <w:sz w:val="24"/>
          <w:szCs w:val="24"/>
          <w14:textFill>
            <w14:solidFill>
              <w14:schemeClr w14:val="tx1"/>
            </w14:solidFill>
          </w14:textFill>
        </w:rPr>
        <w:t>施工单位应自觉接受当地环境保护主管部门的监督指导，主动配合环境保护主管部门搞好施工期的环境保护工作。</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⑹</w:t>
      </w:r>
      <w:r>
        <w:rPr>
          <w:rFonts w:ascii="Times New Roman" w:hAnsi="Times New Roman" w:eastAsiaTheme="minorEastAsia"/>
          <w:color w:val="000000" w:themeColor="text1"/>
          <w:kern w:val="0"/>
          <w:sz w:val="24"/>
          <w:szCs w:val="24"/>
          <w14:textFill>
            <w14:solidFill>
              <w14:schemeClr w14:val="tx1"/>
            </w14:solidFill>
          </w14:textFill>
        </w:rPr>
        <w:t xml:space="preserve"> 建设单位应按有关施工招标程序设置环境监理，并在当地环保部门的监督指导下，全面、规范地进行施工期的环境监理，保证施工现场噪声、扬尘、废气、污废水、建筑垃圾等排放能够满足相应标准要求。</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为了便于环境保护主管部门对本项目施工期的环境监管，评价拟定施工期环境监管计划见表10.1-1。</w:t>
      </w:r>
    </w:p>
    <w:p>
      <w:pPr>
        <w:autoSpaceDE w:val="0"/>
        <w:autoSpaceDN w:val="0"/>
        <w:adjustRightInd w:val="0"/>
        <w:snapToGrid w:val="0"/>
        <w:spacing w:line="276" w:lineRule="auto"/>
        <w:jc w:val="center"/>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表10.1-1  施工期环境监管计划</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790"/>
        <w:gridCol w:w="1249"/>
        <w:gridCol w:w="4583"/>
        <w:gridCol w:w="24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434" w:type="pct"/>
            <w:tcMar>
              <w:left w:w="17" w:type="dxa"/>
              <w:right w:w="17" w:type="dxa"/>
            </w:tcMar>
            <w:vAlign w:val="center"/>
          </w:tcPr>
          <w:p>
            <w:pPr>
              <w:pStyle w:val="36"/>
              <w:adjustRightInd w:val="0"/>
              <w:snapToGrid w:val="0"/>
              <w:jc w:val="center"/>
              <w:rPr>
                <w:rFonts w:ascii="Times New Roman" w:hAnsi="Times New Roman" w:cs="Times New Roman"/>
                <w:b/>
              </w:rPr>
            </w:pPr>
            <w:r>
              <w:rPr>
                <w:rFonts w:ascii="Times New Roman" w:hAnsi="Times New Roman" w:cs="Times New Roman"/>
                <w:b/>
              </w:rPr>
              <w:t>序号</w:t>
            </w:r>
          </w:p>
        </w:tc>
        <w:tc>
          <w:tcPr>
            <w:tcW w:w="686" w:type="pct"/>
            <w:tcMar>
              <w:left w:w="17" w:type="dxa"/>
              <w:right w:w="17" w:type="dxa"/>
            </w:tcMar>
            <w:vAlign w:val="center"/>
          </w:tcPr>
          <w:p>
            <w:pPr>
              <w:pStyle w:val="36"/>
              <w:adjustRightInd w:val="0"/>
              <w:snapToGrid w:val="0"/>
              <w:jc w:val="center"/>
              <w:rPr>
                <w:rFonts w:ascii="Times New Roman" w:hAnsi="Times New Roman" w:cs="Times New Roman"/>
                <w:b/>
              </w:rPr>
            </w:pPr>
            <w:r>
              <w:rPr>
                <w:rFonts w:ascii="Times New Roman" w:hAnsi="Times New Roman" w:cs="Times New Roman"/>
                <w:b/>
              </w:rPr>
              <w:t>项目</w:t>
            </w:r>
          </w:p>
        </w:tc>
        <w:tc>
          <w:tcPr>
            <w:tcW w:w="2517" w:type="pct"/>
            <w:tcMar>
              <w:left w:w="17" w:type="dxa"/>
              <w:right w:w="17" w:type="dxa"/>
            </w:tcMar>
            <w:vAlign w:val="center"/>
          </w:tcPr>
          <w:p>
            <w:pPr>
              <w:pStyle w:val="36"/>
              <w:adjustRightInd w:val="0"/>
              <w:snapToGrid w:val="0"/>
              <w:jc w:val="center"/>
              <w:rPr>
                <w:rFonts w:ascii="Times New Roman" w:hAnsi="Times New Roman" w:cs="Times New Roman"/>
                <w:b/>
              </w:rPr>
            </w:pPr>
            <w:r>
              <w:rPr>
                <w:rFonts w:ascii="Times New Roman" w:hAnsi="Times New Roman" w:cs="Times New Roman"/>
                <w:b/>
              </w:rPr>
              <w:t>监管内容</w:t>
            </w:r>
          </w:p>
        </w:tc>
        <w:tc>
          <w:tcPr>
            <w:tcW w:w="1363" w:type="pct"/>
            <w:tcMar>
              <w:left w:w="17" w:type="dxa"/>
              <w:right w:w="17" w:type="dxa"/>
            </w:tcMar>
            <w:vAlign w:val="center"/>
          </w:tcPr>
          <w:p>
            <w:pPr>
              <w:pStyle w:val="36"/>
              <w:adjustRightInd w:val="0"/>
              <w:snapToGrid w:val="0"/>
              <w:jc w:val="center"/>
              <w:rPr>
                <w:rFonts w:ascii="Times New Roman" w:hAnsi="Times New Roman" w:cs="Times New Roman"/>
                <w:b/>
              </w:rPr>
            </w:pPr>
            <w:r>
              <w:rPr>
                <w:rFonts w:ascii="Times New Roman" w:hAnsi="Times New Roman" w:cs="Times New Roman"/>
                <w:b/>
              </w:rPr>
              <w:t>预期效果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34" w:type="pct"/>
            <w:tcMar>
              <w:left w:w="17" w:type="dxa"/>
              <w:right w:w="17" w:type="dxa"/>
            </w:tcMar>
            <w:vAlign w:val="center"/>
          </w:tcPr>
          <w:p>
            <w:pPr>
              <w:pStyle w:val="36"/>
              <w:adjustRightInd w:val="0"/>
              <w:snapToGrid w:val="0"/>
              <w:jc w:val="center"/>
              <w:rPr>
                <w:rFonts w:ascii="Times New Roman" w:hAnsi="Times New Roman" w:cs="Times New Roman"/>
              </w:rPr>
            </w:pPr>
            <w:r>
              <w:rPr>
                <w:rFonts w:ascii="Times New Roman" w:hAnsi="Times New Roman" w:cs="Times New Roman"/>
              </w:rPr>
              <w:t>1</w:t>
            </w:r>
          </w:p>
        </w:tc>
        <w:tc>
          <w:tcPr>
            <w:tcW w:w="686" w:type="pct"/>
            <w:tcMar>
              <w:left w:w="17" w:type="dxa"/>
              <w:right w:w="17" w:type="dxa"/>
            </w:tcMar>
            <w:vAlign w:val="center"/>
          </w:tcPr>
          <w:p>
            <w:pPr>
              <w:pStyle w:val="36"/>
              <w:adjustRightInd w:val="0"/>
              <w:snapToGrid w:val="0"/>
              <w:jc w:val="center"/>
              <w:rPr>
                <w:rFonts w:ascii="Times New Roman" w:hAnsi="Times New Roman" w:cs="Times New Roman"/>
              </w:rPr>
            </w:pPr>
            <w:r>
              <w:rPr>
                <w:rFonts w:ascii="Times New Roman" w:hAnsi="Times New Roman" w:cs="Times New Roman"/>
              </w:rPr>
              <w:t>生态保护与水土保持</w:t>
            </w:r>
          </w:p>
        </w:tc>
        <w:tc>
          <w:tcPr>
            <w:tcW w:w="2517" w:type="pct"/>
            <w:tcMar>
              <w:left w:w="17" w:type="dxa"/>
              <w:right w:w="17" w:type="dxa"/>
            </w:tcMar>
            <w:vAlign w:val="center"/>
          </w:tcPr>
          <w:p>
            <w:pPr>
              <w:pStyle w:val="36"/>
              <w:adjustRightInd w:val="0"/>
              <w:snapToGrid w:val="0"/>
              <w:rPr>
                <w:rFonts w:ascii="Times New Roman" w:hAnsi="Times New Roman" w:cs="Times New Roman"/>
              </w:rPr>
            </w:pPr>
            <w:r>
              <w:rPr>
                <w:rFonts w:hint="eastAsia" w:hAnsi="宋体"/>
              </w:rPr>
              <w:t>⑴</w:t>
            </w:r>
            <w:r>
              <w:rPr>
                <w:rFonts w:ascii="Times New Roman" w:hAnsi="Times New Roman" w:cs="Times New Roman"/>
              </w:rPr>
              <w:t xml:space="preserve"> 做好施工总平面规划与优化，尽量减少施工临时占地；</w:t>
            </w:r>
          </w:p>
          <w:p>
            <w:pPr>
              <w:pStyle w:val="36"/>
              <w:adjustRightInd w:val="0"/>
              <w:snapToGrid w:val="0"/>
              <w:rPr>
                <w:rFonts w:ascii="Times New Roman" w:hAnsi="Times New Roman" w:cs="Times New Roman"/>
              </w:rPr>
            </w:pPr>
            <w:r>
              <w:rPr>
                <w:rFonts w:hint="eastAsia" w:hAnsi="宋体"/>
              </w:rPr>
              <w:t>⑵</w:t>
            </w:r>
            <w:r>
              <w:rPr>
                <w:rFonts w:ascii="Times New Roman" w:hAnsi="Times New Roman" w:cs="Times New Roman"/>
              </w:rPr>
              <w:t xml:space="preserve"> 设置临时排水系统，防止水土流失；</w:t>
            </w:r>
          </w:p>
          <w:p>
            <w:pPr>
              <w:pStyle w:val="36"/>
              <w:adjustRightInd w:val="0"/>
              <w:snapToGrid w:val="0"/>
              <w:rPr>
                <w:rFonts w:ascii="Times New Roman" w:hAnsi="Times New Roman" w:cs="Times New Roman"/>
              </w:rPr>
            </w:pPr>
            <w:r>
              <w:rPr>
                <w:rFonts w:hint="eastAsia" w:hAnsi="宋体"/>
              </w:rPr>
              <w:t>⑶</w:t>
            </w:r>
            <w:r>
              <w:rPr>
                <w:rFonts w:ascii="Times New Roman" w:hAnsi="Times New Roman" w:cs="Times New Roman"/>
              </w:rPr>
              <w:t xml:space="preserve"> 及时对施工区域进行种植绿化；</w:t>
            </w:r>
          </w:p>
          <w:p>
            <w:pPr>
              <w:pStyle w:val="36"/>
              <w:adjustRightInd w:val="0"/>
              <w:snapToGrid w:val="0"/>
              <w:rPr>
                <w:rFonts w:ascii="Times New Roman" w:hAnsi="Times New Roman" w:cs="Times New Roman"/>
              </w:rPr>
            </w:pPr>
            <w:r>
              <w:rPr>
                <w:rFonts w:hint="eastAsia" w:hAnsi="宋体"/>
              </w:rPr>
              <w:t>⑷</w:t>
            </w:r>
            <w:r>
              <w:rPr>
                <w:rFonts w:ascii="Times New Roman" w:hAnsi="Times New Roman" w:cs="Times New Roman"/>
              </w:rPr>
              <w:t xml:space="preserve"> 禁止在施工河段进行垂钓以及捕杀野生动物</w:t>
            </w:r>
          </w:p>
        </w:tc>
        <w:tc>
          <w:tcPr>
            <w:tcW w:w="1363" w:type="pct"/>
            <w:tcMar>
              <w:left w:w="17" w:type="dxa"/>
              <w:right w:w="17" w:type="dxa"/>
            </w:tcMar>
            <w:vAlign w:val="center"/>
          </w:tcPr>
          <w:p>
            <w:pPr>
              <w:pStyle w:val="36"/>
              <w:adjustRightInd w:val="0"/>
              <w:snapToGrid w:val="0"/>
              <w:jc w:val="center"/>
              <w:rPr>
                <w:rFonts w:ascii="Times New Roman" w:hAnsi="Times New Roman" w:cs="Times New Roman"/>
              </w:rPr>
            </w:pPr>
            <w:r>
              <w:rPr>
                <w:rFonts w:ascii="Times New Roman" w:hAnsi="Times New Roman" w:cs="Times New Roman"/>
              </w:rPr>
              <w:t>减少水土流失，保护生态环境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34" w:type="pct"/>
            <w:tcMar>
              <w:left w:w="17" w:type="dxa"/>
              <w:right w:w="17" w:type="dxa"/>
            </w:tcMar>
            <w:vAlign w:val="center"/>
          </w:tcPr>
          <w:p>
            <w:pPr>
              <w:pStyle w:val="36"/>
              <w:adjustRightInd w:val="0"/>
              <w:snapToGrid w:val="0"/>
              <w:jc w:val="center"/>
              <w:rPr>
                <w:rFonts w:ascii="Times New Roman" w:hAnsi="Times New Roman" w:cs="Times New Roman"/>
              </w:rPr>
            </w:pPr>
            <w:r>
              <w:rPr>
                <w:rFonts w:ascii="Times New Roman" w:hAnsi="Times New Roman" w:cs="Times New Roman"/>
              </w:rPr>
              <w:t>2</w:t>
            </w:r>
          </w:p>
        </w:tc>
        <w:tc>
          <w:tcPr>
            <w:tcW w:w="686" w:type="pct"/>
            <w:tcMar>
              <w:left w:w="17" w:type="dxa"/>
              <w:right w:w="17" w:type="dxa"/>
            </w:tcMar>
            <w:vAlign w:val="center"/>
          </w:tcPr>
          <w:p>
            <w:pPr>
              <w:pStyle w:val="36"/>
              <w:adjustRightInd w:val="0"/>
              <w:snapToGrid w:val="0"/>
              <w:jc w:val="center"/>
              <w:rPr>
                <w:rFonts w:ascii="Times New Roman" w:hAnsi="Times New Roman" w:cs="Times New Roman"/>
              </w:rPr>
            </w:pPr>
            <w:r>
              <w:rPr>
                <w:rFonts w:ascii="Times New Roman" w:hAnsi="Times New Roman" w:cs="Times New Roman"/>
              </w:rPr>
              <w:t>废气防治</w:t>
            </w:r>
          </w:p>
        </w:tc>
        <w:tc>
          <w:tcPr>
            <w:tcW w:w="2517" w:type="pct"/>
            <w:tcMar>
              <w:left w:w="17" w:type="dxa"/>
              <w:right w:w="17" w:type="dxa"/>
            </w:tcMar>
            <w:vAlign w:val="center"/>
          </w:tcPr>
          <w:p>
            <w:pPr>
              <w:pStyle w:val="36"/>
              <w:adjustRightInd w:val="0"/>
              <w:snapToGrid w:val="0"/>
              <w:rPr>
                <w:rFonts w:ascii="Times New Roman" w:hAnsi="Times New Roman" w:cs="Times New Roman"/>
              </w:rPr>
            </w:pPr>
            <w:r>
              <w:rPr>
                <w:rFonts w:ascii="Times New Roman" w:hAnsi="Times New Roman" w:cs="Times New Roman"/>
              </w:rPr>
              <w:t>各施工场地和运输道路定期洒水</w:t>
            </w:r>
          </w:p>
        </w:tc>
        <w:tc>
          <w:tcPr>
            <w:tcW w:w="1363" w:type="pct"/>
            <w:tcMar>
              <w:left w:w="17" w:type="dxa"/>
              <w:right w:w="17" w:type="dxa"/>
            </w:tcMar>
            <w:vAlign w:val="center"/>
          </w:tcPr>
          <w:p>
            <w:pPr>
              <w:pStyle w:val="36"/>
              <w:adjustRightInd w:val="0"/>
              <w:snapToGrid w:val="0"/>
              <w:jc w:val="center"/>
              <w:rPr>
                <w:rFonts w:ascii="Times New Roman" w:hAnsi="Times New Roman" w:cs="Times New Roman"/>
              </w:rPr>
            </w:pPr>
            <w:r>
              <w:rPr>
                <w:rFonts w:ascii="Times New Roman" w:hAnsi="Times New Roman" w:cs="Times New Roman"/>
              </w:rPr>
              <w:t>减少扬尘产生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34" w:type="pct"/>
            <w:tcMar>
              <w:left w:w="17" w:type="dxa"/>
              <w:right w:w="17" w:type="dxa"/>
            </w:tcMar>
            <w:vAlign w:val="center"/>
          </w:tcPr>
          <w:p>
            <w:pPr>
              <w:pStyle w:val="36"/>
              <w:adjustRightInd w:val="0"/>
              <w:snapToGrid w:val="0"/>
              <w:jc w:val="center"/>
              <w:rPr>
                <w:rFonts w:ascii="Times New Roman" w:hAnsi="Times New Roman" w:cs="Times New Roman"/>
              </w:rPr>
            </w:pPr>
            <w:r>
              <w:rPr>
                <w:rFonts w:ascii="Times New Roman" w:hAnsi="Times New Roman" w:cs="Times New Roman"/>
              </w:rPr>
              <w:t>3</w:t>
            </w:r>
          </w:p>
        </w:tc>
        <w:tc>
          <w:tcPr>
            <w:tcW w:w="686" w:type="pct"/>
            <w:tcMar>
              <w:left w:w="17" w:type="dxa"/>
              <w:right w:w="17" w:type="dxa"/>
            </w:tcMar>
            <w:vAlign w:val="center"/>
          </w:tcPr>
          <w:p>
            <w:pPr>
              <w:pStyle w:val="36"/>
              <w:adjustRightInd w:val="0"/>
              <w:snapToGrid w:val="0"/>
              <w:jc w:val="center"/>
              <w:rPr>
                <w:rFonts w:ascii="Times New Roman" w:hAnsi="Times New Roman" w:cs="Times New Roman"/>
              </w:rPr>
            </w:pPr>
            <w:r>
              <w:rPr>
                <w:rFonts w:ascii="Times New Roman" w:hAnsi="Times New Roman" w:cs="Times New Roman"/>
              </w:rPr>
              <w:t>噪声防治</w:t>
            </w:r>
          </w:p>
        </w:tc>
        <w:tc>
          <w:tcPr>
            <w:tcW w:w="2517" w:type="pct"/>
            <w:tcMar>
              <w:left w:w="17" w:type="dxa"/>
              <w:right w:w="17" w:type="dxa"/>
            </w:tcMar>
            <w:vAlign w:val="center"/>
          </w:tcPr>
          <w:p>
            <w:pPr>
              <w:pStyle w:val="36"/>
              <w:adjustRightInd w:val="0"/>
              <w:snapToGrid w:val="0"/>
              <w:rPr>
                <w:rFonts w:ascii="Times New Roman" w:hAnsi="Times New Roman" w:cs="Times New Roman"/>
              </w:rPr>
            </w:pPr>
            <w:r>
              <w:rPr>
                <w:rFonts w:hint="eastAsia" w:hAnsi="宋体"/>
              </w:rPr>
              <w:t>⑴</w:t>
            </w:r>
            <w:r>
              <w:rPr>
                <w:rFonts w:ascii="Times New Roman" w:hAnsi="Times New Roman" w:cs="Times New Roman"/>
              </w:rPr>
              <w:t xml:space="preserve"> 选用低噪声设备；</w:t>
            </w:r>
          </w:p>
          <w:p>
            <w:pPr>
              <w:pStyle w:val="36"/>
              <w:adjustRightInd w:val="0"/>
              <w:snapToGrid w:val="0"/>
              <w:rPr>
                <w:rFonts w:ascii="Times New Roman" w:hAnsi="Times New Roman" w:cs="Times New Roman"/>
              </w:rPr>
            </w:pPr>
            <w:r>
              <w:rPr>
                <w:rFonts w:hint="eastAsia" w:hAnsi="宋体"/>
              </w:rPr>
              <w:t>⑵</w:t>
            </w:r>
            <w:r>
              <w:rPr>
                <w:rFonts w:ascii="Times New Roman" w:hAnsi="Times New Roman" w:cs="Times New Roman"/>
              </w:rPr>
              <w:t xml:space="preserve"> 合理安排施工时间</w:t>
            </w:r>
          </w:p>
        </w:tc>
        <w:tc>
          <w:tcPr>
            <w:tcW w:w="1363" w:type="pct"/>
            <w:tcMar>
              <w:left w:w="17" w:type="dxa"/>
              <w:right w:w="17" w:type="dxa"/>
            </w:tcMar>
            <w:vAlign w:val="center"/>
          </w:tcPr>
          <w:p>
            <w:pPr>
              <w:pStyle w:val="36"/>
              <w:adjustRightInd w:val="0"/>
              <w:snapToGrid w:val="0"/>
              <w:jc w:val="center"/>
              <w:rPr>
                <w:rFonts w:ascii="Times New Roman" w:hAnsi="Times New Roman" w:cs="Times New Roman"/>
              </w:rPr>
            </w:pPr>
            <w:r>
              <w:rPr>
                <w:rFonts w:ascii="Times New Roman" w:hAnsi="Times New Roman" w:cs="Times New Roman"/>
              </w:rPr>
              <w:t>施工场界噪声限值标准，防止噪声扰民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34" w:type="pct"/>
            <w:tcMar>
              <w:left w:w="17" w:type="dxa"/>
              <w:right w:w="17" w:type="dxa"/>
            </w:tcMar>
            <w:vAlign w:val="center"/>
          </w:tcPr>
          <w:p>
            <w:pPr>
              <w:pStyle w:val="36"/>
              <w:adjustRightInd w:val="0"/>
              <w:snapToGrid w:val="0"/>
              <w:jc w:val="center"/>
              <w:rPr>
                <w:rFonts w:ascii="Times New Roman" w:hAnsi="Times New Roman" w:cs="Times New Roman"/>
              </w:rPr>
            </w:pPr>
            <w:r>
              <w:rPr>
                <w:rFonts w:ascii="Times New Roman" w:hAnsi="Times New Roman" w:cs="Times New Roman"/>
              </w:rPr>
              <w:t>4</w:t>
            </w:r>
          </w:p>
        </w:tc>
        <w:tc>
          <w:tcPr>
            <w:tcW w:w="686" w:type="pct"/>
            <w:tcMar>
              <w:left w:w="17" w:type="dxa"/>
              <w:right w:w="17" w:type="dxa"/>
            </w:tcMar>
            <w:vAlign w:val="center"/>
          </w:tcPr>
          <w:p>
            <w:pPr>
              <w:pStyle w:val="36"/>
              <w:adjustRightInd w:val="0"/>
              <w:snapToGrid w:val="0"/>
              <w:jc w:val="center"/>
              <w:rPr>
                <w:rFonts w:ascii="Times New Roman" w:hAnsi="Times New Roman" w:cs="Times New Roman"/>
              </w:rPr>
            </w:pPr>
            <w:r>
              <w:rPr>
                <w:rFonts w:ascii="Times New Roman" w:hAnsi="Times New Roman" w:cs="Times New Roman"/>
              </w:rPr>
              <w:t>固废处置</w:t>
            </w:r>
          </w:p>
        </w:tc>
        <w:tc>
          <w:tcPr>
            <w:tcW w:w="2517" w:type="pct"/>
            <w:tcMar>
              <w:left w:w="17" w:type="dxa"/>
              <w:right w:w="17" w:type="dxa"/>
            </w:tcMar>
            <w:vAlign w:val="center"/>
          </w:tcPr>
          <w:p>
            <w:pPr>
              <w:pStyle w:val="36"/>
              <w:adjustRightInd w:val="0"/>
              <w:snapToGrid w:val="0"/>
              <w:rPr>
                <w:rFonts w:ascii="Times New Roman" w:hAnsi="Times New Roman" w:cs="Times New Roman"/>
              </w:rPr>
            </w:pPr>
            <w:r>
              <w:rPr>
                <w:rFonts w:hint="eastAsia" w:hAnsi="宋体"/>
              </w:rPr>
              <w:t>⑴</w:t>
            </w:r>
            <w:r>
              <w:rPr>
                <w:rFonts w:ascii="Times New Roman" w:hAnsi="Times New Roman" w:cs="Times New Roman"/>
              </w:rPr>
              <w:t xml:space="preserve"> 平衡土石方，减少弃土产生量</w:t>
            </w:r>
          </w:p>
          <w:p>
            <w:pPr>
              <w:pStyle w:val="36"/>
              <w:adjustRightInd w:val="0"/>
              <w:snapToGrid w:val="0"/>
              <w:rPr>
                <w:rFonts w:ascii="Times New Roman" w:hAnsi="Times New Roman" w:cs="Times New Roman"/>
              </w:rPr>
            </w:pPr>
            <w:r>
              <w:rPr>
                <w:rFonts w:hint="eastAsia" w:hAnsi="宋体"/>
              </w:rPr>
              <w:t>⑵</w:t>
            </w:r>
            <w:r>
              <w:rPr>
                <w:rFonts w:ascii="Times New Roman" w:hAnsi="Times New Roman" w:cs="Times New Roman"/>
              </w:rPr>
              <w:t xml:space="preserve"> 设置固废堆场，并设置挡土墙与导水沟渠；</w:t>
            </w:r>
          </w:p>
          <w:p>
            <w:pPr>
              <w:pStyle w:val="36"/>
              <w:adjustRightInd w:val="0"/>
              <w:snapToGrid w:val="0"/>
              <w:rPr>
                <w:rFonts w:ascii="Times New Roman" w:hAnsi="Times New Roman" w:cs="Times New Roman"/>
              </w:rPr>
            </w:pPr>
            <w:r>
              <w:rPr>
                <w:rFonts w:hint="eastAsia" w:hAnsi="宋体"/>
              </w:rPr>
              <w:t>⑶</w:t>
            </w:r>
            <w:r>
              <w:rPr>
                <w:rFonts w:ascii="Times New Roman" w:hAnsi="Times New Roman" w:cs="Times New Roman"/>
              </w:rPr>
              <w:t xml:space="preserve"> 生活垃圾集中收集处置</w:t>
            </w:r>
          </w:p>
        </w:tc>
        <w:tc>
          <w:tcPr>
            <w:tcW w:w="1363" w:type="pct"/>
            <w:tcMar>
              <w:left w:w="17" w:type="dxa"/>
              <w:right w:w="17" w:type="dxa"/>
            </w:tcMar>
            <w:vAlign w:val="center"/>
          </w:tcPr>
          <w:p>
            <w:pPr>
              <w:pStyle w:val="36"/>
              <w:adjustRightInd w:val="0"/>
              <w:snapToGrid w:val="0"/>
              <w:jc w:val="center"/>
              <w:rPr>
                <w:rFonts w:ascii="Times New Roman" w:hAnsi="Times New Roman" w:cs="Times New Roman"/>
              </w:rPr>
            </w:pPr>
            <w:r>
              <w:rPr>
                <w:rFonts w:ascii="Times New Roman" w:hAnsi="Times New Roman" w:cs="Times New Roman"/>
              </w:rPr>
              <w:t>减轻固废对环境的影响</w:t>
            </w:r>
          </w:p>
        </w:tc>
      </w:tr>
    </w:tbl>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p>
    <w:p>
      <w:pPr>
        <w:pStyle w:val="4"/>
        <w:rPr>
          <w:rFonts w:eastAsiaTheme="minorEastAsia"/>
        </w:rPr>
      </w:pPr>
      <w:r>
        <w:rPr>
          <w:rFonts w:eastAsiaTheme="minorEastAsia"/>
        </w:rPr>
        <w:t>施工期环境监理</w:t>
      </w:r>
    </w:p>
    <w:p>
      <w:pPr>
        <w:autoSpaceDE w:val="0"/>
        <w:autoSpaceDN w:val="0"/>
        <w:adjustRightInd w:val="0"/>
        <w:snapToGrid w:val="0"/>
        <w:spacing w:line="360" w:lineRule="auto"/>
        <w:ind w:firstLine="482" w:firstLineChars="200"/>
        <w:rPr>
          <w:rFonts w:ascii="Times New Roman" w:hAnsi="Times New Roman"/>
          <w:b/>
          <w:color w:val="000000" w:themeColor="text1"/>
          <w:kern w:val="0"/>
          <w:sz w:val="24"/>
          <w:szCs w:val="24"/>
          <w14:textFill>
            <w14:solidFill>
              <w14:schemeClr w14:val="tx1"/>
            </w14:solidFill>
          </w14:textFill>
        </w:rPr>
      </w:pPr>
      <w:r>
        <w:rPr>
          <w:rFonts w:ascii="Times New Roman" w:hAnsi="Times New Roman"/>
          <w:b/>
          <w:color w:val="000000" w:themeColor="text1"/>
          <w:kern w:val="0"/>
          <w:sz w:val="24"/>
          <w:szCs w:val="24"/>
          <w14:textFill>
            <w14:solidFill>
              <w14:schemeClr w14:val="tx1"/>
            </w14:solidFill>
          </w14:textFill>
        </w:rPr>
        <w:t>1、环境监理目标</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工程环境监理是监督工程建设单位落实环境保护措施、防止环境污染、生态破坏、满足工程竣工验收要求的有效手段，工程实施全面环境工程监理，可以使工程在设计、施工、运营等方面达到环境保护的要求。</w:t>
      </w:r>
    </w:p>
    <w:p>
      <w:pPr>
        <w:autoSpaceDE w:val="0"/>
        <w:autoSpaceDN w:val="0"/>
        <w:adjustRightInd w:val="0"/>
        <w:snapToGrid w:val="0"/>
        <w:spacing w:line="360" w:lineRule="auto"/>
        <w:ind w:firstLine="482" w:firstLineChars="200"/>
        <w:rPr>
          <w:rFonts w:ascii="Times New Roman" w:hAnsi="Times New Roman"/>
          <w:b/>
          <w:color w:val="000000" w:themeColor="text1"/>
          <w:kern w:val="0"/>
          <w:sz w:val="24"/>
          <w:szCs w:val="24"/>
          <w14:textFill>
            <w14:solidFill>
              <w14:schemeClr w14:val="tx1"/>
            </w14:solidFill>
          </w14:textFill>
        </w:rPr>
      </w:pPr>
      <w:bookmarkStart w:id="412" w:name="_Toc245119735"/>
      <w:bookmarkStart w:id="413" w:name="_Toc245118715"/>
      <w:bookmarkStart w:id="414" w:name="_Toc245279152"/>
      <w:r>
        <w:rPr>
          <w:rFonts w:ascii="Times New Roman" w:hAnsi="Times New Roman"/>
          <w:b/>
          <w:color w:val="000000" w:themeColor="text1"/>
          <w:kern w:val="0"/>
          <w:sz w:val="24"/>
          <w:szCs w:val="24"/>
          <w14:textFill>
            <w14:solidFill>
              <w14:schemeClr w14:val="tx1"/>
            </w14:solidFill>
          </w14:textFill>
        </w:rPr>
        <w:t>2、环境监理范围</w:t>
      </w:r>
      <w:bookmarkEnd w:id="412"/>
      <w:bookmarkEnd w:id="413"/>
      <w:bookmarkEnd w:id="414"/>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本项目施工期影响区域范围包括：码头陆域平台、转运站、拟建泊位等；上述范围内相关设施的施工对周边区域的影响范围也应纳入监理范围。</w:t>
      </w:r>
    </w:p>
    <w:p>
      <w:pPr>
        <w:autoSpaceDE w:val="0"/>
        <w:autoSpaceDN w:val="0"/>
        <w:adjustRightInd w:val="0"/>
        <w:snapToGrid w:val="0"/>
        <w:spacing w:line="360" w:lineRule="auto"/>
        <w:ind w:firstLine="482" w:firstLineChars="200"/>
        <w:rPr>
          <w:rFonts w:ascii="Times New Roman" w:hAnsi="Times New Roman"/>
          <w:b/>
          <w:color w:val="000000" w:themeColor="text1"/>
          <w:kern w:val="0"/>
          <w:sz w:val="24"/>
          <w:szCs w:val="24"/>
          <w14:textFill>
            <w14:solidFill>
              <w14:schemeClr w14:val="tx1"/>
            </w14:solidFill>
          </w14:textFill>
        </w:rPr>
      </w:pPr>
      <w:bookmarkStart w:id="415" w:name="_Toc245118716"/>
      <w:bookmarkStart w:id="416" w:name="_Toc245279153"/>
      <w:bookmarkStart w:id="417" w:name="_Toc245119736"/>
      <w:r>
        <w:rPr>
          <w:rFonts w:ascii="Times New Roman" w:hAnsi="Times New Roman"/>
          <w:b/>
          <w:color w:val="000000" w:themeColor="text1"/>
          <w:kern w:val="0"/>
          <w:sz w:val="24"/>
          <w:szCs w:val="24"/>
          <w14:textFill>
            <w14:solidFill>
              <w14:schemeClr w14:val="tx1"/>
            </w14:solidFill>
          </w14:textFill>
        </w:rPr>
        <w:t>3、环境监理时段</w:t>
      </w:r>
      <w:bookmarkEnd w:id="415"/>
      <w:bookmarkEnd w:id="416"/>
      <w:bookmarkEnd w:id="417"/>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本项目环境监理时段为建设期。</w:t>
      </w:r>
    </w:p>
    <w:p>
      <w:pPr>
        <w:autoSpaceDE w:val="0"/>
        <w:autoSpaceDN w:val="0"/>
        <w:adjustRightInd w:val="0"/>
        <w:snapToGrid w:val="0"/>
        <w:spacing w:line="360" w:lineRule="auto"/>
        <w:ind w:firstLine="482" w:firstLineChars="200"/>
        <w:rPr>
          <w:rFonts w:ascii="Times New Roman" w:hAnsi="Times New Roman"/>
          <w:b/>
          <w:color w:val="000000" w:themeColor="text1"/>
          <w:kern w:val="0"/>
          <w:sz w:val="24"/>
          <w:szCs w:val="24"/>
          <w14:textFill>
            <w14:solidFill>
              <w14:schemeClr w14:val="tx1"/>
            </w14:solidFill>
          </w14:textFill>
        </w:rPr>
      </w:pPr>
      <w:r>
        <w:rPr>
          <w:rFonts w:ascii="Times New Roman" w:hAnsi="Times New Roman"/>
          <w:b/>
          <w:color w:val="000000" w:themeColor="text1"/>
          <w:kern w:val="0"/>
          <w:sz w:val="24"/>
          <w:szCs w:val="24"/>
          <w14:textFill>
            <w14:solidFill>
              <w14:schemeClr w14:val="tx1"/>
            </w14:solidFill>
          </w14:textFill>
        </w:rPr>
        <w:t>4、环境监理工作程序</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建设单位应通过招投标的方式委托环境监理机构。在开展环境监理工作前，环境监理机构应先编制环境监理方案。</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环境监理机构环境监理程序如下：</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⑴</w:t>
      </w:r>
      <w:r>
        <w:rPr>
          <w:rFonts w:ascii="Times New Roman" w:hAnsi="Times New Roman"/>
          <w:color w:val="000000" w:themeColor="text1"/>
          <w:kern w:val="0"/>
          <w:sz w:val="24"/>
          <w:szCs w:val="24"/>
          <w14:textFill>
            <w14:solidFill>
              <w14:schemeClr w14:val="tx1"/>
            </w14:solidFill>
          </w14:textFill>
        </w:rPr>
        <w:t xml:space="preserve"> 根据本项目建设进度和工程特点编制阶段性或单项措施环境监理实施细则；</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⑵</w:t>
      </w:r>
      <w:r>
        <w:rPr>
          <w:rFonts w:ascii="Times New Roman" w:hAnsi="Times New Roman"/>
          <w:color w:val="000000" w:themeColor="text1"/>
          <w:kern w:val="0"/>
          <w:sz w:val="24"/>
          <w:szCs w:val="24"/>
          <w14:textFill>
            <w14:solidFill>
              <w14:schemeClr w14:val="tx1"/>
            </w14:solidFill>
          </w14:textFill>
        </w:rPr>
        <w:t xml:space="preserve"> 在工程开工建设前完成设计文件环保核查，并及时向工程建设单位提交设计文件环保核查报告；</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⑶</w:t>
      </w:r>
      <w:r>
        <w:rPr>
          <w:rFonts w:ascii="Times New Roman" w:hAnsi="Times New Roman"/>
          <w:color w:val="000000" w:themeColor="text1"/>
          <w:kern w:val="0"/>
          <w:sz w:val="24"/>
          <w:szCs w:val="24"/>
          <w14:textFill>
            <w14:solidFill>
              <w14:schemeClr w14:val="tx1"/>
            </w14:solidFill>
          </w14:textFill>
        </w:rPr>
        <w:t xml:space="preserve"> 向建设项目现场派驻环境监理项目部和监理人员，采取巡视、检查、旁站等方式进行跟踪管理；</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⑷</w:t>
      </w:r>
      <w:r>
        <w:rPr>
          <w:rFonts w:ascii="Times New Roman" w:hAnsi="Times New Roman"/>
          <w:color w:val="000000" w:themeColor="text1"/>
          <w:kern w:val="0"/>
          <w:sz w:val="24"/>
          <w:szCs w:val="24"/>
          <w14:textFill>
            <w14:solidFill>
              <w14:schemeClr w14:val="tx1"/>
            </w14:solidFill>
          </w14:textFill>
        </w:rPr>
        <w:t xml:space="preserve"> 参加项目施工例会、项目验收会和组织项目环境监理例会，对工程环保进度、环境质量进行控制，提出工程暂停、复工和设计变更等要求或决定；</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⑸</w:t>
      </w:r>
      <w:r>
        <w:rPr>
          <w:rFonts w:ascii="Times New Roman" w:hAnsi="Times New Roman"/>
          <w:color w:val="000000" w:themeColor="text1"/>
          <w:kern w:val="0"/>
          <w:sz w:val="24"/>
          <w:szCs w:val="24"/>
          <w14:textFill>
            <w14:solidFill>
              <w14:schemeClr w14:val="tx1"/>
            </w14:solidFill>
          </w14:textFill>
        </w:rPr>
        <w:t xml:space="preserve"> 按照监理实施细则实施监理，填写监理日志，定期向工程建设单位提交监理月报表和专题报告，并同时报送当地环境保护行政主管部门；</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⑹</w:t>
      </w:r>
      <w:r>
        <w:rPr>
          <w:rFonts w:ascii="Times New Roman" w:hAnsi="Times New Roman"/>
          <w:color w:val="000000" w:themeColor="text1"/>
          <w:kern w:val="0"/>
          <w:sz w:val="24"/>
          <w:szCs w:val="24"/>
          <w14:textFill>
            <w14:solidFill>
              <w14:schemeClr w14:val="tx1"/>
            </w14:solidFill>
          </w14:textFill>
        </w:rPr>
        <w:t xml:space="preserve"> 在建设项目开工、试生产和竣工环境保护验收前分别向工程建设单位提交阶段环境监理报告。在本项目通过竣工环境保护验收后移交环境监理档案资料。</w:t>
      </w:r>
    </w:p>
    <w:p>
      <w:pPr>
        <w:autoSpaceDE w:val="0"/>
        <w:autoSpaceDN w:val="0"/>
        <w:adjustRightInd w:val="0"/>
        <w:snapToGrid w:val="0"/>
        <w:spacing w:line="360" w:lineRule="auto"/>
        <w:ind w:firstLine="482" w:firstLineChars="200"/>
        <w:rPr>
          <w:rFonts w:ascii="Times New Roman" w:hAnsi="Times New Roman"/>
          <w:b/>
          <w:color w:val="000000" w:themeColor="text1"/>
          <w:kern w:val="0"/>
          <w:sz w:val="24"/>
          <w:szCs w:val="24"/>
          <w14:textFill>
            <w14:solidFill>
              <w14:schemeClr w14:val="tx1"/>
            </w14:solidFill>
          </w14:textFill>
        </w:rPr>
      </w:pPr>
      <w:r>
        <w:rPr>
          <w:rFonts w:ascii="Times New Roman" w:hAnsi="Times New Roman"/>
          <w:b/>
          <w:color w:val="000000" w:themeColor="text1"/>
          <w:kern w:val="0"/>
          <w:sz w:val="24"/>
          <w:szCs w:val="24"/>
          <w14:textFill>
            <w14:solidFill>
              <w14:schemeClr w14:val="tx1"/>
            </w14:solidFill>
          </w14:textFill>
        </w:rPr>
        <w:t>5、环境工程监理具体工作方法</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⑴</w:t>
      </w:r>
      <w:r>
        <w:rPr>
          <w:rFonts w:ascii="Times New Roman" w:hAnsi="Times New Roman"/>
          <w:color w:val="000000" w:themeColor="text1"/>
          <w:kern w:val="0"/>
          <w:sz w:val="24"/>
          <w:szCs w:val="24"/>
          <w14:textFill>
            <w14:solidFill>
              <w14:schemeClr w14:val="tx1"/>
            </w14:solidFill>
          </w14:textFill>
        </w:rPr>
        <w:t xml:space="preserve"> 审查经批准的环境影响报告书提出的环境保护措施在工程初步设计、施工图设计中的落实情况；</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⑵</w:t>
      </w:r>
      <w:r>
        <w:rPr>
          <w:rFonts w:ascii="Times New Roman" w:hAnsi="Times New Roman"/>
          <w:color w:val="000000" w:themeColor="text1"/>
          <w:kern w:val="0"/>
          <w:sz w:val="24"/>
          <w:szCs w:val="24"/>
          <w14:textFill>
            <w14:solidFill>
              <w14:schemeClr w14:val="tx1"/>
            </w14:solidFill>
          </w14:textFill>
        </w:rPr>
        <w:t xml:space="preserve"> 协助建设单位组织对施工、设计、管理人员的环境保护培训；</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⑶</w:t>
      </w:r>
      <w:r>
        <w:rPr>
          <w:rFonts w:ascii="Times New Roman" w:hAnsi="Times New Roman"/>
          <w:color w:val="000000" w:themeColor="text1"/>
          <w:kern w:val="0"/>
          <w:sz w:val="24"/>
          <w:szCs w:val="24"/>
          <w14:textFill>
            <w14:solidFill>
              <w14:schemeClr w14:val="tx1"/>
            </w14:solidFill>
          </w14:textFill>
        </w:rPr>
        <w:t xml:space="preserve"> 审核招标文件、工程合同有关环境保护条款；</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⑷</w:t>
      </w:r>
      <w:r>
        <w:rPr>
          <w:rFonts w:ascii="Times New Roman" w:hAnsi="Times New Roman"/>
          <w:color w:val="000000" w:themeColor="text1"/>
          <w:kern w:val="0"/>
          <w:sz w:val="24"/>
          <w:szCs w:val="24"/>
          <w14:textFill>
            <w14:solidFill>
              <w14:schemeClr w14:val="tx1"/>
            </w14:solidFill>
          </w14:textFill>
        </w:rPr>
        <w:t xml:space="preserve"> 对施工建设过程中减少工程环境影响的环境措施保护工程（包括生态、水、气、声环境）施工质量进行监理，并按照标准进行阶段验收和签字；</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⑸</w:t>
      </w:r>
      <w:r>
        <w:rPr>
          <w:rFonts w:ascii="Times New Roman" w:hAnsi="Times New Roman"/>
          <w:color w:val="000000" w:themeColor="text1"/>
          <w:kern w:val="0"/>
          <w:sz w:val="24"/>
          <w:szCs w:val="24"/>
          <w14:textFill>
            <w14:solidFill>
              <w14:schemeClr w14:val="tx1"/>
            </w14:solidFill>
          </w14:textFill>
        </w:rPr>
        <w:t xml:space="preserve"> 系统记录工程施工环境影响，环境保护措施效果，环境保护工程施工质量；</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⑹</w:t>
      </w:r>
      <w:r>
        <w:rPr>
          <w:rFonts w:ascii="Times New Roman" w:hAnsi="Times New Roman"/>
          <w:color w:val="000000" w:themeColor="text1"/>
          <w:kern w:val="0"/>
          <w:sz w:val="24"/>
          <w:szCs w:val="24"/>
          <w14:textFill>
            <w14:solidFill>
              <w14:schemeClr w14:val="tx1"/>
            </w14:solidFill>
          </w14:textFill>
        </w:rPr>
        <w:t xml:space="preserve"> 及时向公司基建处反映有关环境保护设计和施工问题，并提出解决建议；</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⑺</w:t>
      </w:r>
      <w:r>
        <w:rPr>
          <w:rFonts w:ascii="Times New Roman" w:hAnsi="Times New Roman"/>
          <w:color w:val="000000" w:themeColor="text1"/>
          <w:kern w:val="0"/>
          <w:sz w:val="24"/>
          <w:szCs w:val="24"/>
          <w14:textFill>
            <w14:solidFill>
              <w14:schemeClr w14:val="tx1"/>
            </w14:solidFill>
          </w14:textFill>
        </w:rPr>
        <w:t xml:space="preserve"> 负责起草工程环境监理工作计划和总结。</w:t>
      </w:r>
    </w:p>
    <w:p>
      <w:pPr>
        <w:autoSpaceDE w:val="0"/>
        <w:autoSpaceDN w:val="0"/>
        <w:adjustRightInd w:val="0"/>
        <w:snapToGrid w:val="0"/>
        <w:spacing w:line="360" w:lineRule="auto"/>
        <w:ind w:firstLine="482" w:firstLineChars="200"/>
        <w:rPr>
          <w:rFonts w:ascii="Times New Roman" w:hAnsi="Times New Roman"/>
          <w:b/>
          <w:color w:val="000000" w:themeColor="text1"/>
          <w:kern w:val="0"/>
          <w:sz w:val="24"/>
          <w:szCs w:val="24"/>
          <w14:textFill>
            <w14:solidFill>
              <w14:schemeClr w14:val="tx1"/>
            </w14:solidFill>
          </w14:textFill>
        </w:rPr>
      </w:pPr>
      <w:r>
        <w:rPr>
          <w:rFonts w:ascii="Times New Roman" w:hAnsi="Times New Roman"/>
          <w:b/>
          <w:color w:val="000000" w:themeColor="text1"/>
          <w:kern w:val="0"/>
          <w:sz w:val="24"/>
          <w:szCs w:val="24"/>
          <w14:textFill>
            <w14:solidFill>
              <w14:schemeClr w14:val="tx1"/>
            </w14:solidFill>
          </w14:textFill>
        </w:rPr>
        <w:t>6、环境工程监理工作制度</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环境工程监理应建立工作记录、人员培训、报告、函件来往、例会等制度。</w:t>
      </w:r>
    </w:p>
    <w:p>
      <w:pPr>
        <w:autoSpaceDE w:val="0"/>
        <w:autoSpaceDN w:val="0"/>
        <w:adjustRightInd w:val="0"/>
        <w:snapToGrid w:val="0"/>
        <w:spacing w:line="360" w:lineRule="auto"/>
        <w:ind w:firstLine="482" w:firstLineChars="200"/>
        <w:rPr>
          <w:rFonts w:ascii="Times New Roman" w:hAnsi="Times New Roman"/>
          <w:b/>
          <w:color w:val="000000" w:themeColor="text1"/>
          <w:kern w:val="0"/>
          <w:sz w:val="24"/>
          <w:szCs w:val="24"/>
          <w14:textFill>
            <w14:solidFill>
              <w14:schemeClr w14:val="tx1"/>
            </w14:solidFill>
          </w14:textFill>
        </w:rPr>
      </w:pPr>
      <w:bookmarkStart w:id="418" w:name="_Toc245118718"/>
      <w:bookmarkStart w:id="419" w:name="_Toc245119738"/>
      <w:bookmarkStart w:id="420" w:name="_Toc245279155"/>
      <w:r>
        <w:rPr>
          <w:rFonts w:ascii="Times New Roman" w:hAnsi="Times New Roman"/>
          <w:b/>
          <w:color w:val="000000" w:themeColor="text1"/>
          <w:kern w:val="0"/>
          <w:sz w:val="24"/>
          <w:szCs w:val="24"/>
          <w14:textFill>
            <w14:solidFill>
              <w14:schemeClr w14:val="tx1"/>
            </w14:solidFill>
          </w14:textFill>
        </w:rPr>
        <w:t>7、环境工程监理机构、工作方式</w:t>
      </w:r>
      <w:bookmarkEnd w:id="418"/>
      <w:bookmarkEnd w:id="419"/>
      <w:bookmarkEnd w:id="420"/>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建设期的环境监理应由建设指挥部委托具有环境工程监理资格并经环境保护业务培训的单位对设计文件中环境保护措施的实施情况进行工程环境监理。建设单位应在委托监理时应与监理单位签订建设期的环境监理合同。</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环境监理单位应收集本项目的有关资料，包括工程的基本情况、环境影响评价报告书（包括水土保持方案）、环境保护设计、施工和生产企业的设备、生产方式及管理、施工和生产现场的环境情况、施工和生产过程的排污规律、防治措施等。</w:t>
      </w:r>
    </w:p>
    <w:p>
      <w:pPr>
        <w:autoSpaceDE w:val="0"/>
        <w:autoSpaceDN w:val="0"/>
        <w:adjustRightInd w:val="0"/>
        <w:snapToGrid w:val="0"/>
        <w:spacing w:line="360" w:lineRule="auto"/>
        <w:ind w:firstLine="482" w:firstLineChars="200"/>
        <w:rPr>
          <w:rFonts w:ascii="Times New Roman" w:hAnsi="Times New Roman"/>
          <w:b/>
          <w:color w:val="000000" w:themeColor="text1"/>
          <w:kern w:val="0"/>
          <w:sz w:val="24"/>
          <w:szCs w:val="24"/>
          <w14:textFill>
            <w14:solidFill>
              <w14:schemeClr w14:val="tx1"/>
            </w14:solidFill>
          </w14:textFill>
        </w:rPr>
      </w:pPr>
      <w:r>
        <w:rPr>
          <w:rFonts w:ascii="Times New Roman" w:hAnsi="Times New Roman"/>
          <w:b/>
          <w:color w:val="000000" w:themeColor="text1"/>
          <w:kern w:val="0"/>
          <w:sz w:val="24"/>
          <w:szCs w:val="24"/>
          <w14:textFill>
            <w14:solidFill>
              <w14:schemeClr w14:val="tx1"/>
            </w14:solidFill>
          </w14:textFill>
        </w:rPr>
        <w:t>8、监理进度要求</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施工期环境监理的进度应当同主体工程的监理进度一致，环境监理人员同其他专业监理人员应当同时进场，在编制主体工程监理规划的同时应当同时编制环保工程监理专项监理实施细则，明确环保工程监理的要求。</w:t>
      </w:r>
    </w:p>
    <w:p>
      <w:pPr>
        <w:pStyle w:val="4"/>
        <w:rPr>
          <w:rFonts w:eastAsiaTheme="minorEastAsia"/>
        </w:rPr>
      </w:pPr>
      <w:r>
        <w:rPr>
          <w:rFonts w:eastAsiaTheme="minorEastAsia"/>
        </w:rPr>
        <w:t>运营期环境管理</w:t>
      </w:r>
    </w:p>
    <w:p>
      <w:pPr>
        <w:autoSpaceDE w:val="0"/>
        <w:autoSpaceDN w:val="0"/>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1、环境管理机构</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目前岳阳电厂已成立了安全环保部专门负责本公司的安全、环保管理工作，安全环保部直接向公司总经理负责；安全环保部下设主任和副主任各1人，其他专职专职或兼职安全环保技术人员6名，主要负责组织与管理环境保护的具体工作，同时还配备了必要的信息处理和交通、通讯设备。</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mc:AlternateContent>
          <mc:Choice Requires="wpg">
            <w:drawing>
              <wp:anchor distT="0" distB="0" distL="114300" distR="114300" simplePos="0" relativeHeight="251767808" behindDoc="0" locked="0" layoutInCell="1" allowOverlap="1">
                <wp:simplePos x="0" y="0"/>
                <wp:positionH relativeFrom="column">
                  <wp:posOffset>598805</wp:posOffset>
                </wp:positionH>
                <wp:positionV relativeFrom="paragraph">
                  <wp:posOffset>269875</wp:posOffset>
                </wp:positionV>
                <wp:extent cx="4554855" cy="3225800"/>
                <wp:effectExtent l="0" t="0" r="17145" b="12700"/>
                <wp:wrapNone/>
                <wp:docPr id="310" name="组合 310"/>
                <wp:cNvGraphicFramePr/>
                <a:graphic xmlns:a="http://schemas.openxmlformats.org/drawingml/2006/main">
                  <a:graphicData uri="http://schemas.microsoft.com/office/word/2010/wordprocessingGroup">
                    <wpg:wgp>
                      <wpg:cNvGrpSpPr/>
                      <wpg:grpSpPr>
                        <a:xfrm>
                          <a:off x="0" y="0"/>
                          <a:ext cx="4554855" cy="3225800"/>
                          <a:chOff x="2646" y="4812"/>
                          <a:chExt cx="7173" cy="5080"/>
                        </a:xfrm>
                      </wpg:grpSpPr>
                      <wps:wsp>
                        <wps:cNvPr id="1024" name="文本框 7449"/>
                        <wps:cNvSpPr txBox="1">
                          <a:spLocks noChangeArrowheads="1"/>
                        </wps:cNvSpPr>
                        <wps:spPr bwMode="auto">
                          <a:xfrm>
                            <a:off x="4254" y="4900"/>
                            <a:ext cx="1293" cy="468"/>
                          </a:xfrm>
                          <a:prstGeom prst="rect">
                            <a:avLst/>
                          </a:prstGeom>
                          <a:solidFill>
                            <a:srgbClr val="FFFFFF"/>
                          </a:solidFill>
                          <a:ln w="9525">
                            <a:solidFill>
                              <a:srgbClr val="000000"/>
                            </a:solidFill>
                            <a:miter lim="800000"/>
                          </a:ln>
                          <a:effectLst/>
                        </wps:spPr>
                        <wps:txbx>
                          <w:txbxContent>
                            <w:p>
                              <w:pPr>
                                <w:jc w:val="center"/>
                              </w:pPr>
                              <w:r>
                                <w:rPr>
                                  <w:rFonts w:hint="eastAsia"/>
                                </w:rPr>
                                <w:t>总经理</w:t>
                              </w:r>
                            </w:p>
                          </w:txbxContent>
                        </wps:txbx>
                        <wps:bodyPr rot="0" vert="horz" wrap="square" lIns="3600" tIns="45720" rIns="3600" bIns="45720" anchor="t" anchorCtr="0" upright="1">
                          <a:noAutofit/>
                        </wps:bodyPr>
                      </wps:wsp>
                      <wps:wsp>
                        <wps:cNvPr id="1025" name="文本框 7450"/>
                        <wps:cNvSpPr txBox="1">
                          <a:spLocks noChangeArrowheads="1"/>
                        </wps:cNvSpPr>
                        <wps:spPr bwMode="auto">
                          <a:xfrm>
                            <a:off x="2646" y="5992"/>
                            <a:ext cx="1293" cy="468"/>
                          </a:xfrm>
                          <a:prstGeom prst="rect">
                            <a:avLst/>
                          </a:prstGeom>
                          <a:solidFill>
                            <a:srgbClr val="FFFFFF"/>
                          </a:solidFill>
                          <a:ln w="9525">
                            <a:solidFill>
                              <a:srgbClr val="000000"/>
                            </a:solidFill>
                            <a:miter lim="800000"/>
                          </a:ln>
                          <a:effectLst/>
                        </wps:spPr>
                        <wps:txbx>
                          <w:txbxContent>
                            <w:p>
                              <w:pPr>
                                <w:jc w:val="center"/>
                              </w:pPr>
                              <w:r>
                                <w:rPr>
                                  <w:rFonts w:hint="eastAsia"/>
                                </w:rPr>
                                <w:t>其他副厂长</w:t>
                              </w:r>
                            </w:p>
                          </w:txbxContent>
                        </wps:txbx>
                        <wps:bodyPr rot="0" vert="horz" wrap="square" lIns="3600" tIns="45720" rIns="3600" bIns="45720" anchor="t" anchorCtr="0" upright="1">
                          <a:noAutofit/>
                        </wps:bodyPr>
                      </wps:wsp>
                      <wps:wsp>
                        <wps:cNvPr id="1026" name="文本框 7451"/>
                        <wps:cNvSpPr txBox="1">
                          <a:spLocks noChangeArrowheads="1"/>
                        </wps:cNvSpPr>
                        <wps:spPr bwMode="auto">
                          <a:xfrm>
                            <a:off x="5586" y="5992"/>
                            <a:ext cx="1293" cy="468"/>
                          </a:xfrm>
                          <a:prstGeom prst="rect">
                            <a:avLst/>
                          </a:prstGeom>
                          <a:solidFill>
                            <a:srgbClr val="FFFFFF"/>
                          </a:solidFill>
                          <a:ln w="9525">
                            <a:solidFill>
                              <a:srgbClr val="000000"/>
                            </a:solidFill>
                            <a:miter lim="800000"/>
                          </a:ln>
                          <a:effectLst/>
                        </wps:spPr>
                        <wps:txbx>
                          <w:txbxContent>
                            <w:p>
                              <w:pPr>
                                <w:jc w:val="center"/>
                              </w:pPr>
                              <w:r>
                                <w:rPr>
                                  <w:rFonts w:hint="eastAsia"/>
                                </w:rPr>
                                <w:t>生产副厂长</w:t>
                              </w:r>
                            </w:p>
                          </w:txbxContent>
                        </wps:txbx>
                        <wps:bodyPr rot="0" vert="horz" wrap="square" lIns="3600" tIns="45720" rIns="3600" bIns="45720" anchor="t" anchorCtr="0" upright="1">
                          <a:noAutofit/>
                        </wps:bodyPr>
                      </wps:wsp>
                      <wps:wsp>
                        <wps:cNvPr id="1027" name="文本框 7452"/>
                        <wps:cNvSpPr txBox="1">
                          <a:spLocks noChangeArrowheads="1"/>
                        </wps:cNvSpPr>
                        <wps:spPr bwMode="auto">
                          <a:xfrm>
                            <a:off x="7299" y="5992"/>
                            <a:ext cx="1293" cy="468"/>
                          </a:xfrm>
                          <a:prstGeom prst="rect">
                            <a:avLst/>
                          </a:prstGeom>
                          <a:solidFill>
                            <a:srgbClr val="FFFFFF"/>
                          </a:solidFill>
                          <a:ln w="9525">
                            <a:solidFill>
                              <a:srgbClr val="000000"/>
                            </a:solidFill>
                            <a:miter lim="800000"/>
                          </a:ln>
                          <a:effectLst/>
                        </wps:spPr>
                        <wps:txbx>
                          <w:txbxContent>
                            <w:p>
                              <w:pPr>
                                <w:jc w:val="center"/>
                              </w:pPr>
                              <w:r>
                                <w:rPr>
                                  <w:rFonts w:hint="eastAsia"/>
                                </w:rPr>
                                <w:t>总工程师</w:t>
                              </w:r>
                            </w:p>
                          </w:txbxContent>
                        </wps:txbx>
                        <wps:bodyPr rot="0" vert="horz" wrap="square" lIns="3600" tIns="45720" rIns="3600" bIns="45720" anchor="t" anchorCtr="0" upright="1">
                          <a:noAutofit/>
                        </wps:bodyPr>
                      </wps:wsp>
                      <wps:wsp>
                        <wps:cNvPr id="1028" name="直线 7453"/>
                        <wps:cNvCnPr>
                          <a:cxnSpLocks noChangeShapeType="1"/>
                        </wps:cNvCnPr>
                        <wps:spPr bwMode="auto">
                          <a:xfrm>
                            <a:off x="3309" y="5680"/>
                            <a:ext cx="4620" cy="1"/>
                          </a:xfrm>
                          <a:prstGeom prst="line">
                            <a:avLst/>
                          </a:prstGeom>
                          <a:noFill/>
                          <a:ln w="9525">
                            <a:solidFill>
                              <a:srgbClr val="000000"/>
                            </a:solidFill>
                            <a:round/>
                          </a:ln>
                          <a:effectLst/>
                        </wps:spPr>
                        <wps:bodyPr/>
                      </wps:wsp>
                      <wps:wsp>
                        <wps:cNvPr id="1029" name="直线 7454"/>
                        <wps:cNvCnPr>
                          <a:cxnSpLocks noChangeShapeType="1"/>
                        </wps:cNvCnPr>
                        <wps:spPr bwMode="auto">
                          <a:xfrm>
                            <a:off x="3276" y="5680"/>
                            <a:ext cx="1" cy="312"/>
                          </a:xfrm>
                          <a:prstGeom prst="line">
                            <a:avLst/>
                          </a:prstGeom>
                          <a:noFill/>
                          <a:ln w="9525">
                            <a:solidFill>
                              <a:srgbClr val="000000"/>
                            </a:solidFill>
                            <a:round/>
                            <a:tailEnd type="triangle" w="sm" len="med"/>
                          </a:ln>
                          <a:effectLst/>
                        </wps:spPr>
                        <wps:bodyPr/>
                      </wps:wsp>
                      <wps:wsp>
                        <wps:cNvPr id="1030" name="直线 7455"/>
                        <wps:cNvCnPr>
                          <a:cxnSpLocks noChangeShapeType="1"/>
                        </wps:cNvCnPr>
                        <wps:spPr bwMode="auto">
                          <a:xfrm>
                            <a:off x="6215" y="5680"/>
                            <a:ext cx="1" cy="312"/>
                          </a:xfrm>
                          <a:prstGeom prst="line">
                            <a:avLst/>
                          </a:prstGeom>
                          <a:noFill/>
                          <a:ln w="9525">
                            <a:solidFill>
                              <a:srgbClr val="000000"/>
                            </a:solidFill>
                            <a:round/>
                            <a:tailEnd type="triangle" w="sm" len="med"/>
                          </a:ln>
                          <a:effectLst/>
                        </wps:spPr>
                        <wps:bodyPr/>
                      </wps:wsp>
                      <wps:wsp>
                        <wps:cNvPr id="1031" name="直线 7456"/>
                        <wps:cNvCnPr>
                          <a:cxnSpLocks noChangeShapeType="1"/>
                        </wps:cNvCnPr>
                        <wps:spPr bwMode="auto">
                          <a:xfrm>
                            <a:off x="7928" y="5680"/>
                            <a:ext cx="1" cy="312"/>
                          </a:xfrm>
                          <a:prstGeom prst="line">
                            <a:avLst/>
                          </a:prstGeom>
                          <a:noFill/>
                          <a:ln w="9525">
                            <a:solidFill>
                              <a:srgbClr val="000000"/>
                            </a:solidFill>
                            <a:round/>
                            <a:tailEnd type="triangle" w="sm" len="med"/>
                          </a:ln>
                          <a:effectLst/>
                        </wps:spPr>
                        <wps:bodyPr/>
                      </wps:wsp>
                      <wps:wsp>
                        <wps:cNvPr id="1032" name="文本框 7457"/>
                        <wps:cNvSpPr txBox="1">
                          <a:spLocks noChangeArrowheads="1"/>
                        </wps:cNvSpPr>
                        <wps:spPr bwMode="auto">
                          <a:xfrm>
                            <a:off x="2646" y="7084"/>
                            <a:ext cx="1293" cy="468"/>
                          </a:xfrm>
                          <a:prstGeom prst="rect">
                            <a:avLst/>
                          </a:prstGeom>
                          <a:solidFill>
                            <a:srgbClr val="FFFFFF"/>
                          </a:solidFill>
                          <a:ln w="9525">
                            <a:solidFill>
                              <a:srgbClr val="000000"/>
                            </a:solidFill>
                            <a:miter lim="800000"/>
                          </a:ln>
                          <a:effectLst/>
                        </wps:spPr>
                        <wps:txbx>
                          <w:txbxContent>
                            <w:p>
                              <w:pPr>
                                <w:jc w:val="center"/>
                              </w:pPr>
                              <w:r>
                                <w:rPr>
                                  <w:rFonts w:hint="eastAsia"/>
                                </w:rPr>
                                <w:t>各职能科</w:t>
                              </w:r>
                            </w:p>
                          </w:txbxContent>
                        </wps:txbx>
                        <wps:bodyPr rot="0" vert="horz" wrap="square" lIns="3600" tIns="45720" rIns="3600" bIns="45720" anchor="t" anchorCtr="0" upright="1">
                          <a:noAutofit/>
                        </wps:bodyPr>
                      </wps:wsp>
                      <wps:wsp>
                        <wps:cNvPr id="1034" name="文本框 7458"/>
                        <wps:cNvSpPr txBox="1">
                          <a:spLocks noChangeArrowheads="1"/>
                        </wps:cNvSpPr>
                        <wps:spPr bwMode="auto">
                          <a:xfrm>
                            <a:off x="5619" y="7084"/>
                            <a:ext cx="1293" cy="468"/>
                          </a:xfrm>
                          <a:prstGeom prst="rect">
                            <a:avLst/>
                          </a:prstGeom>
                          <a:solidFill>
                            <a:srgbClr val="FFFFFF"/>
                          </a:solidFill>
                          <a:ln w="9525">
                            <a:solidFill>
                              <a:srgbClr val="000000"/>
                            </a:solidFill>
                            <a:miter lim="800000"/>
                          </a:ln>
                          <a:effectLst/>
                        </wps:spPr>
                        <wps:txbx>
                          <w:txbxContent>
                            <w:p>
                              <w:pPr>
                                <w:jc w:val="center"/>
                              </w:pPr>
                              <w:r>
                                <w:rPr>
                                  <w:rFonts w:hint="eastAsia"/>
                                </w:rPr>
                                <w:t>安全环保部</w:t>
                              </w:r>
                            </w:p>
                          </w:txbxContent>
                        </wps:txbx>
                        <wps:bodyPr rot="0" vert="horz" wrap="square" lIns="3600" tIns="45720" rIns="3600" bIns="45720" anchor="t" anchorCtr="0" upright="1">
                          <a:noAutofit/>
                        </wps:bodyPr>
                      </wps:wsp>
                      <wps:wsp>
                        <wps:cNvPr id="1035" name="直线 7459"/>
                        <wps:cNvCnPr>
                          <a:cxnSpLocks noChangeShapeType="1"/>
                        </wps:cNvCnPr>
                        <wps:spPr bwMode="auto">
                          <a:xfrm>
                            <a:off x="3939" y="7240"/>
                            <a:ext cx="1680" cy="1"/>
                          </a:xfrm>
                          <a:prstGeom prst="line">
                            <a:avLst/>
                          </a:prstGeom>
                          <a:noFill/>
                          <a:ln w="9525">
                            <a:solidFill>
                              <a:srgbClr val="000000"/>
                            </a:solidFill>
                            <a:round/>
                            <a:tailEnd type="triangle" w="sm" len="med"/>
                          </a:ln>
                          <a:effectLst/>
                        </wps:spPr>
                        <wps:bodyPr/>
                      </wps:wsp>
                      <wps:wsp>
                        <wps:cNvPr id="1037" name="直线 7460"/>
                        <wps:cNvCnPr>
                          <a:cxnSpLocks noChangeShapeType="1"/>
                        </wps:cNvCnPr>
                        <wps:spPr bwMode="auto">
                          <a:xfrm>
                            <a:off x="3276" y="6460"/>
                            <a:ext cx="1" cy="624"/>
                          </a:xfrm>
                          <a:prstGeom prst="line">
                            <a:avLst/>
                          </a:prstGeom>
                          <a:noFill/>
                          <a:ln w="9525">
                            <a:solidFill>
                              <a:srgbClr val="000000"/>
                            </a:solidFill>
                            <a:round/>
                            <a:tailEnd type="triangle" w="sm" len="med"/>
                          </a:ln>
                          <a:effectLst/>
                        </wps:spPr>
                        <wps:bodyPr/>
                      </wps:wsp>
                      <wps:wsp>
                        <wps:cNvPr id="1039" name="直线 7461"/>
                        <wps:cNvCnPr>
                          <a:cxnSpLocks noChangeShapeType="1"/>
                        </wps:cNvCnPr>
                        <wps:spPr bwMode="auto">
                          <a:xfrm flipH="1">
                            <a:off x="3939" y="7396"/>
                            <a:ext cx="1680" cy="1"/>
                          </a:xfrm>
                          <a:prstGeom prst="line">
                            <a:avLst/>
                          </a:prstGeom>
                          <a:noFill/>
                          <a:ln w="9525">
                            <a:solidFill>
                              <a:srgbClr val="000000"/>
                            </a:solidFill>
                            <a:prstDash val="dash"/>
                            <a:round/>
                            <a:tailEnd type="triangle" w="sm" len="med"/>
                          </a:ln>
                          <a:effectLst/>
                        </wps:spPr>
                        <wps:bodyPr/>
                      </wps:wsp>
                      <wps:wsp>
                        <wps:cNvPr id="1040" name="直线 7462"/>
                        <wps:cNvCnPr>
                          <a:cxnSpLocks noChangeShapeType="1"/>
                        </wps:cNvCnPr>
                        <wps:spPr bwMode="auto">
                          <a:xfrm>
                            <a:off x="3623" y="6772"/>
                            <a:ext cx="1" cy="312"/>
                          </a:xfrm>
                          <a:prstGeom prst="line">
                            <a:avLst/>
                          </a:prstGeom>
                          <a:noFill/>
                          <a:ln w="9525">
                            <a:solidFill>
                              <a:srgbClr val="000000"/>
                            </a:solidFill>
                            <a:round/>
                            <a:tailEnd type="triangle" w="sm" len="med"/>
                          </a:ln>
                          <a:effectLst/>
                        </wps:spPr>
                        <wps:bodyPr/>
                      </wps:wsp>
                      <wps:wsp>
                        <wps:cNvPr id="1041" name="直线 7463"/>
                        <wps:cNvCnPr>
                          <a:cxnSpLocks noChangeShapeType="1"/>
                        </wps:cNvCnPr>
                        <wps:spPr bwMode="auto">
                          <a:xfrm>
                            <a:off x="5828" y="6772"/>
                            <a:ext cx="1" cy="312"/>
                          </a:xfrm>
                          <a:prstGeom prst="line">
                            <a:avLst/>
                          </a:prstGeom>
                          <a:noFill/>
                          <a:ln w="9525">
                            <a:solidFill>
                              <a:srgbClr val="000000"/>
                            </a:solidFill>
                            <a:round/>
                            <a:tailEnd type="triangle" w="sm" len="med"/>
                          </a:ln>
                          <a:effectLst/>
                        </wps:spPr>
                        <wps:bodyPr/>
                      </wps:wsp>
                      <wps:wsp>
                        <wps:cNvPr id="1042" name="直线 7464"/>
                        <wps:cNvCnPr>
                          <a:cxnSpLocks noChangeShapeType="1"/>
                        </wps:cNvCnPr>
                        <wps:spPr bwMode="auto">
                          <a:xfrm>
                            <a:off x="3624" y="6772"/>
                            <a:ext cx="2205" cy="1"/>
                          </a:xfrm>
                          <a:prstGeom prst="line">
                            <a:avLst/>
                          </a:prstGeom>
                          <a:noFill/>
                          <a:ln w="9525">
                            <a:solidFill>
                              <a:srgbClr val="000000"/>
                            </a:solidFill>
                            <a:round/>
                          </a:ln>
                          <a:effectLst/>
                        </wps:spPr>
                        <wps:bodyPr/>
                      </wps:wsp>
                      <wps:wsp>
                        <wps:cNvPr id="1044" name="直线 7465"/>
                        <wps:cNvCnPr>
                          <a:cxnSpLocks noChangeShapeType="1"/>
                        </wps:cNvCnPr>
                        <wps:spPr bwMode="auto">
                          <a:xfrm>
                            <a:off x="4779" y="5368"/>
                            <a:ext cx="0" cy="1404"/>
                          </a:xfrm>
                          <a:prstGeom prst="line">
                            <a:avLst/>
                          </a:prstGeom>
                          <a:noFill/>
                          <a:ln w="9525">
                            <a:solidFill>
                              <a:srgbClr val="000000"/>
                            </a:solidFill>
                            <a:round/>
                            <a:tailEnd type="triangle" w="sm" len="med"/>
                          </a:ln>
                          <a:effectLst/>
                        </wps:spPr>
                        <wps:bodyPr/>
                      </wps:wsp>
                      <wps:wsp>
                        <wps:cNvPr id="1049" name="直线 7466"/>
                        <wps:cNvCnPr>
                          <a:cxnSpLocks noChangeShapeType="1"/>
                        </wps:cNvCnPr>
                        <wps:spPr bwMode="auto">
                          <a:xfrm>
                            <a:off x="4989" y="5368"/>
                            <a:ext cx="0" cy="312"/>
                          </a:xfrm>
                          <a:prstGeom prst="line">
                            <a:avLst/>
                          </a:prstGeom>
                          <a:noFill/>
                          <a:ln w="9525">
                            <a:solidFill>
                              <a:srgbClr val="000000"/>
                            </a:solidFill>
                            <a:round/>
                            <a:tailEnd type="triangle" w="sm" len="med"/>
                          </a:ln>
                          <a:effectLst/>
                        </wps:spPr>
                        <wps:bodyPr/>
                      </wps:wsp>
                      <wps:wsp>
                        <wps:cNvPr id="1050" name="直线 7467"/>
                        <wps:cNvCnPr>
                          <a:cxnSpLocks noChangeShapeType="1"/>
                        </wps:cNvCnPr>
                        <wps:spPr bwMode="auto">
                          <a:xfrm>
                            <a:off x="6216" y="6460"/>
                            <a:ext cx="1" cy="624"/>
                          </a:xfrm>
                          <a:prstGeom prst="line">
                            <a:avLst/>
                          </a:prstGeom>
                          <a:noFill/>
                          <a:ln w="9525">
                            <a:solidFill>
                              <a:srgbClr val="000000"/>
                            </a:solidFill>
                            <a:round/>
                            <a:tailEnd type="triangle" w="sm" len="med"/>
                          </a:ln>
                          <a:effectLst/>
                        </wps:spPr>
                        <wps:bodyPr/>
                      </wps:wsp>
                      <wps:wsp>
                        <wps:cNvPr id="1051" name="文本框 7468"/>
                        <wps:cNvSpPr txBox="1">
                          <a:spLocks noChangeArrowheads="1"/>
                        </wps:cNvSpPr>
                        <wps:spPr bwMode="auto">
                          <a:xfrm>
                            <a:off x="8139" y="7084"/>
                            <a:ext cx="1680" cy="468"/>
                          </a:xfrm>
                          <a:prstGeom prst="rect">
                            <a:avLst/>
                          </a:prstGeom>
                          <a:solidFill>
                            <a:srgbClr val="FFFFFF"/>
                          </a:solidFill>
                          <a:ln w="9525">
                            <a:solidFill>
                              <a:srgbClr val="000000"/>
                            </a:solidFill>
                            <a:miter lim="800000"/>
                          </a:ln>
                          <a:effectLst/>
                        </wps:spPr>
                        <wps:txbx>
                          <w:txbxContent>
                            <w:p>
                              <w:pPr>
                                <w:jc w:val="center"/>
                              </w:pPr>
                              <w:r>
                                <w:rPr>
                                  <w:rFonts w:hint="eastAsia"/>
                                </w:rPr>
                                <w:t>地方环保部门</w:t>
                              </w:r>
                            </w:p>
                          </w:txbxContent>
                        </wps:txbx>
                        <wps:bodyPr rot="0" vert="horz" wrap="square" lIns="91440" tIns="45720" rIns="91440" bIns="45720" anchor="t" anchorCtr="0" upright="1">
                          <a:noAutofit/>
                        </wps:bodyPr>
                      </wps:wsp>
                      <wps:wsp>
                        <wps:cNvPr id="1052" name="直线 7469"/>
                        <wps:cNvCnPr>
                          <a:cxnSpLocks noChangeShapeType="1"/>
                        </wps:cNvCnPr>
                        <wps:spPr bwMode="auto">
                          <a:xfrm flipH="1">
                            <a:off x="6459" y="6460"/>
                            <a:ext cx="1155" cy="624"/>
                          </a:xfrm>
                          <a:prstGeom prst="line">
                            <a:avLst/>
                          </a:prstGeom>
                          <a:noFill/>
                          <a:ln w="9525">
                            <a:solidFill>
                              <a:srgbClr val="000000"/>
                            </a:solidFill>
                            <a:round/>
                            <a:tailEnd type="triangle" w="sm" len="med"/>
                          </a:ln>
                          <a:effectLst/>
                        </wps:spPr>
                        <wps:bodyPr/>
                      </wps:wsp>
                      <wps:wsp>
                        <wps:cNvPr id="1053" name="自选图形 7470"/>
                        <wps:cNvCnPr>
                          <a:cxnSpLocks noChangeShapeType="1"/>
                          <a:stCxn id="1051" idx="1"/>
                          <a:endCxn id="1034" idx="3"/>
                        </wps:cNvCnPr>
                        <wps:spPr bwMode="auto">
                          <a:xfrm flipH="1">
                            <a:off x="6912" y="7318"/>
                            <a:ext cx="1227" cy="1"/>
                          </a:xfrm>
                          <a:prstGeom prst="straightConnector1">
                            <a:avLst/>
                          </a:prstGeom>
                          <a:noFill/>
                          <a:ln w="9525">
                            <a:solidFill>
                              <a:srgbClr val="000000"/>
                            </a:solidFill>
                            <a:round/>
                            <a:tailEnd type="triangle" w="sm" len="med"/>
                          </a:ln>
                          <a:effectLst/>
                        </wps:spPr>
                        <wps:bodyPr/>
                      </wps:wsp>
                      <wps:wsp>
                        <wps:cNvPr id="1054" name="文本框 7471"/>
                        <wps:cNvSpPr txBox="1">
                          <a:spLocks noChangeArrowheads="1"/>
                        </wps:cNvSpPr>
                        <wps:spPr bwMode="auto">
                          <a:xfrm>
                            <a:off x="7262" y="6962"/>
                            <a:ext cx="630" cy="468"/>
                          </a:xfrm>
                          <a:prstGeom prst="rect">
                            <a:avLst/>
                          </a:prstGeom>
                          <a:noFill/>
                          <a:ln>
                            <a:noFill/>
                          </a:ln>
                          <a:effectLst/>
                        </wps:spPr>
                        <wps:txbx>
                          <w:txbxContent>
                            <w:p>
                              <w:pPr>
                                <w:jc w:val="center"/>
                                <w:rPr>
                                  <w:sz w:val="18"/>
                                  <w:szCs w:val="18"/>
                                </w:rPr>
                              </w:pPr>
                              <w:r>
                                <w:rPr>
                                  <w:rFonts w:hint="eastAsia"/>
                                  <w:sz w:val="18"/>
                                  <w:szCs w:val="18"/>
                                </w:rPr>
                                <w:t>管理</w:t>
                              </w:r>
                            </w:p>
                          </w:txbxContent>
                        </wps:txbx>
                        <wps:bodyPr rot="0" vert="horz" wrap="square" lIns="3600" tIns="45720" rIns="3600" bIns="45720" anchor="t" anchorCtr="0" upright="1">
                          <a:noAutofit/>
                        </wps:bodyPr>
                      </wps:wsp>
                      <wps:wsp>
                        <wps:cNvPr id="1055" name="自选图形 7472"/>
                        <wps:cNvCnPr>
                          <a:cxnSpLocks noChangeShapeType="1"/>
                          <a:stCxn id="1051" idx="0"/>
                          <a:endCxn id="1024" idx="3"/>
                        </wps:cNvCnPr>
                        <wps:spPr bwMode="auto">
                          <a:xfrm rot="5400000" flipH="1">
                            <a:off x="6288" y="4393"/>
                            <a:ext cx="1950" cy="3432"/>
                          </a:xfrm>
                          <a:prstGeom prst="bentConnector2">
                            <a:avLst/>
                          </a:prstGeom>
                          <a:noFill/>
                          <a:ln w="9525">
                            <a:solidFill>
                              <a:srgbClr val="000000"/>
                            </a:solidFill>
                            <a:miter lim="800000"/>
                            <a:tailEnd type="triangle" w="sm" len="med"/>
                          </a:ln>
                          <a:effectLst/>
                        </wps:spPr>
                        <wps:bodyPr/>
                      </wps:wsp>
                      <wps:wsp>
                        <wps:cNvPr id="1056" name="文本框 7473"/>
                        <wps:cNvSpPr txBox="1">
                          <a:spLocks noChangeArrowheads="1"/>
                        </wps:cNvSpPr>
                        <wps:spPr bwMode="auto">
                          <a:xfrm>
                            <a:off x="6791" y="4812"/>
                            <a:ext cx="630" cy="468"/>
                          </a:xfrm>
                          <a:prstGeom prst="rect">
                            <a:avLst/>
                          </a:prstGeom>
                          <a:noFill/>
                          <a:ln>
                            <a:noFill/>
                          </a:ln>
                          <a:effectLst/>
                        </wps:spPr>
                        <wps:txbx>
                          <w:txbxContent>
                            <w:p>
                              <w:pPr>
                                <w:jc w:val="center"/>
                                <w:rPr>
                                  <w:sz w:val="18"/>
                                  <w:szCs w:val="18"/>
                                </w:rPr>
                              </w:pPr>
                              <w:r>
                                <w:rPr>
                                  <w:rFonts w:hint="eastAsia"/>
                                  <w:sz w:val="18"/>
                                  <w:szCs w:val="18"/>
                                </w:rPr>
                                <w:t>管理</w:t>
                              </w:r>
                            </w:p>
                          </w:txbxContent>
                        </wps:txbx>
                        <wps:bodyPr rot="0" vert="horz" wrap="square" lIns="3600" tIns="45720" rIns="3600" bIns="45720" anchor="t" anchorCtr="0" upright="1">
                          <a:noAutofit/>
                        </wps:bodyPr>
                      </wps:wsp>
                      <wps:wsp>
                        <wps:cNvPr id="1057" name="文本框 7474"/>
                        <wps:cNvSpPr txBox="1">
                          <a:spLocks noChangeArrowheads="1"/>
                        </wps:cNvSpPr>
                        <wps:spPr bwMode="auto">
                          <a:xfrm>
                            <a:off x="4955" y="5368"/>
                            <a:ext cx="630" cy="468"/>
                          </a:xfrm>
                          <a:prstGeom prst="rect">
                            <a:avLst/>
                          </a:prstGeom>
                          <a:noFill/>
                          <a:ln>
                            <a:noFill/>
                          </a:ln>
                          <a:effectLst/>
                        </wps:spPr>
                        <wps:txbx>
                          <w:txbxContent>
                            <w:p>
                              <w:pPr>
                                <w:jc w:val="center"/>
                                <w:rPr>
                                  <w:sz w:val="18"/>
                                  <w:szCs w:val="18"/>
                                </w:rPr>
                              </w:pPr>
                              <w:r>
                                <w:rPr>
                                  <w:rFonts w:hint="eastAsia"/>
                                  <w:sz w:val="18"/>
                                  <w:szCs w:val="18"/>
                                </w:rPr>
                                <w:t>联系</w:t>
                              </w:r>
                            </w:p>
                          </w:txbxContent>
                        </wps:txbx>
                        <wps:bodyPr rot="0" vert="horz" wrap="square" lIns="3600" tIns="45720" rIns="3600" bIns="45720" anchor="t" anchorCtr="0" upright="1">
                          <a:noAutofit/>
                        </wps:bodyPr>
                      </wps:wsp>
                      <wps:wsp>
                        <wps:cNvPr id="1058" name="文本框 7475"/>
                        <wps:cNvSpPr txBox="1">
                          <a:spLocks noChangeArrowheads="1"/>
                        </wps:cNvSpPr>
                        <wps:spPr bwMode="auto">
                          <a:xfrm>
                            <a:off x="4674" y="5992"/>
                            <a:ext cx="630" cy="468"/>
                          </a:xfrm>
                          <a:prstGeom prst="rect">
                            <a:avLst/>
                          </a:prstGeom>
                          <a:noFill/>
                          <a:ln>
                            <a:noFill/>
                          </a:ln>
                          <a:effectLst/>
                        </wps:spPr>
                        <wps:txbx>
                          <w:txbxContent>
                            <w:p>
                              <w:pPr>
                                <w:jc w:val="center"/>
                                <w:rPr>
                                  <w:sz w:val="18"/>
                                  <w:szCs w:val="18"/>
                                </w:rPr>
                              </w:pPr>
                              <w:r>
                                <w:rPr>
                                  <w:rFonts w:hint="eastAsia"/>
                                  <w:sz w:val="18"/>
                                  <w:szCs w:val="18"/>
                                </w:rPr>
                                <w:t>协调</w:t>
                              </w:r>
                            </w:p>
                          </w:txbxContent>
                        </wps:txbx>
                        <wps:bodyPr rot="0" vert="horz" wrap="square" lIns="3600" tIns="45720" rIns="3600" bIns="45720" anchor="t" anchorCtr="0" upright="1">
                          <a:noAutofit/>
                        </wps:bodyPr>
                      </wps:wsp>
                      <wps:wsp>
                        <wps:cNvPr id="1059" name="文本框 7476"/>
                        <wps:cNvSpPr txBox="1">
                          <a:spLocks noChangeArrowheads="1"/>
                        </wps:cNvSpPr>
                        <wps:spPr bwMode="auto">
                          <a:xfrm>
                            <a:off x="3623" y="8332"/>
                            <a:ext cx="1924" cy="468"/>
                          </a:xfrm>
                          <a:prstGeom prst="rect">
                            <a:avLst/>
                          </a:prstGeom>
                          <a:solidFill>
                            <a:srgbClr val="FFFFFF"/>
                          </a:solidFill>
                          <a:ln w="9525">
                            <a:solidFill>
                              <a:srgbClr val="000000"/>
                            </a:solidFill>
                            <a:miter lim="800000"/>
                          </a:ln>
                          <a:effectLst/>
                        </wps:spPr>
                        <wps:txbx>
                          <w:txbxContent>
                            <w:p>
                              <w:pPr>
                                <w:jc w:val="center"/>
                              </w:pPr>
                              <w:r>
                                <w:rPr>
                                  <w:rFonts w:hint="eastAsia"/>
                                </w:rPr>
                                <w:t>各车间（含煤码头）</w:t>
                              </w:r>
                            </w:p>
                          </w:txbxContent>
                        </wps:txbx>
                        <wps:bodyPr rot="0" vert="horz" wrap="square" lIns="3600" tIns="45720" rIns="3600" bIns="45720" anchor="t" anchorCtr="0" upright="1">
                          <a:noAutofit/>
                        </wps:bodyPr>
                      </wps:wsp>
                      <wps:wsp>
                        <wps:cNvPr id="1060" name="直线 7477"/>
                        <wps:cNvCnPr>
                          <a:cxnSpLocks noChangeShapeType="1"/>
                        </wps:cNvCnPr>
                        <wps:spPr bwMode="auto">
                          <a:xfrm>
                            <a:off x="3624" y="7552"/>
                            <a:ext cx="840" cy="780"/>
                          </a:xfrm>
                          <a:prstGeom prst="line">
                            <a:avLst/>
                          </a:prstGeom>
                          <a:noFill/>
                          <a:ln w="9525">
                            <a:solidFill>
                              <a:srgbClr val="000000"/>
                            </a:solidFill>
                            <a:round/>
                            <a:tailEnd type="triangle" w="sm" len="med"/>
                          </a:ln>
                          <a:effectLst/>
                        </wps:spPr>
                        <wps:bodyPr/>
                      </wps:wsp>
                      <wps:wsp>
                        <wps:cNvPr id="1061" name="直线 7478"/>
                        <wps:cNvCnPr>
                          <a:cxnSpLocks noChangeShapeType="1"/>
                        </wps:cNvCnPr>
                        <wps:spPr bwMode="auto">
                          <a:xfrm flipH="1">
                            <a:off x="4989" y="7552"/>
                            <a:ext cx="1050" cy="780"/>
                          </a:xfrm>
                          <a:prstGeom prst="line">
                            <a:avLst/>
                          </a:prstGeom>
                          <a:noFill/>
                          <a:ln w="9525">
                            <a:solidFill>
                              <a:srgbClr val="000000"/>
                            </a:solidFill>
                            <a:round/>
                            <a:tailEnd type="triangle" w="sm" len="med"/>
                          </a:ln>
                          <a:effectLst/>
                        </wps:spPr>
                        <wps:bodyPr/>
                      </wps:wsp>
                      <wps:wsp>
                        <wps:cNvPr id="1062" name="文本框 7479"/>
                        <wps:cNvSpPr txBox="1">
                          <a:spLocks noChangeArrowheads="1"/>
                        </wps:cNvSpPr>
                        <wps:spPr bwMode="auto">
                          <a:xfrm>
                            <a:off x="5619" y="8332"/>
                            <a:ext cx="1293" cy="468"/>
                          </a:xfrm>
                          <a:prstGeom prst="rect">
                            <a:avLst/>
                          </a:prstGeom>
                          <a:solidFill>
                            <a:srgbClr val="FFFFFF"/>
                          </a:solidFill>
                          <a:ln w="9525">
                            <a:solidFill>
                              <a:srgbClr val="000000"/>
                            </a:solidFill>
                            <a:miter lim="800000"/>
                          </a:ln>
                          <a:effectLst/>
                        </wps:spPr>
                        <wps:txbx>
                          <w:txbxContent>
                            <w:p>
                              <w:pPr>
                                <w:jc w:val="center"/>
                              </w:pPr>
                              <w:r>
                                <w:rPr>
                                  <w:rFonts w:hint="eastAsia"/>
                                </w:rPr>
                                <w:t>监测机构</w:t>
                              </w:r>
                            </w:p>
                          </w:txbxContent>
                        </wps:txbx>
                        <wps:bodyPr rot="0" vert="horz" wrap="square" lIns="3600" tIns="45720" rIns="3600" bIns="45720" anchor="t" anchorCtr="0" upright="1">
                          <a:noAutofit/>
                        </wps:bodyPr>
                      </wps:wsp>
                      <wps:wsp>
                        <wps:cNvPr id="1063" name="直线 7480"/>
                        <wps:cNvCnPr>
                          <a:cxnSpLocks noChangeShapeType="1"/>
                        </wps:cNvCnPr>
                        <wps:spPr bwMode="auto">
                          <a:xfrm>
                            <a:off x="6249" y="7552"/>
                            <a:ext cx="0" cy="780"/>
                          </a:xfrm>
                          <a:prstGeom prst="line">
                            <a:avLst/>
                          </a:prstGeom>
                          <a:noFill/>
                          <a:ln w="9525">
                            <a:solidFill>
                              <a:srgbClr val="000000"/>
                            </a:solidFill>
                            <a:round/>
                            <a:tailEnd type="triangle" w="sm" len="med"/>
                          </a:ln>
                          <a:effectLst/>
                        </wps:spPr>
                        <wps:bodyPr/>
                      </wps:wsp>
                      <wps:wsp>
                        <wps:cNvPr id="1064" name="文本框 7481"/>
                        <wps:cNvSpPr txBox="1">
                          <a:spLocks noChangeArrowheads="1"/>
                        </wps:cNvSpPr>
                        <wps:spPr bwMode="auto">
                          <a:xfrm>
                            <a:off x="4149" y="9424"/>
                            <a:ext cx="1293" cy="468"/>
                          </a:xfrm>
                          <a:prstGeom prst="rect">
                            <a:avLst/>
                          </a:prstGeom>
                          <a:solidFill>
                            <a:srgbClr val="FFFFFF"/>
                          </a:solidFill>
                          <a:ln w="9525">
                            <a:solidFill>
                              <a:srgbClr val="000000"/>
                            </a:solidFill>
                            <a:miter lim="800000"/>
                          </a:ln>
                          <a:effectLst/>
                        </wps:spPr>
                        <wps:txbx>
                          <w:txbxContent>
                            <w:p>
                              <w:pPr>
                                <w:jc w:val="center"/>
                              </w:pPr>
                              <w:r>
                                <w:rPr>
                                  <w:rFonts w:hint="eastAsia"/>
                                </w:rPr>
                                <w:t>各生产岗位</w:t>
                              </w:r>
                            </w:p>
                          </w:txbxContent>
                        </wps:txbx>
                        <wps:bodyPr rot="0" vert="horz" wrap="square" lIns="3600" tIns="45720" rIns="3600" bIns="45720" anchor="t" anchorCtr="0" upright="1">
                          <a:noAutofit/>
                        </wps:bodyPr>
                      </wps:wsp>
                      <wps:wsp>
                        <wps:cNvPr id="1065" name="直线 7482"/>
                        <wps:cNvCnPr>
                          <a:cxnSpLocks noChangeShapeType="1"/>
                        </wps:cNvCnPr>
                        <wps:spPr bwMode="auto">
                          <a:xfrm>
                            <a:off x="4779" y="8800"/>
                            <a:ext cx="0" cy="624"/>
                          </a:xfrm>
                          <a:prstGeom prst="line">
                            <a:avLst/>
                          </a:prstGeom>
                          <a:noFill/>
                          <a:ln w="9525">
                            <a:solidFill>
                              <a:srgbClr val="000000"/>
                            </a:solidFill>
                            <a:round/>
                            <a:tailEnd type="triangle" w="sm" len="med"/>
                          </a:ln>
                          <a:effectLst/>
                        </wps:spPr>
                        <wps:bodyPr/>
                      </wps:wsp>
                      <wps:wsp>
                        <wps:cNvPr id="1066" name="文本框 7483"/>
                        <wps:cNvSpPr txBox="1">
                          <a:spLocks noChangeArrowheads="1"/>
                        </wps:cNvSpPr>
                        <wps:spPr bwMode="auto">
                          <a:xfrm>
                            <a:off x="5724" y="8956"/>
                            <a:ext cx="630" cy="468"/>
                          </a:xfrm>
                          <a:prstGeom prst="rect">
                            <a:avLst/>
                          </a:prstGeom>
                          <a:noFill/>
                          <a:ln>
                            <a:noFill/>
                          </a:ln>
                          <a:effectLst/>
                        </wps:spPr>
                        <wps:txbx>
                          <w:txbxContent>
                            <w:p>
                              <w:pPr>
                                <w:jc w:val="center"/>
                                <w:rPr>
                                  <w:sz w:val="18"/>
                                  <w:szCs w:val="18"/>
                                </w:rPr>
                              </w:pPr>
                              <w:r>
                                <w:rPr>
                                  <w:rFonts w:hint="eastAsia"/>
                                  <w:sz w:val="18"/>
                                  <w:szCs w:val="18"/>
                                </w:rPr>
                                <w:t>监测</w:t>
                              </w:r>
                            </w:p>
                          </w:txbxContent>
                        </wps:txbx>
                        <wps:bodyPr rot="0" vert="horz" wrap="square" lIns="3600" tIns="45720" rIns="3600" bIns="45720" anchor="t" anchorCtr="0" upright="1">
                          <a:noAutofit/>
                        </wps:bodyPr>
                      </wps:wsp>
                      <wps:wsp>
                        <wps:cNvPr id="1067" name="直线 7484"/>
                        <wps:cNvCnPr>
                          <a:cxnSpLocks noChangeShapeType="1"/>
                        </wps:cNvCnPr>
                        <wps:spPr bwMode="auto">
                          <a:xfrm flipH="1">
                            <a:off x="5409" y="8800"/>
                            <a:ext cx="840" cy="624"/>
                          </a:xfrm>
                          <a:prstGeom prst="line">
                            <a:avLst/>
                          </a:prstGeom>
                          <a:noFill/>
                          <a:ln w="9525">
                            <a:solidFill>
                              <a:srgbClr val="000000"/>
                            </a:solidFill>
                            <a:round/>
                            <a:tailEnd type="triangle" w="sm" len="med"/>
                          </a:ln>
                          <a:effectLst/>
                        </wps:spPr>
                        <wps:bodyPr/>
                      </wps:wsp>
                      <wps:wsp>
                        <wps:cNvPr id="1068" name="文本框 7485"/>
                        <wps:cNvSpPr txBox="1">
                          <a:spLocks noChangeArrowheads="1"/>
                        </wps:cNvSpPr>
                        <wps:spPr bwMode="auto">
                          <a:xfrm>
                            <a:off x="4254" y="8749"/>
                            <a:ext cx="630" cy="624"/>
                          </a:xfrm>
                          <a:prstGeom prst="rect">
                            <a:avLst/>
                          </a:prstGeom>
                          <a:noFill/>
                          <a:ln>
                            <a:noFill/>
                          </a:ln>
                          <a:effectLst/>
                        </wps:spPr>
                        <wps:txbx>
                          <w:txbxContent>
                            <w:p>
                              <w:pPr>
                                <w:spacing w:line="240" w:lineRule="exact"/>
                                <w:jc w:val="center"/>
                                <w:rPr>
                                  <w:sz w:val="18"/>
                                  <w:szCs w:val="18"/>
                                </w:rPr>
                              </w:pPr>
                              <w:r>
                                <w:rPr>
                                  <w:rFonts w:hint="eastAsia"/>
                                  <w:sz w:val="18"/>
                                  <w:szCs w:val="18"/>
                                </w:rPr>
                                <w:t>监督</w:t>
                              </w:r>
                            </w:p>
                            <w:p>
                              <w:pPr>
                                <w:spacing w:line="240" w:lineRule="exact"/>
                                <w:jc w:val="center"/>
                                <w:rPr>
                                  <w:sz w:val="18"/>
                                  <w:szCs w:val="18"/>
                                </w:rPr>
                              </w:pPr>
                              <w:r>
                                <w:rPr>
                                  <w:rFonts w:hint="eastAsia"/>
                                  <w:sz w:val="18"/>
                                  <w:szCs w:val="18"/>
                                </w:rPr>
                                <w:t>考核</w:t>
                              </w:r>
                            </w:p>
                          </w:txbxContent>
                        </wps:txbx>
                        <wps:bodyPr rot="0" vert="horz" wrap="square" lIns="3600" tIns="45720" rIns="3600" bIns="45720" anchor="t" anchorCtr="0" upright="1">
                          <a:noAutofit/>
                        </wps:bodyPr>
                      </wps:wsp>
                      <wps:wsp>
                        <wps:cNvPr id="1069" name="文本框 7486"/>
                        <wps:cNvSpPr txBox="1">
                          <a:spLocks noChangeArrowheads="1"/>
                        </wps:cNvSpPr>
                        <wps:spPr bwMode="auto">
                          <a:xfrm>
                            <a:off x="4884" y="7552"/>
                            <a:ext cx="630" cy="624"/>
                          </a:xfrm>
                          <a:prstGeom prst="rect">
                            <a:avLst/>
                          </a:prstGeom>
                          <a:noFill/>
                          <a:ln>
                            <a:noFill/>
                          </a:ln>
                          <a:effectLst/>
                        </wps:spPr>
                        <wps:txbx>
                          <w:txbxContent>
                            <w:p>
                              <w:pPr>
                                <w:spacing w:line="240" w:lineRule="exact"/>
                                <w:jc w:val="center"/>
                                <w:rPr>
                                  <w:sz w:val="18"/>
                                  <w:szCs w:val="18"/>
                                </w:rPr>
                              </w:pPr>
                              <w:r>
                                <w:rPr>
                                  <w:rFonts w:hint="eastAsia"/>
                                  <w:sz w:val="18"/>
                                  <w:szCs w:val="18"/>
                                </w:rPr>
                                <w:t>监督</w:t>
                              </w:r>
                            </w:p>
                            <w:p>
                              <w:pPr>
                                <w:spacing w:line="240" w:lineRule="exact"/>
                                <w:jc w:val="center"/>
                                <w:rPr>
                                  <w:sz w:val="18"/>
                                  <w:szCs w:val="18"/>
                                </w:rPr>
                              </w:pPr>
                              <w:r>
                                <w:rPr>
                                  <w:rFonts w:hint="eastAsia"/>
                                  <w:sz w:val="18"/>
                                  <w:szCs w:val="18"/>
                                </w:rPr>
                                <w:t>考核</w:t>
                              </w:r>
                            </w:p>
                          </w:txbxContent>
                        </wps:txbx>
                        <wps:bodyPr rot="0" vert="horz" wrap="square" lIns="3600" tIns="45720" rIns="3600" bIns="45720" anchor="t" anchorCtr="0" upright="1">
                          <a:noAutofit/>
                        </wps:bodyPr>
                      </wps:wsp>
                      <wps:wsp>
                        <wps:cNvPr id="1070" name="文本框 7487"/>
                        <wps:cNvSpPr txBox="1">
                          <a:spLocks noChangeArrowheads="1"/>
                        </wps:cNvSpPr>
                        <wps:spPr bwMode="auto">
                          <a:xfrm>
                            <a:off x="4044" y="7552"/>
                            <a:ext cx="630" cy="624"/>
                          </a:xfrm>
                          <a:prstGeom prst="rect">
                            <a:avLst/>
                          </a:prstGeom>
                          <a:noFill/>
                          <a:ln>
                            <a:noFill/>
                          </a:ln>
                          <a:effectLst/>
                        </wps:spPr>
                        <wps:txbx>
                          <w:txbxContent>
                            <w:p>
                              <w:pPr>
                                <w:spacing w:line="240" w:lineRule="exact"/>
                                <w:jc w:val="center"/>
                                <w:rPr>
                                  <w:sz w:val="18"/>
                                  <w:szCs w:val="18"/>
                                </w:rPr>
                              </w:pPr>
                              <w:r>
                                <w:rPr>
                                  <w:rFonts w:hint="eastAsia"/>
                                  <w:sz w:val="18"/>
                                  <w:szCs w:val="18"/>
                                </w:rPr>
                                <w:t>监督</w:t>
                              </w:r>
                            </w:p>
                            <w:p>
                              <w:pPr>
                                <w:spacing w:line="240" w:lineRule="exact"/>
                                <w:jc w:val="center"/>
                                <w:rPr>
                                  <w:sz w:val="18"/>
                                  <w:szCs w:val="18"/>
                                </w:rPr>
                              </w:pPr>
                              <w:r>
                                <w:rPr>
                                  <w:rFonts w:hint="eastAsia"/>
                                  <w:sz w:val="18"/>
                                  <w:szCs w:val="18"/>
                                </w:rPr>
                                <w:t>考核</w:t>
                              </w:r>
                            </w:p>
                          </w:txbxContent>
                        </wps:txbx>
                        <wps:bodyPr rot="0" vert="horz" wrap="square" lIns="3600" tIns="45720" rIns="3600" bIns="45720" anchor="t" anchorCtr="0" upright="1">
                          <a:noAutofit/>
                        </wps:bodyPr>
                      </wps:wsp>
                    </wpg:wgp>
                  </a:graphicData>
                </a:graphic>
              </wp:anchor>
            </w:drawing>
          </mc:Choice>
          <mc:Fallback>
            <w:pict>
              <v:group id="_x0000_s1026" o:spid="_x0000_s1026" o:spt="203" style="position:absolute;left:0pt;margin-left:47.15pt;margin-top:21.25pt;height:254pt;width:358.65pt;z-index:251767808;mso-width-relative:page;mso-height-relative:page;" coordorigin="2646,4812" coordsize="7173,5080" o:gfxdata="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">
                <o:lock v:ext="edit" aspectratio="f"/>
                <v:shape id="文本框 7449" o:spid="_x0000_s1026" o:spt="202" type="#_x0000_t202" style="position:absolute;left:4254;top:4900;height:468;width:1293;" fillcolor="#FFFFFF" filled="t" stroked="t" coordsize="21600,21600" o:gfxdata="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jq6b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1mm,1.27mm,0.1mm,1.27mm">
                    <w:txbxContent>
                      <w:p>
                        <w:pPr>
                          <w:jc w:val="center"/>
                        </w:pPr>
                        <w:r>
                          <w:rPr>
                            <w:rFonts w:hint="eastAsia"/>
                          </w:rPr>
                          <w:t>总经理</w:t>
                        </w:r>
                      </w:p>
                    </w:txbxContent>
                  </v:textbox>
                </v:shape>
                <v:shape id="文本框 7450" o:spid="_x0000_s1026" o:spt="202" type="#_x0000_t202" style="position:absolute;left:2646;top:5992;height:468;width:1293;" fillcolor="#FFFFFF" filled="t" stroked="t" coordsize="21600,21600" o:gfxdata="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RPcr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1mm,1.27mm,0.1mm,1.27mm">
                    <w:txbxContent>
                      <w:p>
                        <w:pPr>
                          <w:jc w:val="center"/>
                        </w:pPr>
                        <w:r>
                          <w:rPr>
                            <w:rFonts w:hint="eastAsia"/>
                          </w:rPr>
                          <w:t>其他副厂长</w:t>
                        </w:r>
                      </w:p>
                    </w:txbxContent>
                  </v:textbox>
                </v:shape>
                <v:shape id="文本框 7451" o:spid="_x0000_s1026" o:spt="202" type="#_x0000_t202" style="position:absolute;left:5586;top:5992;height:468;width:1293;" fillcolor="#FFFFFF" filled="t" stroked="t" coordsize="21600,21600" o:gfxdata="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ptEF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1mm,1.27mm,0.1mm,1.27mm">
                    <w:txbxContent>
                      <w:p>
                        <w:pPr>
                          <w:jc w:val="center"/>
                        </w:pPr>
                        <w:r>
                          <w:rPr>
                            <w:rFonts w:hint="eastAsia"/>
                          </w:rPr>
                          <w:t>生产副厂长</w:t>
                        </w:r>
                      </w:p>
                    </w:txbxContent>
                  </v:textbox>
                </v:shape>
                <v:shape id="文本框 7452" o:spid="_x0000_s1026" o:spt="202" type="#_x0000_t202" style="position:absolute;left:7299;top:5992;height:468;width:1293;" fillcolor="#FFFFFF" filled="t" stroked="t" coordsize="21600,21600" o:gfxdata="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6nSe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1mm,1.27mm,0.1mm,1.27mm">
                    <w:txbxContent>
                      <w:p>
                        <w:pPr>
                          <w:jc w:val="center"/>
                        </w:pPr>
                        <w:r>
                          <w:rPr>
                            <w:rFonts w:hint="eastAsia"/>
                          </w:rPr>
                          <w:t>总工程师</w:t>
                        </w:r>
                      </w:p>
                    </w:txbxContent>
                  </v:textbox>
                </v:shape>
                <v:line id="直线 7453" o:spid="_x0000_s1026" o:spt="20" style="position:absolute;left:3309;top:5680;height:1;width:4620;" filled="f" stroked="t" coordsize="21600,21600" o:gfxdata="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5CtD&#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7454" o:spid="_x0000_s1026" o:spt="20" style="position:absolute;left:3276;top:5680;height:312;width:1;" filled="f" stroked="t" coordsize="21600,21600" o:gfxdata="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qbLr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line id="直线 7455" o:spid="_x0000_s1026" o:spt="20" style="position:absolute;left:6215;top:5680;height:312;width:1;" filled="f" stroked="t" coordsize="21600,21600" o:gfxdata="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2aRu&#10;wAAAAN0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直线 7456" o:spid="_x0000_s1026" o:spt="20" style="position:absolute;left:7928;top:5680;height:312;width:1;" filled="f" stroked="t" coordsize="21600,21600" o:gfxdata="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UB9b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shape id="文本框 7457" o:spid="_x0000_s1026" o:spt="202" type="#_x0000_t202" style="position:absolute;left:2646;top:7084;height:468;width:1293;" fillcolor="#FFFFFF" filled="t" stroked="t" coordsize="21600,21600" o:gfxdata="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REHb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1mm,1.27mm,0.1mm,1.27mm">
                    <w:txbxContent>
                      <w:p>
                        <w:pPr>
                          <w:jc w:val="center"/>
                        </w:pPr>
                        <w:r>
                          <w:rPr>
                            <w:rFonts w:hint="eastAsia"/>
                          </w:rPr>
                          <w:t>各职能科</w:t>
                        </w:r>
                      </w:p>
                    </w:txbxContent>
                  </v:textbox>
                </v:shape>
                <v:shape id="文本框 7458" o:spid="_x0000_s1026" o:spt="202" type="#_x0000_t202" style="position:absolute;left:5619;top:7084;height:468;width:1293;" fillcolor="#FFFFFF" filled="t" stroked="t" coordsize="21600,21600" o:gfxdata="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8NL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1mm,1.27mm,0.1mm,1.27mm">
                    <w:txbxContent>
                      <w:p>
                        <w:pPr>
                          <w:jc w:val="center"/>
                        </w:pPr>
                        <w:r>
                          <w:rPr>
                            <w:rFonts w:hint="eastAsia"/>
                          </w:rPr>
                          <w:t>安全环保部</w:t>
                        </w:r>
                      </w:p>
                    </w:txbxContent>
                  </v:textbox>
                </v:shape>
                <v:line id="直线 7459" o:spid="_x0000_s1026" o:spt="20" style="position:absolute;left:3939;top:7240;height:1;width:1680;" filled="f" stroked="t" coordsize="21600,21600" o:gfxdata="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4H9r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line id="直线 7460" o:spid="_x0000_s1026" o:spt="20" style="position:absolute;left:3276;top:6460;height:624;width:1;" filled="f" stroked="t" coordsize="21600,21600" o:gfxdata="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wPBq/&#10;AAAA3Q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line id="直线 7461" o:spid="_x0000_s1026" o:spt="20" style="position:absolute;left:3939;top:7396;flip:x;height:1;width:1680;" filled="f" stroked="t" coordsize="21600,21600" o:gfxdata="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etAgvQAA&#10;AN0AAAAPAAAAAAAAAAEAIAAAACIAAABkcnMvZG93bnJldi54bWxQSwECFAAUAAAACACHTuJAMy8F&#10;njsAAAA5AAAAEAAAAAAAAAABACAAAAAMAQAAZHJzL3NoYXBleG1sLnhtbFBLBQYAAAAABgAGAFsB&#10;AAC2AwAAAAA=&#10;">
                  <v:fill on="f" focussize="0,0"/>
                  <v:stroke color="#000000" joinstyle="round" dashstyle="dash" endarrow="block" endarrowwidth="narrow"/>
                  <v:imagedata o:title=""/>
                  <o:lock v:ext="edit" aspectratio="f"/>
                </v:line>
                <v:line id="直线 7462" o:spid="_x0000_s1026" o:spt="20" style="position:absolute;left:3623;top:6772;height:312;width:1;" filled="f" stroked="t" coordsize="21600,21600" o:gfxdata="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9cT&#10;wAAAAN0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直线 7463" o:spid="_x0000_s1026" o:spt="20" style="position:absolute;left:5828;top:6772;height:312;width:1;" filled="f" stroked="t" coordsize="21600,21600" o:gfxdata="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NyiL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line id="直线 7464" o:spid="_x0000_s1026" o:spt="20" style="position:absolute;left:3624;top:6772;height:1;width:2205;" filled="f" stroked="t" coordsize="21600,21600" o:gfxdata="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tP5C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7465" o:spid="_x0000_s1026" o:spt="20" style="position:absolute;left:4779;top:5368;height:1404;width:0;" filled="f" stroked="t" coordsize="21600,21600" o:gfxdata="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TREL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line id="直线 7466" o:spid="_x0000_s1026" o:spt="20" style="position:absolute;left:4989;top:5368;height:312;width:0;" filled="f" stroked="t" coordsize="21600,21600" o:gfxdata="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fo6/&#10;AAAA3Q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line id="直线 7467" o:spid="_x0000_s1026" o:spt="20" style="position:absolute;left:6216;top:6460;height:624;width:1;" filled="f" stroked="t" coordsize="21600,21600" o:gfxdata="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BkHO&#10;wAAAAN0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shape id="文本框 7468" o:spid="_x0000_s1026" o:spt="202" type="#_x0000_t202" style="position:absolute;left:8139;top:7084;height:468;width:1680;" fillcolor="#FFFFFF" filled="t" stroked="t" coordsize="21600,21600" o:gfxdata="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IBfZ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pPr>
                        <w:r>
                          <w:rPr>
                            <w:rFonts w:hint="eastAsia"/>
                          </w:rPr>
                          <w:t>地方环保部门</w:t>
                        </w:r>
                      </w:p>
                    </w:txbxContent>
                  </v:textbox>
                </v:shape>
                <v:line id="直线 7469" o:spid="_x0000_s1026" o:spt="20" style="position:absolute;left:6459;top:6460;flip:x;height:624;width:1155;" filled="f" stroked="t" coordsize="21600,21600" o:gfxdata="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dUB/m5AAAA3QAA&#10;AA8AAAAAAAAAAQAgAAAAIgAAAGRycy9kb3ducmV2LnhtbFBLAQIUABQAAAAIAIdO4kAzLwWeOwAA&#10;ADkAAAAQAAAAAAAAAAEAIAAAAAgBAABkcnMvc2hhcGV4bWwueG1sUEsFBgAAAAAGAAYAWwEAALID&#10;AAAAAA==&#10;">
                  <v:fill on="f" focussize="0,0"/>
                  <v:stroke color="#000000" joinstyle="round" endarrow="block" endarrowwidth="narrow"/>
                  <v:imagedata o:title=""/>
                  <o:lock v:ext="edit" aspectratio="f"/>
                </v:line>
                <v:shape id="自选图形 7470" o:spid="_x0000_s1026" o:spt="32" type="#_x0000_t32" style="position:absolute;left:6912;top:7318;flip:x;height:1;width:1227;" filled="f" stroked="t" coordsize="21600,21600" o:gfxdata="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bnm7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shape>
                <v:shape id="文本框 7471" o:spid="_x0000_s1026" o:spt="202" type="#_x0000_t202" style="position:absolute;left:7262;top:6962;height:468;width:630;" filled="f" stroked="f" coordsize="21600,21600" o:gfxdata="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Prn3rgAAADdAAAA&#10;DwAAAAAAAAABACAAAAAiAAAAZHJzL2Rvd25yZXYueG1sUEsBAhQAFAAAAAgAh07iQDMvBZ47AAAA&#10;OQAAABAAAAAAAAAAAQAgAAAABwEAAGRycy9zaGFwZXhtbC54bWxQSwUGAAAAAAYABgBbAQAAsQMA&#10;AAAA&#10;">
                  <v:fill on="f" focussize="0,0"/>
                  <v:stroke on="f"/>
                  <v:imagedata o:title=""/>
                  <o:lock v:ext="edit" aspectratio="f"/>
                  <v:textbox inset="0.1mm,1.27mm,0.1mm,1.27mm">
                    <w:txbxContent>
                      <w:p>
                        <w:pPr>
                          <w:jc w:val="center"/>
                          <w:rPr>
                            <w:sz w:val="18"/>
                            <w:szCs w:val="18"/>
                          </w:rPr>
                        </w:pPr>
                        <w:r>
                          <w:rPr>
                            <w:rFonts w:hint="eastAsia"/>
                            <w:sz w:val="18"/>
                            <w:szCs w:val="18"/>
                          </w:rPr>
                          <w:t>管理</w:t>
                        </w:r>
                      </w:p>
                    </w:txbxContent>
                  </v:textbox>
                </v:shape>
                <v:shape id="自选图形 7472" o:spid="_x0000_s1026" o:spt="33" type="#_x0000_t33" style="position:absolute;left:6288;top:4393;flip:x;height:3432;width:1950;rotation:-5898240f;" filled="f" stroked="t" coordsize="21600,21600" o:gfxdata="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LEmbsAAADd&#10;AAAADwAAAAAAAAABACAAAAAiAAAAZHJzL2Rvd25yZXYueG1sUEsBAhQAFAAAAAgAh07iQDMvBZ47&#10;AAAAOQAAABAAAAAAAAAAAQAgAAAACgEAAGRycy9zaGFwZXhtbC54bWxQSwUGAAAAAAYABgBbAQAA&#10;tAMAAAAA&#10;">
                  <v:fill on="f" focussize="0,0"/>
                  <v:stroke color="#000000" miterlimit="8" joinstyle="miter" endarrow="block" endarrowwidth="narrow"/>
                  <v:imagedata o:title=""/>
                  <o:lock v:ext="edit" aspectratio="f"/>
                </v:shape>
                <v:shape id="文本框 7473" o:spid="_x0000_s1026" o:spt="202" type="#_x0000_t202" style="position:absolute;left:6791;top:4812;height:468;width:630;" filled="f" stroked="f" coordsize="21600,21600" o:gfxdata="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TZNwytwAAAN0AAAAP&#10;AAAAAAAAAAEAIAAAACIAAABkcnMvZG93bnJldi54bWxQSwECFAAUAAAACACHTuJAMy8FnjsAAAA5&#10;AAAAEAAAAAAAAAABACAAAAAGAQAAZHJzL3NoYXBleG1sLnhtbFBLBQYAAAAABgAGAFsBAACwAwAA&#10;AAA=&#10;">
                  <v:fill on="f" focussize="0,0"/>
                  <v:stroke on="f"/>
                  <v:imagedata o:title=""/>
                  <o:lock v:ext="edit" aspectratio="f"/>
                  <v:textbox inset="0.1mm,1.27mm,0.1mm,1.27mm">
                    <w:txbxContent>
                      <w:p>
                        <w:pPr>
                          <w:jc w:val="center"/>
                          <w:rPr>
                            <w:sz w:val="18"/>
                            <w:szCs w:val="18"/>
                          </w:rPr>
                        </w:pPr>
                        <w:r>
                          <w:rPr>
                            <w:rFonts w:hint="eastAsia"/>
                            <w:sz w:val="18"/>
                            <w:szCs w:val="18"/>
                          </w:rPr>
                          <w:t>管理</w:t>
                        </w:r>
                      </w:p>
                    </w:txbxContent>
                  </v:textbox>
                </v:shape>
                <v:shape id="文本框 7474" o:spid="_x0000_s1026" o:spt="202" type="#_x0000_t202" style="position:absolute;left:4955;top:5368;height:468;width:630;" filled="f" stroked="f" coordsize="21600,21600" o:gfxdata="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Ch5qbgAAADdAAAA&#10;DwAAAAAAAAABACAAAAAiAAAAZHJzL2Rvd25yZXYueG1sUEsBAhQAFAAAAAgAh07iQDMvBZ47AAAA&#10;OQAAABAAAAAAAAAAAQAgAAAABwEAAGRycy9zaGFwZXhtbC54bWxQSwUGAAAAAAYABgBbAQAAsQMA&#10;AAAA&#10;">
                  <v:fill on="f" focussize="0,0"/>
                  <v:stroke on="f"/>
                  <v:imagedata o:title=""/>
                  <o:lock v:ext="edit" aspectratio="f"/>
                  <v:textbox inset="0.1mm,1.27mm,0.1mm,1.27mm">
                    <w:txbxContent>
                      <w:p>
                        <w:pPr>
                          <w:jc w:val="center"/>
                          <w:rPr>
                            <w:sz w:val="18"/>
                            <w:szCs w:val="18"/>
                          </w:rPr>
                        </w:pPr>
                        <w:r>
                          <w:rPr>
                            <w:rFonts w:hint="eastAsia"/>
                            <w:sz w:val="18"/>
                            <w:szCs w:val="18"/>
                          </w:rPr>
                          <w:t>联系</w:t>
                        </w:r>
                      </w:p>
                    </w:txbxContent>
                  </v:textbox>
                </v:shape>
                <v:shape id="文本框 7475" o:spid="_x0000_s1026" o:spt="202" type="#_x0000_t202" style="position:absolute;left:4674;top:5992;height:468;width:630;" filled="f" stroked="f" coordsize="21600,21600" o:gfxdata="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bft27sAAADd&#10;AAAADwAAAAAAAAABACAAAAAiAAAAZHJzL2Rvd25yZXYueG1sUEsBAhQAFAAAAAgAh07iQDMvBZ47&#10;AAAAOQAAABAAAAAAAAAAAQAgAAAACgEAAGRycy9zaGFwZXhtbC54bWxQSwUGAAAAAAYABgBbAQAA&#10;tAMAAAAA&#10;">
                  <v:fill on="f" focussize="0,0"/>
                  <v:stroke on="f"/>
                  <v:imagedata o:title=""/>
                  <o:lock v:ext="edit" aspectratio="f"/>
                  <v:textbox inset="0.1mm,1.27mm,0.1mm,1.27mm">
                    <w:txbxContent>
                      <w:p>
                        <w:pPr>
                          <w:jc w:val="center"/>
                          <w:rPr>
                            <w:sz w:val="18"/>
                            <w:szCs w:val="18"/>
                          </w:rPr>
                        </w:pPr>
                        <w:r>
                          <w:rPr>
                            <w:rFonts w:hint="eastAsia"/>
                            <w:sz w:val="18"/>
                            <w:szCs w:val="18"/>
                          </w:rPr>
                          <w:t>协调</w:t>
                        </w:r>
                      </w:p>
                    </w:txbxContent>
                  </v:textbox>
                </v:shape>
                <v:shape id="文本框 7476" o:spid="_x0000_s1026" o:spt="202" type="#_x0000_t202" style="position:absolute;left:3623;top:8332;height:468;width:1924;" fillcolor="#FFFFFF" filled="t" stroked="t" coordsize="21600,21600" o:gfxdata="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82Cr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1mm,1.27mm,0.1mm,1.27mm">
                    <w:txbxContent>
                      <w:p>
                        <w:pPr>
                          <w:jc w:val="center"/>
                        </w:pPr>
                        <w:r>
                          <w:rPr>
                            <w:rFonts w:hint="eastAsia"/>
                          </w:rPr>
                          <w:t>各车间（含煤码头）</w:t>
                        </w:r>
                      </w:p>
                    </w:txbxContent>
                  </v:textbox>
                </v:shape>
                <v:line id="直线 7477" o:spid="_x0000_s1026" o:spt="20" style="position:absolute;left:3624;top:7552;height:780;width:840;" filled="f" stroked="t" coordsize="21600,21600" o:gfxdata="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WqL&#10;c8EAAADdAAAADwAAAAAAAAABACAAAAAiAAAAZHJzL2Rvd25yZXYueG1sUEsBAhQAFAAAAAgAh07i&#10;QDMvBZ47AAAAOQAAABAAAAAAAAAAAQAgAAAAEAEAAGRycy9zaGFwZXhtbC54bWxQSwUGAAAAAAYA&#10;BgBbAQAAugMAAAAA&#10;">
                  <v:fill on="f" focussize="0,0"/>
                  <v:stroke color="#000000" joinstyle="round" endarrow="block" endarrowwidth="narrow"/>
                  <v:imagedata o:title=""/>
                  <o:lock v:ext="edit" aspectratio="f"/>
                </v:line>
                <v:line id="直线 7478" o:spid="_x0000_s1026" o:spt="20" style="position:absolute;left:4989;top:7552;flip:x;height:780;width:1050;" filled="f" stroked="t" coordsize="21600,21600" o:gfxdata="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nqUzO5AAAA3QAA&#10;AA8AAAAAAAAAAQAgAAAAIgAAAGRycy9kb3ducmV2LnhtbFBLAQIUABQAAAAIAIdO4kAzLwWeOwAA&#10;ADkAAAAQAAAAAAAAAAEAIAAAAAgBAABkcnMvc2hhcGV4bWwueG1sUEsFBgAAAAAGAAYAWwEAALID&#10;AAAAAA==&#10;">
                  <v:fill on="f" focussize="0,0"/>
                  <v:stroke color="#000000" joinstyle="round" endarrow="block" endarrowwidth="narrow"/>
                  <v:imagedata o:title=""/>
                  <o:lock v:ext="edit" aspectratio="f"/>
                </v:line>
                <v:shape id="文本框 7479" o:spid="_x0000_s1026" o:spt="202" type="#_x0000_t202" style="position:absolute;left:5619;top:8332;height:468;width:1293;" fillcolor="#FFFFFF" filled="t" stroked="t" coordsize="21600,21600" o:gfxdata="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927G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1mm,1.27mm,0.1mm,1.27mm">
                    <w:txbxContent>
                      <w:p>
                        <w:pPr>
                          <w:jc w:val="center"/>
                        </w:pPr>
                        <w:r>
                          <w:rPr>
                            <w:rFonts w:hint="eastAsia"/>
                          </w:rPr>
                          <w:t>监测机构</w:t>
                        </w:r>
                      </w:p>
                    </w:txbxContent>
                  </v:textbox>
                </v:shape>
                <v:line id="直线 7480" o:spid="_x0000_s1026" o:spt="20" style="position:absolute;left:6249;top:7552;height:780;width:0;" filled="f" stroked="t" coordsize="21600,21600" o:gfxdata="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gVBL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shape id="文本框 7481" o:spid="_x0000_s1026" o:spt="202" type="#_x0000_t202" style="position:absolute;left:4149;top:9424;height:468;width:1293;" fillcolor="#FFFFFF" filled="t" stroked="t" coordsize="21600,21600" o:gfxdata="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JTKb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1mm,1.27mm,0.1mm,1.27mm">
                    <w:txbxContent>
                      <w:p>
                        <w:pPr>
                          <w:jc w:val="center"/>
                        </w:pPr>
                        <w:r>
                          <w:rPr>
                            <w:rFonts w:hint="eastAsia"/>
                          </w:rPr>
                          <w:t>各生产岗位</w:t>
                        </w:r>
                      </w:p>
                    </w:txbxContent>
                  </v:textbox>
                </v:shape>
                <v:line id="直线 7482" o:spid="_x0000_s1026" o:spt="20" style="position:absolute;left:4779;top:8800;height:624;width:0;" filled="f" stroked="t" coordsize="21600,21600" o:gfxdata="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0o67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shape id="文本框 7483" o:spid="_x0000_s1026" o:spt="202" type="#_x0000_t202" style="position:absolute;left:5724;top:8956;height:468;width:630;" filled="f" stroked="f" coordsize="21600,21600" o:gfxdata="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dCBaPtwAAAN0AAAAP&#10;AAAAAAAAAAEAIAAAACIAAABkcnMvZG93bnJldi54bWxQSwECFAAUAAAACACHTuJAMy8FnjsAAAA5&#10;AAAAEAAAAAAAAAABACAAAAAGAQAAZHJzL3NoYXBleG1sLnhtbFBLBQYAAAAABgAGAFsBAACwAwAA&#10;AAA=&#10;">
                  <v:fill on="f" focussize="0,0"/>
                  <v:stroke on="f"/>
                  <v:imagedata o:title=""/>
                  <o:lock v:ext="edit" aspectratio="f"/>
                  <v:textbox inset="0.1mm,1.27mm,0.1mm,1.27mm">
                    <w:txbxContent>
                      <w:p>
                        <w:pPr>
                          <w:jc w:val="center"/>
                          <w:rPr>
                            <w:sz w:val="18"/>
                            <w:szCs w:val="18"/>
                          </w:rPr>
                        </w:pPr>
                        <w:r>
                          <w:rPr>
                            <w:rFonts w:hint="eastAsia"/>
                            <w:sz w:val="18"/>
                            <w:szCs w:val="18"/>
                          </w:rPr>
                          <w:t>监测</w:t>
                        </w:r>
                      </w:p>
                    </w:txbxContent>
                  </v:textbox>
                </v:shape>
                <v:line id="直线 7484" o:spid="_x0000_s1026" o:spt="20" style="position:absolute;left:5409;top:8800;flip:x;height:624;width:840;" filled="f" stroked="t" coordsize="21600,21600" o:gfxdata="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U9u3LsAAADd&#10;AAAADwAAAAAAAAABACAAAAAiAAAAZHJzL2Rvd25yZXYueG1sUEsBAhQAFAAAAAgAh07iQDMvBZ47&#10;AAAAOQAAABAAAAAAAAAAAQAgAAAACgEAAGRycy9zaGFwZXhtbC54bWxQSwUGAAAAAAYABgBbAQAA&#10;tAMAAAAA&#10;">
                  <v:fill on="f" focussize="0,0"/>
                  <v:stroke color="#000000" joinstyle="round" endarrow="block" endarrowwidth="narrow"/>
                  <v:imagedata o:title=""/>
                  <o:lock v:ext="edit" aspectratio="f"/>
                </v:line>
                <v:shape id="文本框 7485" o:spid="_x0000_s1026" o:spt="202" type="#_x0000_t202" style="position:absolute;left:4254;top:8749;height:624;width:630;" filled="f" stroked="f" coordsize="21600,21600" o:gfxdata="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9snZrsAAADd&#10;AAAADwAAAAAAAAABACAAAAAiAAAAZHJzL2Rvd25yZXYueG1sUEsBAhQAFAAAAAgAh07iQDMvBZ47&#10;AAAAOQAAABAAAAAAAAAAAQAgAAAACgEAAGRycy9zaGFwZXhtbC54bWxQSwUGAAAAAAYABgBbAQAA&#10;tAMAAAAA&#10;">
                  <v:fill on="f" focussize="0,0"/>
                  <v:stroke on="f"/>
                  <v:imagedata o:title=""/>
                  <o:lock v:ext="edit" aspectratio="f"/>
                  <v:textbox inset="0.1mm,1.27mm,0.1mm,1.27mm">
                    <w:txbxContent>
                      <w:p>
                        <w:pPr>
                          <w:spacing w:line="240" w:lineRule="exact"/>
                          <w:jc w:val="center"/>
                          <w:rPr>
                            <w:sz w:val="18"/>
                            <w:szCs w:val="18"/>
                          </w:rPr>
                        </w:pPr>
                        <w:r>
                          <w:rPr>
                            <w:rFonts w:hint="eastAsia"/>
                            <w:sz w:val="18"/>
                            <w:szCs w:val="18"/>
                          </w:rPr>
                          <w:t>监督</w:t>
                        </w:r>
                      </w:p>
                      <w:p>
                        <w:pPr>
                          <w:spacing w:line="240" w:lineRule="exact"/>
                          <w:jc w:val="center"/>
                          <w:rPr>
                            <w:sz w:val="18"/>
                            <w:szCs w:val="18"/>
                          </w:rPr>
                        </w:pPr>
                        <w:r>
                          <w:rPr>
                            <w:rFonts w:hint="eastAsia"/>
                            <w:sz w:val="18"/>
                            <w:szCs w:val="18"/>
                          </w:rPr>
                          <w:t>考核</w:t>
                        </w:r>
                      </w:p>
                    </w:txbxContent>
                  </v:textbox>
                </v:shape>
                <v:shape id="文本框 7486" o:spid="_x0000_s1026" o:spt="202" type="#_x0000_t202" style="position:absolute;left:4884;top:7552;height:624;width:630;" filled="f" stroked="f" coordsize="21600,21600" o:gfxdata="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sl4L9twAAAN0AAAAP&#10;AAAAAAAAAAEAIAAAACIAAABkcnMvZG93bnJldi54bWxQSwECFAAUAAAACACHTuJAMy8FnjsAAAA5&#10;AAAAEAAAAAAAAAABACAAAAAGAQAAZHJzL3NoYXBleG1sLnhtbFBLBQYAAAAABgAGAFsBAACwAwAA&#10;AAA=&#10;">
                  <v:fill on="f" focussize="0,0"/>
                  <v:stroke on="f"/>
                  <v:imagedata o:title=""/>
                  <o:lock v:ext="edit" aspectratio="f"/>
                  <v:textbox inset="0.1mm,1.27mm,0.1mm,1.27mm">
                    <w:txbxContent>
                      <w:p>
                        <w:pPr>
                          <w:spacing w:line="240" w:lineRule="exact"/>
                          <w:jc w:val="center"/>
                          <w:rPr>
                            <w:sz w:val="18"/>
                            <w:szCs w:val="18"/>
                          </w:rPr>
                        </w:pPr>
                        <w:r>
                          <w:rPr>
                            <w:rFonts w:hint="eastAsia"/>
                            <w:sz w:val="18"/>
                            <w:szCs w:val="18"/>
                          </w:rPr>
                          <w:t>监督</w:t>
                        </w:r>
                      </w:p>
                      <w:p>
                        <w:pPr>
                          <w:spacing w:line="240" w:lineRule="exact"/>
                          <w:jc w:val="center"/>
                          <w:rPr>
                            <w:sz w:val="18"/>
                            <w:szCs w:val="18"/>
                          </w:rPr>
                        </w:pPr>
                        <w:r>
                          <w:rPr>
                            <w:rFonts w:hint="eastAsia"/>
                            <w:sz w:val="18"/>
                            <w:szCs w:val="18"/>
                          </w:rPr>
                          <w:t>考核</w:t>
                        </w:r>
                      </w:p>
                    </w:txbxContent>
                  </v:textbox>
                </v:shape>
                <v:shape id="文本框 7487" o:spid="_x0000_s1026" o:spt="202" type="#_x0000_t202" style="position:absolute;left:4044;top:7552;height:624;width:630;" filled="f" stroked="f" coordsize="21600,21600" o:gfxdata="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0vb28AAAA&#10;3QAAAA8AAAAAAAAAAQAgAAAAIgAAAGRycy9kb3ducmV2LnhtbFBLAQIUABQAAAAIAIdO4kAzLwWe&#10;OwAAADkAAAAQAAAAAAAAAAEAIAAAAAsBAABkcnMvc2hhcGV4bWwueG1sUEsFBgAAAAAGAAYAWwEA&#10;ALUDAAAAAA==&#10;">
                  <v:fill on="f" focussize="0,0"/>
                  <v:stroke on="f"/>
                  <v:imagedata o:title=""/>
                  <o:lock v:ext="edit" aspectratio="f"/>
                  <v:textbox inset="0.1mm,1.27mm,0.1mm,1.27mm">
                    <w:txbxContent>
                      <w:p>
                        <w:pPr>
                          <w:spacing w:line="240" w:lineRule="exact"/>
                          <w:jc w:val="center"/>
                          <w:rPr>
                            <w:sz w:val="18"/>
                            <w:szCs w:val="18"/>
                          </w:rPr>
                        </w:pPr>
                        <w:r>
                          <w:rPr>
                            <w:rFonts w:hint="eastAsia"/>
                            <w:sz w:val="18"/>
                            <w:szCs w:val="18"/>
                          </w:rPr>
                          <w:t>监督</w:t>
                        </w:r>
                      </w:p>
                      <w:p>
                        <w:pPr>
                          <w:spacing w:line="240" w:lineRule="exact"/>
                          <w:jc w:val="center"/>
                          <w:rPr>
                            <w:sz w:val="18"/>
                            <w:szCs w:val="18"/>
                          </w:rPr>
                        </w:pPr>
                        <w:r>
                          <w:rPr>
                            <w:rFonts w:hint="eastAsia"/>
                            <w:sz w:val="18"/>
                            <w:szCs w:val="18"/>
                          </w:rPr>
                          <w:t>考核</w:t>
                        </w:r>
                      </w:p>
                    </w:txbxContent>
                  </v:textbox>
                </v:shape>
              </v:group>
            </w:pict>
          </mc:Fallback>
        </mc:AlternateContent>
      </w:r>
      <w:r>
        <w:rPr>
          <w:rFonts w:ascii="Times New Roman" w:hAnsi="Times New Roman" w:eastAsiaTheme="minorEastAsia"/>
          <w:color w:val="000000" w:themeColor="text1"/>
          <w:kern w:val="0"/>
          <w:sz w:val="24"/>
          <w:szCs w:val="24"/>
          <w14:textFill>
            <w14:solidFill>
              <w14:schemeClr w14:val="tx1"/>
            </w14:solidFill>
          </w14:textFill>
        </w:rPr>
        <w:t>岳阳电厂环境管理体系构成见图10.1-1。</w:t>
      </w:r>
    </w:p>
    <w:p>
      <w:pPr>
        <w:spacing w:line="360" w:lineRule="auto"/>
        <w:ind w:firstLine="480" w:firstLineChars="200"/>
        <w:rPr>
          <w:rFonts w:ascii="Times New Roman" w:hAnsi="Times New Roman"/>
          <w:sz w:val="24"/>
        </w:rPr>
      </w:pPr>
    </w:p>
    <w:p>
      <w:pPr>
        <w:spacing w:line="360" w:lineRule="auto"/>
        <w:ind w:firstLine="480" w:firstLineChars="200"/>
        <w:rPr>
          <w:rFonts w:ascii="Times New Roman" w:hAnsi="Times New Roman"/>
          <w:sz w:val="24"/>
        </w:rPr>
      </w:pPr>
    </w:p>
    <w:p>
      <w:pPr>
        <w:spacing w:line="360" w:lineRule="auto"/>
        <w:ind w:firstLine="480" w:firstLineChars="200"/>
        <w:rPr>
          <w:rFonts w:ascii="Times New Roman" w:hAnsi="Times New Roman"/>
          <w:sz w:val="24"/>
        </w:rPr>
      </w:pPr>
    </w:p>
    <w:p>
      <w:pPr>
        <w:spacing w:line="360" w:lineRule="auto"/>
        <w:ind w:firstLine="480" w:firstLineChars="200"/>
        <w:rPr>
          <w:rFonts w:ascii="Times New Roman" w:hAnsi="Times New Roman"/>
          <w:sz w:val="24"/>
        </w:rPr>
      </w:pPr>
    </w:p>
    <w:p>
      <w:pPr>
        <w:spacing w:line="360" w:lineRule="auto"/>
        <w:ind w:firstLine="480" w:firstLineChars="200"/>
        <w:rPr>
          <w:rFonts w:ascii="Times New Roman" w:hAnsi="Times New Roman"/>
          <w:sz w:val="24"/>
        </w:rPr>
      </w:pPr>
    </w:p>
    <w:p>
      <w:pPr>
        <w:spacing w:line="360" w:lineRule="auto"/>
        <w:ind w:firstLine="480" w:firstLineChars="200"/>
        <w:rPr>
          <w:rFonts w:ascii="Times New Roman" w:hAnsi="Times New Roman"/>
          <w:sz w:val="24"/>
        </w:rPr>
      </w:pPr>
    </w:p>
    <w:p>
      <w:pPr>
        <w:spacing w:line="360" w:lineRule="auto"/>
        <w:ind w:firstLine="480" w:firstLineChars="200"/>
        <w:rPr>
          <w:rFonts w:ascii="Times New Roman" w:hAnsi="Times New Roman"/>
          <w:sz w:val="24"/>
        </w:rPr>
      </w:pPr>
    </w:p>
    <w:p>
      <w:pPr>
        <w:spacing w:line="360" w:lineRule="auto"/>
        <w:ind w:firstLine="480" w:firstLineChars="200"/>
        <w:rPr>
          <w:rFonts w:ascii="Times New Roman" w:hAnsi="Times New Roman"/>
          <w:sz w:val="24"/>
        </w:rPr>
      </w:pPr>
    </w:p>
    <w:p>
      <w:pPr>
        <w:spacing w:line="360" w:lineRule="auto"/>
        <w:ind w:firstLine="480" w:firstLineChars="200"/>
        <w:rPr>
          <w:rFonts w:ascii="Times New Roman" w:hAnsi="Times New Roman"/>
          <w:sz w:val="24"/>
        </w:rPr>
      </w:pPr>
    </w:p>
    <w:p>
      <w:pPr>
        <w:spacing w:line="360" w:lineRule="auto"/>
        <w:ind w:firstLine="480" w:firstLineChars="200"/>
        <w:rPr>
          <w:rFonts w:ascii="Times New Roman" w:hAnsi="Times New Roman"/>
          <w:sz w:val="24"/>
        </w:rPr>
      </w:pPr>
    </w:p>
    <w:p>
      <w:pPr>
        <w:spacing w:line="360" w:lineRule="auto"/>
        <w:ind w:firstLine="480" w:firstLineChars="200"/>
        <w:rPr>
          <w:rFonts w:ascii="Times New Roman" w:hAnsi="Times New Roman"/>
          <w:sz w:val="24"/>
        </w:rPr>
      </w:pPr>
    </w:p>
    <w:p>
      <w:pPr>
        <w:autoSpaceDE w:val="0"/>
        <w:autoSpaceDN w:val="0"/>
        <w:adjustRightInd w:val="0"/>
        <w:snapToGrid w:val="0"/>
        <w:spacing w:line="360" w:lineRule="auto"/>
        <w:jc w:val="center"/>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图10.1-1  岳阳电厂环境管理体系图</w:t>
      </w:r>
    </w:p>
    <w:p>
      <w:pPr>
        <w:autoSpaceDE w:val="0"/>
        <w:autoSpaceDN w:val="0"/>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2、各级管理机构职责</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⑴</w:t>
      </w:r>
      <w:r>
        <w:rPr>
          <w:rFonts w:ascii="Times New Roman" w:hAnsi="Times New Roman" w:eastAsiaTheme="minorEastAsia"/>
          <w:color w:val="000000" w:themeColor="text1"/>
          <w:kern w:val="0"/>
          <w:sz w:val="24"/>
          <w:szCs w:val="24"/>
          <w14:textFill>
            <w14:solidFill>
              <w14:schemeClr w14:val="tx1"/>
            </w14:solidFill>
          </w14:textFill>
        </w:rPr>
        <w:t xml:space="preserve"> 总经理的职责</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①</w:t>
      </w:r>
      <w:r>
        <w:rPr>
          <w:rFonts w:ascii="Times New Roman" w:hAnsi="Times New Roman" w:eastAsiaTheme="minorEastAsia"/>
          <w:color w:val="000000" w:themeColor="text1"/>
          <w:kern w:val="0"/>
          <w:sz w:val="24"/>
          <w:szCs w:val="24"/>
          <w14:textFill>
            <w14:solidFill>
              <w14:schemeClr w14:val="tx1"/>
            </w14:solidFill>
          </w14:textFill>
        </w:rPr>
        <w:t xml:space="preserve"> 负责贯彻执行国家环境保护法、环境保护方针和政策。</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②</w:t>
      </w:r>
      <w:r>
        <w:rPr>
          <w:rFonts w:ascii="Times New Roman" w:hAnsi="Times New Roman" w:eastAsiaTheme="minorEastAsia"/>
          <w:color w:val="000000" w:themeColor="text1"/>
          <w:kern w:val="0"/>
          <w:sz w:val="24"/>
          <w:szCs w:val="24"/>
          <w14:textFill>
            <w14:solidFill>
              <w14:schemeClr w14:val="tx1"/>
            </w14:solidFill>
          </w14:textFill>
        </w:rPr>
        <w:t xml:space="preserve"> 负责建立完整的环保机构，保证人员的落实。</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⑵</w:t>
      </w:r>
      <w:r>
        <w:rPr>
          <w:rFonts w:ascii="Times New Roman" w:hAnsi="Times New Roman" w:eastAsiaTheme="minorEastAsia"/>
          <w:color w:val="000000" w:themeColor="text1"/>
          <w:kern w:val="0"/>
          <w:sz w:val="24"/>
          <w:szCs w:val="24"/>
          <w14:textFill>
            <w14:solidFill>
              <w14:schemeClr w14:val="tx1"/>
            </w14:solidFill>
          </w14:textFill>
        </w:rPr>
        <w:t xml:space="preserve"> 安全环保部的职责</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①</w:t>
      </w:r>
      <w:r>
        <w:rPr>
          <w:rFonts w:ascii="Times New Roman" w:hAnsi="Times New Roman" w:eastAsiaTheme="minorEastAsia"/>
          <w:color w:val="000000" w:themeColor="text1"/>
          <w:kern w:val="0"/>
          <w:sz w:val="24"/>
          <w:szCs w:val="24"/>
          <w14:textFill>
            <w14:solidFill>
              <w14:schemeClr w14:val="tx1"/>
            </w14:solidFill>
          </w14:textFill>
        </w:rPr>
        <w:t xml:space="preserve"> 贯彻公司上级领导或环保部门有关的环保制度和规定。</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②</w:t>
      </w:r>
      <w:r>
        <w:rPr>
          <w:rFonts w:ascii="Times New Roman" w:hAnsi="Times New Roman" w:eastAsiaTheme="minorEastAsia"/>
          <w:color w:val="000000" w:themeColor="text1"/>
          <w:kern w:val="0"/>
          <w:sz w:val="24"/>
          <w:szCs w:val="24"/>
          <w14:textFill>
            <w14:solidFill>
              <w14:schemeClr w14:val="tx1"/>
            </w14:solidFill>
          </w14:textFill>
        </w:rPr>
        <w:t xml:space="preserve"> 建立环保档案管理制度，包括环评报告、环保工程验收报告、污染源监测报告、环保设备运行记录及其它环境统计资料等，并定期向当地环境保护行政主管部门汇报。</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③</w:t>
      </w:r>
      <w:r>
        <w:rPr>
          <w:rFonts w:ascii="Times New Roman" w:hAnsi="Times New Roman" w:eastAsiaTheme="minorEastAsia"/>
          <w:color w:val="000000" w:themeColor="text1"/>
          <w:kern w:val="0"/>
          <w:sz w:val="24"/>
          <w:szCs w:val="24"/>
          <w14:textFill>
            <w14:solidFill>
              <w14:schemeClr w14:val="tx1"/>
            </w14:solidFill>
          </w14:textFill>
        </w:rPr>
        <w:t xml:space="preserve"> 汇总、编报环保年度计划及规划，并监督、检查执行情况。</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④</w:t>
      </w:r>
      <w:r>
        <w:rPr>
          <w:rFonts w:ascii="Times New Roman" w:hAnsi="Times New Roman" w:eastAsiaTheme="minorEastAsia"/>
          <w:color w:val="000000" w:themeColor="text1"/>
          <w:kern w:val="0"/>
          <w:sz w:val="24"/>
          <w:szCs w:val="24"/>
          <w14:textFill>
            <w14:solidFill>
              <w14:schemeClr w14:val="tx1"/>
            </w14:solidFill>
          </w14:textFill>
        </w:rPr>
        <w:t xml:space="preserve"> 制定环保考核制度和有关奖罚规定。</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⑤</w:t>
      </w:r>
      <w:r>
        <w:rPr>
          <w:rFonts w:ascii="Times New Roman" w:hAnsi="Times New Roman" w:eastAsiaTheme="minorEastAsia"/>
          <w:color w:val="000000" w:themeColor="text1"/>
          <w:kern w:val="0"/>
          <w:sz w:val="24"/>
          <w:szCs w:val="24"/>
          <w14:textFill>
            <w14:solidFill>
              <w14:schemeClr w14:val="tx1"/>
            </w14:solidFill>
          </w14:textFill>
        </w:rPr>
        <w:t xml:space="preserve"> 对污染源进行监督管理，贯彻预防为主的方针，发现问题，及时采取措施，并向上级主管部门汇报。</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⑥</w:t>
      </w:r>
      <w:r>
        <w:rPr>
          <w:rFonts w:ascii="Times New Roman" w:hAnsi="Times New Roman" w:eastAsiaTheme="minorEastAsia"/>
          <w:color w:val="000000" w:themeColor="text1"/>
          <w:kern w:val="0"/>
          <w:sz w:val="24"/>
          <w:szCs w:val="24"/>
          <w14:textFill>
            <w14:solidFill>
              <w14:schemeClr w14:val="tx1"/>
            </w14:solidFill>
          </w14:textFill>
        </w:rPr>
        <w:t xml:space="preserve"> 负责组织突发性污染事故的善后处理，追查事故原因，杜绝事故隐患，并参照企业管理规章，提出对事故责任人的处理意见。</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⑦</w:t>
      </w:r>
      <w:r>
        <w:rPr>
          <w:rFonts w:ascii="Times New Roman" w:hAnsi="Times New Roman" w:eastAsiaTheme="minorEastAsia"/>
          <w:color w:val="000000" w:themeColor="text1"/>
          <w:kern w:val="0"/>
          <w:sz w:val="24"/>
          <w:szCs w:val="24"/>
          <w14:textFill>
            <w14:solidFill>
              <w14:schemeClr w14:val="tx1"/>
            </w14:solidFill>
          </w14:textFill>
        </w:rPr>
        <w:t xml:space="preserve"> 对环境保护的先进经验、先进技术进行推广和应用。</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⑧</w:t>
      </w:r>
      <w:r>
        <w:rPr>
          <w:rFonts w:ascii="Times New Roman" w:hAnsi="Times New Roman" w:eastAsiaTheme="minorEastAsia"/>
          <w:color w:val="000000" w:themeColor="text1"/>
          <w:kern w:val="0"/>
          <w:sz w:val="24"/>
          <w:szCs w:val="24"/>
          <w14:textFill>
            <w14:solidFill>
              <w14:schemeClr w14:val="tx1"/>
            </w14:solidFill>
          </w14:textFill>
        </w:rPr>
        <w:t xml:space="preserve"> 负责环保设备的统一管理。</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⑨</w:t>
      </w:r>
      <w:r>
        <w:rPr>
          <w:rFonts w:ascii="Times New Roman" w:hAnsi="Times New Roman" w:eastAsiaTheme="minorEastAsia"/>
          <w:color w:val="000000" w:themeColor="text1"/>
          <w:kern w:val="0"/>
          <w:sz w:val="24"/>
          <w:szCs w:val="24"/>
          <w14:textFill>
            <w14:solidFill>
              <w14:schemeClr w14:val="tx1"/>
            </w14:solidFill>
          </w14:textFill>
        </w:rPr>
        <w:t xml:space="preserve"> 定期组织职工进行环保教育，搞好环境宣传及环保技术培训。</w:t>
      </w:r>
    </w:p>
    <w:p>
      <w:pPr>
        <w:autoSpaceDE w:val="0"/>
        <w:autoSpaceDN w:val="0"/>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3、环境管理专（兼）职人员的职责</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⑴</w:t>
      </w:r>
      <w:r>
        <w:rPr>
          <w:rFonts w:ascii="Times New Roman" w:hAnsi="Times New Roman" w:eastAsiaTheme="minorEastAsia"/>
          <w:color w:val="000000" w:themeColor="text1"/>
          <w:kern w:val="0"/>
          <w:sz w:val="24"/>
          <w:szCs w:val="24"/>
          <w14:textFill>
            <w14:solidFill>
              <w14:schemeClr w14:val="tx1"/>
            </w14:solidFill>
          </w14:textFill>
        </w:rPr>
        <w:t xml:space="preserve"> 负责本部门的具体环境保护工作。</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⑵</w:t>
      </w:r>
      <w:r>
        <w:rPr>
          <w:rFonts w:ascii="Times New Roman" w:hAnsi="Times New Roman" w:eastAsiaTheme="minorEastAsia"/>
          <w:color w:val="000000" w:themeColor="text1"/>
          <w:kern w:val="0"/>
          <w:sz w:val="24"/>
          <w:szCs w:val="24"/>
          <w14:textFill>
            <w14:solidFill>
              <w14:schemeClr w14:val="tx1"/>
            </w14:solidFill>
          </w14:textFill>
        </w:rPr>
        <w:t xml:space="preserve"> 按照安全环保部的统一部署，提出本部门环保治理项目计划，报安全环保部及各职能部门。</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⑶</w:t>
      </w:r>
      <w:r>
        <w:rPr>
          <w:rFonts w:ascii="Times New Roman" w:hAnsi="Times New Roman" w:eastAsiaTheme="minorEastAsia"/>
          <w:color w:val="000000" w:themeColor="text1"/>
          <w:kern w:val="0"/>
          <w:sz w:val="24"/>
          <w:szCs w:val="24"/>
          <w14:textFill>
            <w14:solidFill>
              <w14:schemeClr w14:val="tx1"/>
            </w14:solidFill>
          </w14:textFill>
        </w:rPr>
        <w:t xml:space="preserve"> 负责本部门环保设施的使用、管理和检查，保证环保设施处于最佳状态。车间主管环保的领导和环保员至少每半个月应对所辖范围内的环保设备工作情况进行一次巡回检查。</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⑷</w:t>
      </w:r>
      <w:r>
        <w:rPr>
          <w:rFonts w:ascii="Times New Roman" w:hAnsi="Times New Roman" w:eastAsiaTheme="minorEastAsia"/>
          <w:color w:val="000000" w:themeColor="text1"/>
          <w:kern w:val="0"/>
          <w:sz w:val="24"/>
          <w:szCs w:val="24"/>
          <w14:textFill>
            <w14:solidFill>
              <w14:schemeClr w14:val="tx1"/>
            </w14:solidFill>
          </w14:textFill>
        </w:rPr>
        <w:t xml:space="preserve"> 对污染源和环境监测技术资料进行整理、统计、上报和存档。</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⑸</w:t>
      </w:r>
      <w:r>
        <w:rPr>
          <w:rFonts w:ascii="Times New Roman" w:hAnsi="Times New Roman" w:eastAsiaTheme="minorEastAsia"/>
          <w:color w:val="000000" w:themeColor="text1"/>
          <w:kern w:val="0"/>
          <w:sz w:val="24"/>
          <w:szCs w:val="24"/>
          <w14:textFill>
            <w14:solidFill>
              <w14:schemeClr w14:val="tx1"/>
            </w14:solidFill>
          </w14:textFill>
        </w:rPr>
        <w:t xml:space="preserve"> 参加公司环保会议和污染事故调查，并上报本部门出现的污染事故报告。</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⑹</w:t>
      </w:r>
      <w:r>
        <w:rPr>
          <w:rFonts w:ascii="Times New Roman" w:hAnsi="Times New Roman" w:eastAsiaTheme="minorEastAsia"/>
          <w:color w:val="000000" w:themeColor="text1"/>
          <w:kern w:val="0"/>
          <w:sz w:val="24"/>
          <w:szCs w:val="24"/>
          <w14:textFill>
            <w14:solidFill>
              <w14:schemeClr w14:val="tx1"/>
            </w14:solidFill>
          </w14:textFill>
        </w:rPr>
        <w:t xml:space="preserve"> 负责对项目区环保人员和村民进行环境保护教育，不断提高村民的环境意识和环保人员的业务素质。</w:t>
      </w:r>
    </w:p>
    <w:p>
      <w:pPr>
        <w:autoSpaceDE w:val="0"/>
        <w:autoSpaceDN w:val="0"/>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4、环境管理计划</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环境管理计划要从项目建设全过程进行，从设计阶段污染防范、施工阶段污染防治、运营后环保设施环境管理、信息反馈和群众监督各方面形成网络管理，使环境管理工作贯穿于生产的全过程中。</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本项目环境管理工作计划见表10.1-2。在表10.1-2所列环境管理大方案下，本项目环境管理工作重点应从减少污染物排放，降低对环境影响等方面进行分项控制。</w:t>
      </w:r>
    </w:p>
    <w:p>
      <w:pPr>
        <w:autoSpaceDE w:val="0"/>
        <w:autoSpaceDN w:val="0"/>
        <w:adjustRightInd w:val="0"/>
        <w:snapToGrid w:val="0"/>
        <w:spacing w:line="276" w:lineRule="auto"/>
        <w:ind w:firstLine="482" w:firstLineChars="200"/>
        <w:jc w:val="center"/>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表10.1-2  环境管理工作计划表</w:t>
      </w:r>
    </w:p>
    <w:tbl>
      <w:tblPr>
        <w:tblStyle w:val="7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403"/>
        <w:gridCol w:w="76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1403" w:type="dxa"/>
            <w:vAlign w:val="center"/>
          </w:tcPr>
          <w:p>
            <w:pPr>
              <w:autoSpaceDE w:val="0"/>
              <w:autoSpaceDN w:val="0"/>
              <w:adjustRightInd w:val="0"/>
              <w:snapToGrid w:val="0"/>
              <w:jc w:val="center"/>
              <w:rPr>
                <w:rFonts w:ascii="Times New Roman" w:hAnsi="Times New Roman" w:eastAsiaTheme="minorEastAsia"/>
                <w:b/>
                <w:color w:val="000000" w:themeColor="text1"/>
                <w:kern w:val="0"/>
                <w14:textFill>
                  <w14:solidFill>
                    <w14:schemeClr w14:val="tx1"/>
                  </w14:solidFill>
                </w14:textFill>
              </w:rPr>
            </w:pPr>
            <w:r>
              <w:rPr>
                <w:rFonts w:ascii="Times New Roman" w:hAnsi="Times New Roman" w:eastAsiaTheme="minorEastAsia"/>
                <w:b/>
                <w:color w:val="000000" w:themeColor="text1"/>
                <w:kern w:val="0"/>
                <w14:textFill>
                  <w14:solidFill>
                    <w14:schemeClr w14:val="tx1"/>
                  </w14:solidFill>
                </w14:textFill>
              </w:rPr>
              <w:t>情况</w:t>
            </w:r>
          </w:p>
        </w:tc>
        <w:tc>
          <w:tcPr>
            <w:tcW w:w="7637" w:type="dxa"/>
            <w:vAlign w:val="center"/>
          </w:tcPr>
          <w:p>
            <w:pPr>
              <w:autoSpaceDE w:val="0"/>
              <w:autoSpaceDN w:val="0"/>
              <w:adjustRightInd w:val="0"/>
              <w:snapToGrid w:val="0"/>
              <w:jc w:val="center"/>
              <w:rPr>
                <w:rFonts w:ascii="Times New Roman" w:hAnsi="Times New Roman" w:eastAsiaTheme="minorEastAsia"/>
                <w:b/>
                <w:color w:val="000000" w:themeColor="text1"/>
                <w:kern w:val="0"/>
                <w14:textFill>
                  <w14:solidFill>
                    <w14:schemeClr w14:val="tx1"/>
                  </w14:solidFill>
                </w14:textFill>
              </w:rPr>
            </w:pPr>
            <w:r>
              <w:rPr>
                <w:rFonts w:ascii="Times New Roman" w:hAnsi="Times New Roman" w:eastAsiaTheme="minorEastAsia"/>
                <w:b/>
                <w:kern w:val="0"/>
              </w:rPr>
              <w:t>环境管理工作内容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03" w:type="dxa"/>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kern w:val="0"/>
              </w:rPr>
              <w:t>企业环境管理总要求</w:t>
            </w:r>
          </w:p>
        </w:tc>
        <w:tc>
          <w:tcPr>
            <w:tcW w:w="7637" w:type="dxa"/>
            <w:vAlign w:val="center"/>
          </w:tcPr>
          <w:p>
            <w:pPr>
              <w:autoSpaceDE w:val="0"/>
              <w:autoSpaceDN w:val="0"/>
              <w:adjustRightInd w:val="0"/>
              <w:snapToGrid w:val="0"/>
              <w:jc w:val="left"/>
              <w:rPr>
                <w:rFonts w:ascii="Times New Roman" w:hAnsi="Times New Roman" w:eastAsiaTheme="minorEastAsia"/>
                <w:kern w:val="0"/>
              </w:rPr>
            </w:pPr>
            <w:r>
              <w:rPr>
                <w:rFonts w:ascii="Times New Roman" w:hAnsi="Times New Roman" w:eastAsiaTheme="minorEastAsia"/>
                <w:kern w:val="0"/>
              </w:rPr>
              <w:t>根据国家建设项目环境保护管理规定，认真落实各项环保手续</w:t>
            </w:r>
          </w:p>
          <w:p>
            <w:pPr>
              <w:autoSpaceDE w:val="0"/>
              <w:autoSpaceDN w:val="0"/>
              <w:adjustRightInd w:val="0"/>
              <w:snapToGrid w:val="0"/>
              <w:jc w:val="left"/>
              <w:rPr>
                <w:rFonts w:ascii="Times New Roman" w:hAnsi="Times New Roman" w:eastAsiaTheme="minorEastAsia"/>
                <w:kern w:val="0"/>
              </w:rPr>
            </w:pPr>
            <w:r>
              <w:rPr>
                <w:rFonts w:hint="eastAsia" w:ascii="宋体" w:hAnsi="宋体" w:cs="宋体"/>
                <w:kern w:val="0"/>
              </w:rPr>
              <w:t>⑴</w:t>
            </w:r>
            <w:r>
              <w:rPr>
                <w:rFonts w:ascii="Times New Roman" w:hAnsi="Times New Roman" w:eastAsiaTheme="minorEastAsia"/>
                <w:kern w:val="0"/>
              </w:rPr>
              <w:t xml:space="preserve"> 可研阶段，委托评价单位进行环境影响评价工作；</w:t>
            </w:r>
          </w:p>
          <w:p>
            <w:pPr>
              <w:autoSpaceDE w:val="0"/>
              <w:autoSpaceDN w:val="0"/>
              <w:adjustRightInd w:val="0"/>
              <w:snapToGrid w:val="0"/>
              <w:jc w:val="left"/>
              <w:rPr>
                <w:rFonts w:ascii="Times New Roman" w:hAnsi="Times New Roman" w:eastAsiaTheme="minorEastAsia"/>
                <w:kern w:val="0"/>
              </w:rPr>
            </w:pPr>
            <w:r>
              <w:rPr>
                <w:rFonts w:hint="eastAsia" w:ascii="宋体" w:hAnsi="宋体" w:cs="宋体"/>
                <w:kern w:val="0"/>
              </w:rPr>
              <w:t>⑵</w:t>
            </w:r>
            <w:r>
              <w:rPr>
                <w:rFonts w:ascii="Times New Roman" w:hAnsi="Times New Roman" w:eastAsiaTheme="minorEastAsia"/>
                <w:kern w:val="0"/>
              </w:rPr>
              <w:t xml:space="preserve"> 开工前，履行”三同时”手续；</w:t>
            </w:r>
          </w:p>
          <w:p>
            <w:pPr>
              <w:autoSpaceDE w:val="0"/>
              <w:autoSpaceDN w:val="0"/>
              <w:adjustRightInd w:val="0"/>
              <w:snapToGrid w:val="0"/>
              <w:jc w:val="left"/>
              <w:rPr>
                <w:rFonts w:ascii="Times New Roman" w:hAnsi="Times New Roman" w:eastAsiaTheme="minorEastAsia"/>
                <w:kern w:val="0"/>
              </w:rPr>
            </w:pPr>
            <w:r>
              <w:rPr>
                <w:rFonts w:hint="eastAsia" w:ascii="宋体" w:hAnsi="宋体" w:cs="宋体"/>
                <w:kern w:val="0"/>
              </w:rPr>
              <w:t>⑶</w:t>
            </w:r>
            <w:r>
              <w:rPr>
                <w:rFonts w:ascii="Times New Roman" w:hAnsi="Times New Roman" w:eastAsiaTheme="minorEastAsia"/>
                <w:kern w:val="0"/>
              </w:rPr>
              <w:t xml:space="preserve"> 生产装置投产后试生产三个月内，进行环保设施竣工验收；</w:t>
            </w:r>
          </w:p>
          <w:p>
            <w:pPr>
              <w:autoSpaceDE w:val="0"/>
              <w:autoSpaceDN w:val="0"/>
              <w:adjustRightInd w:val="0"/>
              <w:snapToGrid w:val="0"/>
              <w:jc w:val="left"/>
              <w:rPr>
                <w:rFonts w:ascii="Times New Roman" w:hAnsi="Times New Roman" w:eastAsiaTheme="minorEastAsia"/>
                <w:color w:val="000000" w:themeColor="text1"/>
                <w:kern w:val="0"/>
                <w14:textFill>
                  <w14:solidFill>
                    <w14:schemeClr w14:val="tx1"/>
                  </w14:solidFill>
                </w14:textFill>
              </w:rPr>
            </w:pPr>
            <w:r>
              <w:rPr>
                <w:rFonts w:hint="eastAsia" w:ascii="宋体" w:hAnsi="宋体" w:cs="宋体"/>
                <w:kern w:val="0"/>
              </w:rPr>
              <w:t>⑷</w:t>
            </w:r>
            <w:r>
              <w:rPr>
                <w:rFonts w:ascii="Times New Roman" w:hAnsi="Times New Roman" w:eastAsiaTheme="minorEastAsia"/>
                <w:kern w:val="0"/>
              </w:rPr>
              <w:t xml:space="preserve"> 生产中，定期请当地环保部门监督、检查，协助主管部门做好环境管理工作，对不达标装置及时整改。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03" w:type="dxa"/>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kern w:val="0"/>
              </w:rPr>
              <w:t>设计阶段</w:t>
            </w:r>
          </w:p>
        </w:tc>
        <w:tc>
          <w:tcPr>
            <w:tcW w:w="7637" w:type="dxa"/>
            <w:vAlign w:val="center"/>
          </w:tcPr>
          <w:p>
            <w:pPr>
              <w:autoSpaceDE w:val="0"/>
              <w:autoSpaceDN w:val="0"/>
              <w:adjustRightInd w:val="0"/>
              <w:snapToGrid w:val="0"/>
              <w:jc w:val="left"/>
              <w:rPr>
                <w:rFonts w:ascii="Times New Roman" w:hAnsi="Times New Roman" w:eastAsiaTheme="minorEastAsia"/>
                <w:kern w:val="0"/>
              </w:rPr>
            </w:pPr>
            <w:r>
              <w:rPr>
                <w:rFonts w:ascii="Times New Roman" w:hAnsi="Times New Roman" w:eastAsiaTheme="minorEastAsia"/>
                <w:kern w:val="0"/>
              </w:rPr>
              <w:t>设计中充分考虑批复后环评报告书中提出的环保设施和措施</w:t>
            </w:r>
          </w:p>
          <w:p>
            <w:pPr>
              <w:autoSpaceDE w:val="0"/>
              <w:autoSpaceDN w:val="0"/>
              <w:adjustRightInd w:val="0"/>
              <w:snapToGrid w:val="0"/>
              <w:jc w:val="left"/>
              <w:rPr>
                <w:rFonts w:ascii="Times New Roman" w:hAnsi="Times New Roman" w:eastAsiaTheme="minorEastAsia"/>
                <w:kern w:val="0"/>
              </w:rPr>
            </w:pPr>
            <w:r>
              <w:rPr>
                <w:rFonts w:hint="eastAsia" w:ascii="宋体" w:hAnsi="宋体" w:cs="宋体"/>
                <w:kern w:val="0"/>
              </w:rPr>
              <w:t>⑴</w:t>
            </w:r>
            <w:r>
              <w:rPr>
                <w:rFonts w:ascii="Times New Roman" w:hAnsi="Times New Roman" w:eastAsiaTheme="minorEastAsia"/>
                <w:kern w:val="0"/>
              </w:rPr>
              <w:t xml:space="preserve"> 设计委托合同中标明环保设施设计；</w:t>
            </w:r>
          </w:p>
          <w:p>
            <w:pPr>
              <w:autoSpaceDE w:val="0"/>
              <w:autoSpaceDN w:val="0"/>
              <w:adjustRightInd w:val="0"/>
              <w:snapToGrid w:val="0"/>
              <w:jc w:val="left"/>
              <w:rPr>
                <w:rFonts w:ascii="Times New Roman" w:hAnsi="Times New Roman" w:eastAsiaTheme="minorEastAsia"/>
                <w:color w:val="000000" w:themeColor="text1"/>
                <w:kern w:val="0"/>
                <w14:textFill>
                  <w14:solidFill>
                    <w14:schemeClr w14:val="tx1"/>
                  </w14:solidFill>
                </w14:textFill>
              </w:rPr>
            </w:pPr>
            <w:r>
              <w:rPr>
                <w:rFonts w:hint="eastAsia" w:ascii="宋体" w:hAnsi="宋体" w:cs="宋体"/>
                <w:kern w:val="0"/>
              </w:rPr>
              <w:t>⑵</w:t>
            </w:r>
            <w:r>
              <w:rPr>
                <w:rFonts w:ascii="Times New Roman" w:hAnsi="Times New Roman" w:eastAsiaTheme="minorEastAsia"/>
                <w:kern w:val="0"/>
              </w:rPr>
              <w:t xml:space="preserve"> 设计部门充分调研，比较提出先进、合理的环保设备和设施。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03" w:type="dxa"/>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kern w:val="0"/>
              </w:rPr>
              <w:t>施工阶段</w:t>
            </w:r>
          </w:p>
        </w:tc>
        <w:tc>
          <w:tcPr>
            <w:tcW w:w="7637" w:type="dxa"/>
            <w:vAlign w:val="center"/>
          </w:tcPr>
          <w:p>
            <w:pPr>
              <w:autoSpaceDE w:val="0"/>
              <w:autoSpaceDN w:val="0"/>
              <w:adjustRightInd w:val="0"/>
              <w:snapToGrid w:val="0"/>
              <w:jc w:val="left"/>
              <w:rPr>
                <w:rFonts w:ascii="Times New Roman" w:hAnsi="Times New Roman" w:eastAsiaTheme="minorEastAsia"/>
                <w:kern w:val="0"/>
              </w:rPr>
            </w:pPr>
            <w:r>
              <w:rPr>
                <w:rFonts w:hint="eastAsia" w:ascii="宋体" w:hAnsi="宋体" w:cs="宋体"/>
                <w:kern w:val="0"/>
              </w:rPr>
              <w:t>⑴</w:t>
            </w:r>
            <w:r>
              <w:rPr>
                <w:rFonts w:ascii="Times New Roman" w:hAnsi="Times New Roman" w:eastAsiaTheme="minorEastAsia"/>
                <w:kern w:val="0"/>
              </w:rPr>
              <w:t xml:space="preserve"> 工程合同中明确要求及时清理施工垃圾、废水；</w:t>
            </w:r>
          </w:p>
          <w:p>
            <w:pPr>
              <w:autoSpaceDE w:val="0"/>
              <w:autoSpaceDN w:val="0"/>
              <w:adjustRightInd w:val="0"/>
              <w:snapToGrid w:val="0"/>
              <w:jc w:val="left"/>
              <w:rPr>
                <w:rFonts w:ascii="Times New Roman" w:hAnsi="Times New Roman" w:eastAsiaTheme="minorEastAsia"/>
                <w:kern w:val="0"/>
              </w:rPr>
            </w:pPr>
            <w:r>
              <w:rPr>
                <w:rFonts w:hint="eastAsia" w:ascii="宋体" w:hAnsi="宋体" w:cs="宋体"/>
                <w:kern w:val="0"/>
              </w:rPr>
              <w:t>⑵</w:t>
            </w:r>
            <w:r>
              <w:rPr>
                <w:rFonts w:ascii="Times New Roman" w:hAnsi="Times New Roman" w:eastAsiaTheme="minorEastAsia"/>
                <w:kern w:val="0"/>
              </w:rPr>
              <w:t xml:space="preserve"> 保证施工期噪声不扰民；</w:t>
            </w:r>
          </w:p>
          <w:p>
            <w:pPr>
              <w:autoSpaceDE w:val="0"/>
              <w:autoSpaceDN w:val="0"/>
              <w:adjustRightInd w:val="0"/>
              <w:snapToGrid w:val="0"/>
              <w:jc w:val="left"/>
              <w:rPr>
                <w:rFonts w:ascii="Times New Roman" w:hAnsi="Times New Roman" w:eastAsiaTheme="minorEastAsia"/>
                <w:color w:val="000000" w:themeColor="text1"/>
                <w:kern w:val="0"/>
                <w14:textFill>
                  <w14:solidFill>
                    <w14:schemeClr w14:val="tx1"/>
                  </w14:solidFill>
                </w14:textFill>
              </w:rPr>
            </w:pPr>
            <w:r>
              <w:rPr>
                <w:rFonts w:hint="eastAsia" w:ascii="宋体" w:hAnsi="宋体" w:cs="宋体"/>
                <w:kern w:val="0"/>
              </w:rPr>
              <w:t>⑶</w:t>
            </w:r>
            <w:r>
              <w:rPr>
                <w:rFonts w:ascii="Times New Roman" w:hAnsi="Times New Roman" w:eastAsiaTheme="minorEastAsia"/>
                <w:kern w:val="0"/>
              </w:rPr>
              <w:t xml:space="preserve"> 施工期运输车辆需加盖蓬布。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03" w:type="dxa"/>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kern w:val="0"/>
              </w:rPr>
              <w:t>生产运营阶段</w:t>
            </w:r>
          </w:p>
        </w:tc>
        <w:tc>
          <w:tcPr>
            <w:tcW w:w="7637" w:type="dxa"/>
            <w:vAlign w:val="center"/>
          </w:tcPr>
          <w:p>
            <w:pPr>
              <w:autoSpaceDE w:val="0"/>
              <w:autoSpaceDN w:val="0"/>
              <w:adjustRightInd w:val="0"/>
              <w:snapToGrid w:val="0"/>
              <w:jc w:val="left"/>
              <w:rPr>
                <w:rFonts w:ascii="Times New Roman" w:hAnsi="Times New Roman" w:eastAsiaTheme="minorEastAsia"/>
                <w:kern w:val="0"/>
              </w:rPr>
            </w:pPr>
            <w:r>
              <w:rPr>
                <w:rFonts w:ascii="Times New Roman" w:hAnsi="Times New Roman" w:eastAsiaTheme="minorEastAsia"/>
                <w:kern w:val="0"/>
              </w:rPr>
              <w:t>保证环保设施正常运行，主动接受环保部门监督，备有事故应急措施</w:t>
            </w:r>
          </w:p>
          <w:p>
            <w:pPr>
              <w:autoSpaceDE w:val="0"/>
              <w:autoSpaceDN w:val="0"/>
              <w:adjustRightInd w:val="0"/>
              <w:snapToGrid w:val="0"/>
              <w:jc w:val="left"/>
              <w:rPr>
                <w:rFonts w:ascii="Times New Roman" w:hAnsi="Times New Roman" w:eastAsiaTheme="minorEastAsia"/>
                <w:kern w:val="0"/>
              </w:rPr>
            </w:pPr>
            <w:r>
              <w:rPr>
                <w:rFonts w:hint="eastAsia" w:ascii="宋体" w:hAnsi="宋体" w:cs="宋体"/>
                <w:kern w:val="0"/>
              </w:rPr>
              <w:t>⑴</w:t>
            </w:r>
            <w:r>
              <w:rPr>
                <w:rFonts w:ascii="Times New Roman" w:hAnsi="Times New Roman" w:eastAsiaTheme="minorEastAsia"/>
                <w:kern w:val="0"/>
              </w:rPr>
              <w:t xml:space="preserve"> 主管副经理全面负责环保工作；</w:t>
            </w:r>
          </w:p>
          <w:p>
            <w:pPr>
              <w:autoSpaceDE w:val="0"/>
              <w:autoSpaceDN w:val="0"/>
              <w:adjustRightInd w:val="0"/>
              <w:snapToGrid w:val="0"/>
              <w:jc w:val="left"/>
              <w:rPr>
                <w:rFonts w:ascii="Times New Roman" w:hAnsi="Times New Roman" w:eastAsiaTheme="minorEastAsia"/>
                <w:kern w:val="0"/>
              </w:rPr>
            </w:pPr>
            <w:r>
              <w:rPr>
                <w:rFonts w:hint="eastAsia" w:ascii="宋体" w:hAnsi="宋体" w:cs="宋体"/>
                <w:kern w:val="0"/>
              </w:rPr>
              <w:t>⑵</w:t>
            </w:r>
            <w:r>
              <w:rPr>
                <w:rFonts w:ascii="Times New Roman" w:hAnsi="Times New Roman" w:eastAsiaTheme="minorEastAsia"/>
                <w:kern w:val="0"/>
              </w:rPr>
              <w:t xml:space="preserve"> 环保科负责厂内环保设施的管理和维护；</w:t>
            </w:r>
          </w:p>
          <w:p>
            <w:pPr>
              <w:autoSpaceDE w:val="0"/>
              <w:autoSpaceDN w:val="0"/>
              <w:adjustRightInd w:val="0"/>
              <w:snapToGrid w:val="0"/>
              <w:jc w:val="left"/>
              <w:rPr>
                <w:rFonts w:ascii="Times New Roman" w:hAnsi="Times New Roman" w:eastAsiaTheme="minorEastAsia"/>
                <w:kern w:val="0"/>
              </w:rPr>
            </w:pPr>
            <w:r>
              <w:rPr>
                <w:rFonts w:hint="eastAsia" w:ascii="宋体" w:hAnsi="宋体" w:cs="宋体"/>
                <w:kern w:val="0"/>
              </w:rPr>
              <w:t>⑶</w:t>
            </w:r>
            <w:r>
              <w:rPr>
                <w:rFonts w:ascii="Times New Roman" w:hAnsi="Times New Roman" w:eastAsiaTheme="minorEastAsia"/>
                <w:kern w:val="0"/>
              </w:rPr>
              <w:t xml:space="preserve"> 对废气的治理、废水的治理及减振降噪设施，建立环保设施档案；</w:t>
            </w:r>
          </w:p>
          <w:p>
            <w:pPr>
              <w:autoSpaceDE w:val="0"/>
              <w:autoSpaceDN w:val="0"/>
              <w:adjustRightInd w:val="0"/>
              <w:snapToGrid w:val="0"/>
              <w:jc w:val="left"/>
              <w:rPr>
                <w:rFonts w:ascii="Times New Roman" w:hAnsi="Times New Roman" w:eastAsiaTheme="minorEastAsia"/>
                <w:kern w:val="0"/>
              </w:rPr>
            </w:pPr>
            <w:r>
              <w:rPr>
                <w:rFonts w:hint="eastAsia" w:ascii="宋体" w:hAnsi="宋体" w:cs="宋体"/>
                <w:kern w:val="0"/>
              </w:rPr>
              <w:t>⑷</w:t>
            </w:r>
            <w:r>
              <w:rPr>
                <w:rFonts w:ascii="Times New Roman" w:hAnsi="Times New Roman" w:eastAsiaTheme="minorEastAsia"/>
                <w:kern w:val="0"/>
              </w:rPr>
              <w:t xml:space="preserve"> 定期组织污染源和厂区环境监测；</w:t>
            </w:r>
          </w:p>
          <w:p>
            <w:pPr>
              <w:autoSpaceDE w:val="0"/>
              <w:autoSpaceDN w:val="0"/>
              <w:adjustRightInd w:val="0"/>
              <w:snapToGrid w:val="0"/>
              <w:jc w:val="left"/>
              <w:rPr>
                <w:rFonts w:ascii="Times New Roman" w:hAnsi="Times New Roman" w:eastAsiaTheme="minorEastAsia"/>
                <w:color w:val="000000" w:themeColor="text1"/>
                <w:kern w:val="0"/>
                <w14:textFill>
                  <w14:solidFill>
                    <w14:schemeClr w14:val="tx1"/>
                  </w14:solidFill>
                </w14:textFill>
              </w:rPr>
            </w:pPr>
            <w:r>
              <w:rPr>
                <w:rFonts w:hint="eastAsia" w:ascii="宋体" w:hAnsi="宋体" w:cs="宋体"/>
                <w:kern w:val="0"/>
              </w:rPr>
              <w:t>⑸</w:t>
            </w:r>
            <w:r>
              <w:rPr>
                <w:rFonts w:ascii="Times New Roman" w:hAnsi="Times New Roman" w:eastAsiaTheme="minorEastAsia"/>
                <w:kern w:val="0"/>
              </w:rPr>
              <w:t xml:space="preserve"> 事故应急方案合理，应急设备设施齐备、完好。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03" w:type="dxa"/>
            <w:vAlign w:val="center"/>
          </w:tcPr>
          <w:p>
            <w:pPr>
              <w:autoSpaceDE w:val="0"/>
              <w:autoSpaceDN w:val="0"/>
              <w:adjustRightInd w:val="0"/>
              <w:snapToGrid w:val="0"/>
              <w:jc w:val="center"/>
              <w:rPr>
                <w:rFonts w:ascii="Times New Roman" w:hAnsi="Times New Roman" w:eastAsiaTheme="minorEastAsia"/>
                <w:color w:val="000000" w:themeColor="text1"/>
                <w:kern w:val="0"/>
                <w14:textFill>
                  <w14:solidFill>
                    <w14:schemeClr w14:val="tx1"/>
                  </w14:solidFill>
                </w14:textFill>
              </w:rPr>
            </w:pPr>
            <w:r>
              <w:rPr>
                <w:rFonts w:ascii="Times New Roman" w:hAnsi="Times New Roman" w:eastAsiaTheme="minorEastAsia"/>
                <w:kern w:val="0"/>
              </w:rPr>
              <w:t>信息反馈和群众监督</w:t>
            </w:r>
          </w:p>
        </w:tc>
        <w:tc>
          <w:tcPr>
            <w:tcW w:w="7637" w:type="dxa"/>
            <w:vAlign w:val="center"/>
          </w:tcPr>
          <w:p>
            <w:pPr>
              <w:autoSpaceDE w:val="0"/>
              <w:autoSpaceDN w:val="0"/>
              <w:adjustRightInd w:val="0"/>
              <w:snapToGrid w:val="0"/>
              <w:jc w:val="left"/>
              <w:rPr>
                <w:rFonts w:ascii="Times New Roman" w:hAnsi="Times New Roman" w:eastAsiaTheme="minorEastAsia"/>
                <w:kern w:val="0"/>
              </w:rPr>
            </w:pPr>
            <w:r>
              <w:rPr>
                <w:rFonts w:ascii="Times New Roman" w:hAnsi="Times New Roman" w:eastAsiaTheme="minorEastAsia"/>
                <w:kern w:val="0"/>
              </w:rPr>
              <w:t>反馈监测数据，加强群众监督，改进污染治理工作。</w:t>
            </w:r>
          </w:p>
          <w:p>
            <w:pPr>
              <w:autoSpaceDE w:val="0"/>
              <w:autoSpaceDN w:val="0"/>
              <w:adjustRightInd w:val="0"/>
              <w:snapToGrid w:val="0"/>
              <w:jc w:val="left"/>
              <w:rPr>
                <w:rFonts w:ascii="Times New Roman" w:hAnsi="Times New Roman" w:eastAsiaTheme="minorEastAsia"/>
                <w:kern w:val="0"/>
              </w:rPr>
            </w:pPr>
            <w:r>
              <w:rPr>
                <w:rFonts w:hint="eastAsia" w:ascii="宋体" w:hAnsi="宋体" w:cs="宋体"/>
                <w:kern w:val="0"/>
              </w:rPr>
              <w:t>⑴</w:t>
            </w:r>
            <w:r>
              <w:rPr>
                <w:rFonts w:ascii="Times New Roman" w:hAnsi="Times New Roman" w:eastAsiaTheme="minorEastAsia"/>
                <w:kern w:val="0"/>
              </w:rPr>
              <w:t xml:space="preserve"> 建立奖惩制度，保证环保设施正常运转；</w:t>
            </w:r>
          </w:p>
          <w:p>
            <w:pPr>
              <w:autoSpaceDE w:val="0"/>
              <w:autoSpaceDN w:val="0"/>
              <w:adjustRightInd w:val="0"/>
              <w:snapToGrid w:val="0"/>
              <w:jc w:val="left"/>
              <w:rPr>
                <w:rFonts w:ascii="Times New Roman" w:hAnsi="Times New Roman" w:eastAsiaTheme="minorEastAsia"/>
                <w:kern w:val="0"/>
              </w:rPr>
            </w:pPr>
            <w:r>
              <w:rPr>
                <w:rFonts w:hint="eastAsia" w:ascii="宋体" w:hAnsi="宋体" w:cs="宋体"/>
                <w:kern w:val="0"/>
              </w:rPr>
              <w:t>⑵</w:t>
            </w:r>
            <w:r>
              <w:rPr>
                <w:rFonts w:ascii="Times New Roman" w:hAnsi="Times New Roman" w:eastAsiaTheme="minorEastAsia"/>
                <w:kern w:val="0"/>
              </w:rPr>
              <w:t xml:space="preserve"> 归纳整理监测数据，技术部门配合进行工艺改进；</w:t>
            </w:r>
          </w:p>
          <w:p>
            <w:pPr>
              <w:autoSpaceDE w:val="0"/>
              <w:autoSpaceDN w:val="0"/>
              <w:adjustRightInd w:val="0"/>
              <w:snapToGrid w:val="0"/>
              <w:jc w:val="left"/>
              <w:rPr>
                <w:rFonts w:ascii="Times New Roman" w:hAnsi="Times New Roman" w:eastAsiaTheme="minorEastAsia"/>
                <w:kern w:val="0"/>
              </w:rPr>
            </w:pPr>
            <w:r>
              <w:rPr>
                <w:rFonts w:hint="eastAsia" w:ascii="宋体" w:hAnsi="宋体" w:cs="宋体"/>
                <w:kern w:val="0"/>
              </w:rPr>
              <w:t>⑶</w:t>
            </w:r>
            <w:r>
              <w:rPr>
                <w:rFonts w:ascii="Times New Roman" w:hAnsi="Times New Roman" w:eastAsiaTheme="minorEastAsia"/>
                <w:kern w:val="0"/>
              </w:rPr>
              <w:t xml:space="preserve"> 聘请附近村民为监督员，收集附近村民意见；</w:t>
            </w:r>
          </w:p>
          <w:p>
            <w:pPr>
              <w:autoSpaceDE w:val="0"/>
              <w:autoSpaceDN w:val="0"/>
              <w:adjustRightInd w:val="0"/>
              <w:snapToGrid w:val="0"/>
              <w:jc w:val="left"/>
              <w:rPr>
                <w:rFonts w:ascii="Times New Roman" w:hAnsi="Times New Roman" w:eastAsiaTheme="minorEastAsia"/>
                <w:color w:val="000000" w:themeColor="text1"/>
                <w:kern w:val="0"/>
                <w14:textFill>
                  <w14:solidFill>
                    <w14:schemeClr w14:val="tx1"/>
                  </w14:solidFill>
                </w14:textFill>
              </w:rPr>
            </w:pPr>
            <w:r>
              <w:rPr>
                <w:rFonts w:hint="eastAsia" w:ascii="宋体" w:hAnsi="宋体" w:cs="宋体"/>
                <w:kern w:val="0"/>
              </w:rPr>
              <w:t>⑷</w:t>
            </w:r>
            <w:r>
              <w:rPr>
                <w:rFonts w:ascii="Times New Roman" w:hAnsi="Times New Roman" w:eastAsiaTheme="minorEastAsia"/>
                <w:kern w:val="0"/>
              </w:rPr>
              <w:t xml:space="preserve"> 配合环保部门的检查验收。</w:t>
            </w:r>
          </w:p>
        </w:tc>
      </w:tr>
    </w:tbl>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p>
    <w:p>
      <w:pPr>
        <w:autoSpaceDE w:val="0"/>
        <w:autoSpaceDN w:val="0"/>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5、环保奖惩制度</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各级管理人员都应树立保护环境的思想，企业也应设置环境保护奖惩条例。对爱护环保治理设施、节省原料、改善工作环境者实行奖励；对于环保观念淡薄，不按环保要求管理，造成环保设施损坏、环境污染及原材料浪费者一律予以重罚。</w:t>
      </w:r>
    </w:p>
    <w:p>
      <w:pPr>
        <w:autoSpaceDE w:val="0"/>
        <w:autoSpaceDN w:val="0"/>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6、建立ISO14000体系</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建议将ISO14000标准纳入公司日常管理工作中，争取早日通过ISO14000认证。</w:t>
      </w:r>
    </w:p>
    <w:p>
      <w:pPr>
        <w:autoSpaceDE w:val="0"/>
        <w:autoSpaceDN w:val="0"/>
        <w:adjustRightInd w:val="0"/>
        <w:snapToGrid w:val="0"/>
        <w:spacing w:line="360" w:lineRule="auto"/>
        <w:ind w:firstLine="482" w:firstLineChars="200"/>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7、定期向社会公开本项目以下信息内容</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⑴</w:t>
      </w:r>
      <w:r>
        <w:rPr>
          <w:rFonts w:ascii="Times New Roman" w:hAnsi="Times New Roman" w:eastAsiaTheme="minorEastAsia"/>
          <w:color w:val="000000" w:themeColor="text1"/>
          <w:kern w:val="0"/>
          <w:sz w:val="24"/>
          <w:szCs w:val="24"/>
          <w14:textFill>
            <w14:solidFill>
              <w14:schemeClr w14:val="tx1"/>
            </w14:solidFill>
          </w14:textFill>
        </w:rPr>
        <w:t xml:space="preserve"> 基础信息，包括单位名称、组织机构代码、法定代表人、生产地址、联系方式，以及生产经营和管理服务的主要内容、产品及规模；</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⑵</w:t>
      </w:r>
      <w:r>
        <w:rPr>
          <w:rFonts w:ascii="Times New Roman" w:hAnsi="Times New Roman" w:eastAsiaTheme="minorEastAsia"/>
          <w:color w:val="000000" w:themeColor="text1"/>
          <w:kern w:val="0"/>
          <w:sz w:val="24"/>
          <w:szCs w:val="24"/>
          <w14:textFill>
            <w14:solidFill>
              <w14:schemeClr w14:val="tx1"/>
            </w14:solidFill>
          </w14:textFill>
        </w:rPr>
        <w:t xml:space="preserve"> 排污信息，包括主要污染物及特征污染物的名称、排放方式、排放口数量和分布情况、排放浓度和总量、执行的污染物排放标准、核定的排放总量；</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⑶</w:t>
      </w:r>
      <w:r>
        <w:rPr>
          <w:rFonts w:ascii="Times New Roman" w:hAnsi="Times New Roman" w:eastAsiaTheme="minorEastAsia"/>
          <w:color w:val="000000" w:themeColor="text1"/>
          <w:kern w:val="0"/>
          <w:sz w:val="24"/>
          <w:szCs w:val="24"/>
          <w14:textFill>
            <w14:solidFill>
              <w14:schemeClr w14:val="tx1"/>
            </w14:solidFill>
          </w14:textFill>
        </w:rPr>
        <w:t xml:space="preserve"> 防治污染设施的建设和运行情况；</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⑷</w:t>
      </w:r>
      <w:r>
        <w:rPr>
          <w:rFonts w:ascii="Times New Roman" w:hAnsi="Times New Roman" w:eastAsiaTheme="minorEastAsia"/>
          <w:color w:val="000000" w:themeColor="text1"/>
          <w:kern w:val="0"/>
          <w:sz w:val="24"/>
          <w:szCs w:val="24"/>
          <w14:textFill>
            <w14:solidFill>
              <w14:schemeClr w14:val="tx1"/>
            </w14:solidFill>
          </w14:textFill>
        </w:rPr>
        <w:t xml:space="preserve"> 建设项目环境影响评价及其他环境保护行政许可情况；</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⑸</w:t>
      </w:r>
      <w:r>
        <w:rPr>
          <w:rFonts w:ascii="Times New Roman" w:hAnsi="Times New Roman" w:eastAsiaTheme="minorEastAsia"/>
          <w:color w:val="000000" w:themeColor="text1"/>
          <w:kern w:val="0"/>
          <w:sz w:val="24"/>
          <w:szCs w:val="24"/>
          <w14:textFill>
            <w14:solidFill>
              <w14:schemeClr w14:val="tx1"/>
            </w14:solidFill>
          </w14:textFill>
        </w:rPr>
        <w:t xml:space="preserve"> 突发环境事件应急预案；</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⑹</w:t>
      </w:r>
      <w:r>
        <w:rPr>
          <w:rFonts w:ascii="Times New Roman" w:hAnsi="Times New Roman" w:eastAsiaTheme="minorEastAsia"/>
          <w:color w:val="000000" w:themeColor="text1"/>
          <w:kern w:val="0"/>
          <w:sz w:val="24"/>
          <w:szCs w:val="24"/>
          <w14:textFill>
            <w14:solidFill>
              <w14:schemeClr w14:val="tx1"/>
            </w14:solidFill>
          </w14:textFill>
        </w:rPr>
        <w:t xml:space="preserve"> 其他应当公开的环境信息。</w:t>
      </w:r>
    </w:p>
    <w:p>
      <w:pPr>
        <w:pStyle w:val="3"/>
        <w:rPr>
          <w:rFonts w:ascii="Times New Roman" w:hAnsi="Times New Roman" w:eastAsiaTheme="minorEastAsia"/>
          <w:b/>
          <w:color w:val="000000" w:themeColor="text1"/>
          <w14:textFill>
            <w14:solidFill>
              <w14:schemeClr w14:val="tx1"/>
            </w14:solidFill>
          </w14:textFill>
        </w:rPr>
      </w:pPr>
      <w:bookmarkStart w:id="421" w:name="_Toc30723"/>
      <w:r>
        <w:rPr>
          <w:rFonts w:ascii="Times New Roman" w:hAnsi="Times New Roman" w:eastAsiaTheme="minorEastAsia"/>
          <w:b/>
          <w:color w:val="000000" w:themeColor="text1"/>
          <w14:textFill>
            <w14:solidFill>
              <w14:schemeClr w14:val="tx1"/>
            </w14:solidFill>
          </w14:textFill>
        </w:rPr>
        <w:t>环境监测</w:t>
      </w:r>
      <w:bookmarkEnd w:id="421"/>
    </w:p>
    <w:p>
      <w:pPr>
        <w:pStyle w:val="4"/>
        <w:rPr>
          <w:rFonts w:eastAsiaTheme="minorEastAsia"/>
          <w:color w:val="000000" w:themeColor="text1"/>
          <w14:textFill>
            <w14:solidFill>
              <w14:schemeClr w14:val="tx1"/>
            </w14:solidFill>
          </w14:textFill>
        </w:rPr>
      </w:pPr>
      <w:bookmarkStart w:id="422" w:name="_Toc171666280"/>
      <w:r>
        <w:rPr>
          <w:rFonts w:eastAsiaTheme="minorEastAsia"/>
          <w:color w:val="000000" w:themeColor="text1"/>
          <w14:textFill>
            <w14:solidFill>
              <w14:schemeClr w14:val="tx1"/>
            </w14:solidFill>
          </w14:textFill>
        </w:rPr>
        <w:t>环境监测的意义</w:t>
      </w:r>
      <w:bookmarkEnd w:id="422"/>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环境监测（包括污染源监测）是企业环境保护的重要组成部分，也是企业的一项规范化制度。根据环境监测结果进行数据整理分析，建立监测档案，可为掌握污染物排放变化规律及污染源治理提供依据，为上级环保部门进行区域环境规划、管理执法提供依据。同时，环境监测也是企业实现污染物总量控制，做到清洁生产的重要保障手段之一。</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具体细分职责如下：</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⑴</w:t>
      </w:r>
      <w:r>
        <w:rPr>
          <w:rFonts w:ascii="Times New Roman" w:hAnsi="Times New Roman"/>
          <w:color w:val="000000" w:themeColor="text1"/>
          <w:kern w:val="0"/>
          <w:sz w:val="24"/>
          <w:szCs w:val="24"/>
          <w14:textFill>
            <w14:solidFill>
              <w14:schemeClr w14:val="tx1"/>
            </w14:solidFill>
          </w14:textFill>
        </w:rPr>
        <w:t xml:space="preserve"> 制定环境监测年度计划和实施方案，并建立各项规章制度加以落实；</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⑵</w:t>
      </w:r>
      <w:r>
        <w:rPr>
          <w:rFonts w:ascii="Times New Roman" w:hAnsi="Times New Roman"/>
          <w:color w:val="000000" w:themeColor="text1"/>
          <w:kern w:val="0"/>
          <w:sz w:val="24"/>
          <w:szCs w:val="24"/>
          <w14:textFill>
            <w14:solidFill>
              <w14:schemeClr w14:val="tx1"/>
            </w14:solidFill>
          </w14:textFill>
        </w:rPr>
        <w:t xml:space="preserve"> 按时完成项目的环境监控计划规定的各项监控任务，并按有关规定编制报告表，负责做好呈报工作；</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⑶</w:t>
      </w:r>
      <w:r>
        <w:rPr>
          <w:rFonts w:ascii="Times New Roman" w:hAnsi="Times New Roman"/>
          <w:color w:val="000000" w:themeColor="text1"/>
          <w:kern w:val="0"/>
          <w:sz w:val="24"/>
          <w:szCs w:val="24"/>
          <w14:textFill>
            <w14:solidFill>
              <w14:schemeClr w14:val="tx1"/>
            </w14:solidFill>
          </w14:textFill>
        </w:rPr>
        <w:t xml:space="preserve"> 在项目出现突发性污染事故时，积极参与事故的调查和处理工作；</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⑷</w:t>
      </w:r>
      <w:r>
        <w:rPr>
          <w:rFonts w:ascii="Times New Roman" w:hAnsi="Times New Roman"/>
          <w:color w:val="000000" w:themeColor="text1"/>
          <w:kern w:val="0"/>
          <w:sz w:val="24"/>
          <w:szCs w:val="24"/>
          <w14:textFill>
            <w14:solidFill>
              <w14:schemeClr w14:val="tx1"/>
            </w14:solidFill>
          </w14:textFill>
        </w:rPr>
        <w:t xml:space="preserve"> 负责做好监测仪器的维护、保养和检验工作，确保监控工作的顺利进行；</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⑸</w:t>
      </w:r>
      <w:r>
        <w:rPr>
          <w:rFonts w:ascii="Times New Roman" w:hAnsi="Times New Roman"/>
          <w:color w:val="000000" w:themeColor="text1"/>
          <w:kern w:val="0"/>
          <w:sz w:val="24"/>
          <w:szCs w:val="24"/>
          <w14:textFill>
            <w14:solidFill>
              <w14:schemeClr w14:val="tx1"/>
            </w14:solidFill>
          </w14:textFill>
        </w:rPr>
        <w:t xml:space="preserve"> 组织并监督环境监测计划的实施；</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⑹</w:t>
      </w:r>
      <w:r>
        <w:rPr>
          <w:rFonts w:ascii="Times New Roman" w:hAnsi="Times New Roman"/>
          <w:color w:val="000000" w:themeColor="text1"/>
          <w:kern w:val="0"/>
          <w:sz w:val="24"/>
          <w:szCs w:val="24"/>
          <w14:textFill>
            <w14:solidFill>
              <w14:schemeClr w14:val="tx1"/>
            </w14:solidFill>
          </w14:textFill>
        </w:rPr>
        <w:t xml:space="preserve"> 在环境监测基础上，建立项目的污染源档案，了解项目污染物排放量、排放源强、排放规律及相关的污染治理、综合利用情况。</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环境监测内容</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环境监测是环境管理的基础，其主要职责是对本项目污染源和区域的环境质量进行监测，并对监测数据进行统计、分析，以便环境管理部门及时、准确地掌握本项目的排污状况及对环境的污染状况。</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本项目污染源及环境质量的监测工作建议由地方环境监测站或有资质的监测单位承担。监测结果按次、月、季、年编制报表，并由安全环保部派专人管理并存档。</w:t>
      </w:r>
    </w:p>
    <w:p>
      <w:pPr>
        <w:pStyle w:val="5"/>
        <w:rPr>
          <w:rFonts w:eastAsiaTheme="minorEastAsia"/>
        </w:rPr>
      </w:pPr>
      <w:r>
        <w:rPr>
          <w:rFonts w:eastAsiaTheme="minorEastAsia"/>
        </w:rPr>
        <w:t>环境质量监测内容</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本项目环境监测内容见表10.2-1。</w:t>
      </w:r>
    </w:p>
    <w:p>
      <w:pPr>
        <w:autoSpaceDE w:val="0"/>
        <w:autoSpaceDN w:val="0"/>
        <w:adjustRightInd w:val="0"/>
        <w:snapToGrid w:val="0"/>
        <w:spacing w:line="276" w:lineRule="auto"/>
        <w:ind w:firstLine="482" w:firstLineChars="200"/>
        <w:jc w:val="center"/>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表10.2-1  本项目环境监测内容一览表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832"/>
        <w:gridCol w:w="646"/>
        <w:gridCol w:w="2389"/>
        <w:gridCol w:w="2134"/>
        <w:gridCol w:w="1763"/>
        <w:gridCol w:w="13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12" w:type="pct"/>
            <w:gridSpan w:val="2"/>
            <w:tcMar>
              <w:left w:w="17" w:type="dxa"/>
              <w:right w:w="17" w:type="dxa"/>
            </w:tcMar>
            <w:vAlign w:val="center"/>
          </w:tcPr>
          <w:p>
            <w:pPr>
              <w:adjustRightInd w:val="0"/>
              <w:snapToGrid w:val="0"/>
              <w:jc w:val="center"/>
              <w:rPr>
                <w:rFonts w:ascii="Times New Roman" w:hAnsi="Times New Roman"/>
                <w:b/>
              </w:rPr>
            </w:pPr>
            <w:r>
              <w:rPr>
                <w:rFonts w:ascii="Times New Roman" w:hAnsi="Times New Roman"/>
                <w:b/>
              </w:rPr>
              <w:t>项目</w:t>
            </w:r>
          </w:p>
        </w:tc>
        <w:tc>
          <w:tcPr>
            <w:tcW w:w="1312" w:type="pct"/>
            <w:tcMar>
              <w:left w:w="17" w:type="dxa"/>
              <w:right w:w="17" w:type="dxa"/>
            </w:tcMar>
            <w:vAlign w:val="center"/>
          </w:tcPr>
          <w:p>
            <w:pPr>
              <w:adjustRightInd w:val="0"/>
              <w:snapToGrid w:val="0"/>
              <w:jc w:val="center"/>
              <w:rPr>
                <w:rFonts w:ascii="Times New Roman" w:hAnsi="Times New Roman"/>
                <w:b/>
              </w:rPr>
            </w:pPr>
            <w:r>
              <w:rPr>
                <w:rFonts w:ascii="Times New Roman" w:hAnsi="Times New Roman"/>
                <w:b/>
              </w:rPr>
              <w:t>监测点位</w:t>
            </w:r>
          </w:p>
        </w:tc>
        <w:tc>
          <w:tcPr>
            <w:tcW w:w="1172" w:type="pct"/>
            <w:tcMar>
              <w:left w:w="17" w:type="dxa"/>
              <w:right w:w="17" w:type="dxa"/>
            </w:tcMar>
            <w:vAlign w:val="center"/>
          </w:tcPr>
          <w:p>
            <w:pPr>
              <w:adjustRightInd w:val="0"/>
              <w:snapToGrid w:val="0"/>
              <w:jc w:val="center"/>
              <w:rPr>
                <w:rFonts w:ascii="Times New Roman" w:hAnsi="Times New Roman"/>
                <w:b/>
              </w:rPr>
            </w:pPr>
            <w:r>
              <w:rPr>
                <w:rFonts w:ascii="Times New Roman" w:hAnsi="Times New Roman"/>
                <w:b/>
              </w:rPr>
              <w:t>监测项目</w:t>
            </w:r>
          </w:p>
        </w:tc>
        <w:tc>
          <w:tcPr>
            <w:tcW w:w="968" w:type="pct"/>
            <w:tcMar>
              <w:left w:w="17" w:type="dxa"/>
              <w:right w:w="17" w:type="dxa"/>
            </w:tcMar>
            <w:vAlign w:val="center"/>
          </w:tcPr>
          <w:p>
            <w:pPr>
              <w:adjustRightInd w:val="0"/>
              <w:snapToGrid w:val="0"/>
              <w:jc w:val="center"/>
              <w:rPr>
                <w:rFonts w:ascii="Times New Roman" w:hAnsi="Times New Roman"/>
                <w:b/>
              </w:rPr>
            </w:pPr>
            <w:r>
              <w:rPr>
                <w:rFonts w:ascii="Times New Roman" w:hAnsi="Times New Roman"/>
                <w:b/>
              </w:rPr>
              <w:t>监测计划</w:t>
            </w:r>
          </w:p>
        </w:tc>
        <w:tc>
          <w:tcPr>
            <w:tcW w:w="736" w:type="pct"/>
            <w:tcMar>
              <w:left w:w="17" w:type="dxa"/>
              <w:right w:w="17" w:type="dxa"/>
            </w:tcMar>
            <w:vAlign w:val="center"/>
          </w:tcPr>
          <w:p>
            <w:pPr>
              <w:adjustRightInd w:val="0"/>
              <w:snapToGrid w:val="0"/>
              <w:jc w:val="center"/>
              <w:rPr>
                <w:rFonts w:ascii="Times New Roman" w:hAnsi="Times New Roman"/>
                <w:b/>
              </w:rPr>
            </w:pPr>
            <w:r>
              <w:rPr>
                <w:rFonts w:ascii="Times New Roman" w:hAnsi="Times New Roman"/>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57" w:type="pct"/>
            <w:vMerge w:val="restart"/>
            <w:tcMar>
              <w:left w:w="17" w:type="dxa"/>
              <w:right w:w="17" w:type="dxa"/>
            </w:tcMar>
            <w:vAlign w:val="center"/>
          </w:tcPr>
          <w:p>
            <w:pPr>
              <w:adjustRightInd w:val="0"/>
              <w:snapToGrid w:val="0"/>
              <w:jc w:val="center"/>
              <w:rPr>
                <w:rFonts w:ascii="Times New Roman" w:hAnsi="Times New Roman"/>
              </w:rPr>
            </w:pPr>
            <w:r>
              <w:rPr>
                <w:rFonts w:ascii="Times New Roman" w:hAnsi="Times New Roman"/>
              </w:rPr>
              <w:t>环境质量监测</w:t>
            </w:r>
          </w:p>
        </w:tc>
        <w:tc>
          <w:tcPr>
            <w:tcW w:w="355" w:type="pct"/>
            <w:tcMar>
              <w:left w:w="17" w:type="dxa"/>
              <w:right w:w="17" w:type="dxa"/>
            </w:tcMar>
            <w:vAlign w:val="center"/>
          </w:tcPr>
          <w:p>
            <w:pPr>
              <w:adjustRightInd w:val="0"/>
              <w:snapToGrid w:val="0"/>
              <w:jc w:val="center"/>
              <w:rPr>
                <w:rFonts w:ascii="Times New Roman" w:hAnsi="Times New Roman"/>
              </w:rPr>
            </w:pPr>
            <w:r>
              <w:rPr>
                <w:rFonts w:ascii="Times New Roman" w:hAnsi="Times New Roman"/>
              </w:rPr>
              <w:t>环境</w:t>
            </w:r>
          </w:p>
          <w:p>
            <w:pPr>
              <w:adjustRightInd w:val="0"/>
              <w:snapToGrid w:val="0"/>
              <w:jc w:val="center"/>
              <w:rPr>
                <w:rFonts w:ascii="Times New Roman" w:hAnsi="Times New Roman"/>
              </w:rPr>
            </w:pPr>
            <w:r>
              <w:rPr>
                <w:rFonts w:ascii="Times New Roman" w:hAnsi="Times New Roman"/>
              </w:rPr>
              <w:t>空气</w:t>
            </w:r>
          </w:p>
        </w:tc>
        <w:tc>
          <w:tcPr>
            <w:tcW w:w="1312" w:type="pct"/>
            <w:tcMar>
              <w:left w:w="17" w:type="dxa"/>
              <w:right w:w="17" w:type="dxa"/>
            </w:tcMar>
            <w:vAlign w:val="center"/>
          </w:tcPr>
          <w:p>
            <w:pPr>
              <w:adjustRightInd w:val="0"/>
              <w:snapToGrid w:val="0"/>
              <w:jc w:val="center"/>
              <w:rPr>
                <w:rFonts w:ascii="Times New Roman" w:hAnsi="Times New Roman"/>
              </w:rPr>
            </w:pPr>
            <w:r>
              <w:rPr>
                <w:rFonts w:ascii="Times New Roman" w:hAnsi="Times New Roman"/>
              </w:rPr>
              <w:t>码头场址及下风向各布一个监测点</w:t>
            </w:r>
          </w:p>
        </w:tc>
        <w:tc>
          <w:tcPr>
            <w:tcW w:w="1172" w:type="pct"/>
            <w:tcMar>
              <w:left w:w="17" w:type="dxa"/>
              <w:right w:w="17" w:type="dxa"/>
            </w:tcMar>
            <w:vAlign w:val="center"/>
          </w:tcPr>
          <w:p>
            <w:pPr>
              <w:adjustRightInd w:val="0"/>
              <w:snapToGrid w:val="0"/>
              <w:jc w:val="center"/>
              <w:rPr>
                <w:rFonts w:ascii="Times New Roman" w:hAnsi="Times New Roman"/>
              </w:rPr>
            </w:pPr>
            <w:r>
              <w:rPr>
                <w:rFonts w:ascii="Times New Roman" w:hAnsi="Times New Roman"/>
              </w:rPr>
              <w:t>TSP、PM</w:t>
            </w:r>
            <w:r>
              <w:rPr>
                <w:rFonts w:ascii="Times New Roman" w:hAnsi="Times New Roman"/>
                <w:vertAlign w:val="subscript"/>
              </w:rPr>
              <w:t>10</w:t>
            </w:r>
          </w:p>
        </w:tc>
        <w:tc>
          <w:tcPr>
            <w:tcW w:w="968" w:type="pct"/>
            <w:tcMar>
              <w:left w:w="17" w:type="dxa"/>
              <w:right w:w="17" w:type="dxa"/>
            </w:tcMar>
            <w:vAlign w:val="center"/>
          </w:tcPr>
          <w:p>
            <w:pPr>
              <w:adjustRightInd w:val="0"/>
              <w:snapToGrid w:val="0"/>
              <w:jc w:val="center"/>
              <w:rPr>
                <w:rFonts w:ascii="Times New Roman" w:hAnsi="Times New Roman"/>
              </w:rPr>
            </w:pPr>
            <w:r>
              <w:rPr>
                <w:rFonts w:ascii="Times New Roman" w:hAnsi="Times New Roman"/>
              </w:rPr>
              <w:t>每季度一次</w:t>
            </w:r>
          </w:p>
        </w:tc>
        <w:tc>
          <w:tcPr>
            <w:tcW w:w="736" w:type="pct"/>
            <w:vMerge w:val="restart"/>
            <w:tcMar>
              <w:left w:w="17" w:type="dxa"/>
              <w:right w:w="17" w:type="dxa"/>
            </w:tcMar>
            <w:vAlign w:val="center"/>
          </w:tcPr>
          <w:p>
            <w:pPr>
              <w:adjustRightInd w:val="0"/>
              <w:snapToGrid w:val="0"/>
              <w:rPr>
                <w:rFonts w:ascii="Times New Roman" w:hAnsi="Times New Roman"/>
              </w:rPr>
            </w:pPr>
            <w:r>
              <w:rPr>
                <w:rFonts w:ascii="Times New Roman" w:hAnsi="Times New Roman"/>
              </w:rPr>
              <w:t>事故时要补充监测，并增加监测频次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57" w:type="pct"/>
            <w:vMerge w:val="continue"/>
            <w:tcMar>
              <w:left w:w="17" w:type="dxa"/>
              <w:right w:w="17" w:type="dxa"/>
            </w:tcMar>
            <w:vAlign w:val="center"/>
          </w:tcPr>
          <w:p>
            <w:pPr>
              <w:adjustRightInd w:val="0"/>
              <w:snapToGrid w:val="0"/>
              <w:jc w:val="center"/>
              <w:rPr>
                <w:rFonts w:ascii="Times New Roman" w:hAnsi="Times New Roman"/>
              </w:rPr>
            </w:pPr>
          </w:p>
        </w:tc>
        <w:tc>
          <w:tcPr>
            <w:tcW w:w="355" w:type="pct"/>
            <w:tcMar>
              <w:left w:w="17" w:type="dxa"/>
              <w:right w:w="17" w:type="dxa"/>
            </w:tcMar>
            <w:vAlign w:val="center"/>
          </w:tcPr>
          <w:p>
            <w:pPr>
              <w:adjustRightInd w:val="0"/>
              <w:snapToGrid w:val="0"/>
              <w:jc w:val="center"/>
              <w:rPr>
                <w:rFonts w:ascii="Times New Roman" w:hAnsi="Times New Roman"/>
              </w:rPr>
            </w:pPr>
            <w:r>
              <w:rPr>
                <w:rFonts w:ascii="Times New Roman" w:hAnsi="Times New Roman"/>
              </w:rPr>
              <w:t>地表水</w:t>
            </w:r>
          </w:p>
        </w:tc>
        <w:tc>
          <w:tcPr>
            <w:tcW w:w="1312" w:type="pct"/>
            <w:tcMar>
              <w:left w:w="17" w:type="dxa"/>
              <w:right w:w="17" w:type="dxa"/>
            </w:tcMar>
            <w:vAlign w:val="center"/>
          </w:tcPr>
          <w:p>
            <w:pPr>
              <w:adjustRightInd w:val="0"/>
              <w:snapToGrid w:val="0"/>
              <w:rPr>
                <w:rFonts w:ascii="Times New Roman" w:hAnsi="Times New Roman"/>
              </w:rPr>
            </w:pPr>
            <w:r>
              <w:rPr>
                <w:rFonts w:ascii="Times New Roman" w:hAnsi="Times New Roman"/>
              </w:rPr>
              <w:t>长江：本项目码头泊位上游500m及下游1.0km处</w:t>
            </w:r>
          </w:p>
        </w:tc>
        <w:tc>
          <w:tcPr>
            <w:tcW w:w="1172" w:type="pct"/>
            <w:tcMar>
              <w:left w:w="17" w:type="dxa"/>
              <w:right w:w="17" w:type="dxa"/>
            </w:tcMar>
            <w:vAlign w:val="center"/>
          </w:tcPr>
          <w:p>
            <w:pPr>
              <w:adjustRightInd w:val="0"/>
              <w:snapToGrid w:val="0"/>
              <w:rPr>
                <w:rFonts w:ascii="Times New Roman" w:hAnsi="Times New Roman"/>
              </w:rPr>
            </w:pPr>
            <w:r>
              <w:rPr>
                <w:rFonts w:ascii="Times New Roman" w:hAnsi="Times New Roman"/>
              </w:rPr>
              <w:t>pH、SS、COD、BOD</w:t>
            </w:r>
            <w:r>
              <w:rPr>
                <w:rFonts w:ascii="Times New Roman" w:hAnsi="Times New Roman"/>
                <w:vertAlign w:val="subscript"/>
              </w:rPr>
              <w:t>5</w:t>
            </w:r>
            <w:r>
              <w:rPr>
                <w:rFonts w:ascii="Times New Roman" w:hAnsi="Times New Roman"/>
              </w:rPr>
              <w:t>、NH</w:t>
            </w:r>
            <w:r>
              <w:rPr>
                <w:rFonts w:ascii="Times New Roman" w:hAnsi="Times New Roman"/>
                <w:vertAlign w:val="subscript"/>
              </w:rPr>
              <w:t>3</w:t>
            </w:r>
            <w:r>
              <w:rPr>
                <w:rFonts w:ascii="Times New Roman" w:hAnsi="Times New Roman"/>
              </w:rPr>
              <w:t>-N、石油类</w:t>
            </w:r>
          </w:p>
        </w:tc>
        <w:tc>
          <w:tcPr>
            <w:tcW w:w="968" w:type="pct"/>
            <w:tcMar>
              <w:left w:w="17" w:type="dxa"/>
              <w:right w:w="17" w:type="dxa"/>
            </w:tcMar>
            <w:vAlign w:val="center"/>
          </w:tcPr>
          <w:p>
            <w:pPr>
              <w:adjustRightInd w:val="0"/>
              <w:snapToGrid w:val="0"/>
              <w:rPr>
                <w:rFonts w:ascii="Times New Roman" w:hAnsi="Times New Roman"/>
              </w:rPr>
            </w:pPr>
            <w:r>
              <w:rPr>
                <w:rFonts w:ascii="Times New Roman" w:hAnsi="Times New Roman"/>
              </w:rPr>
              <w:t>每年平、枯水期各一次</w:t>
            </w:r>
          </w:p>
        </w:tc>
        <w:tc>
          <w:tcPr>
            <w:tcW w:w="736" w:type="pct"/>
            <w:vMerge w:val="continue"/>
            <w:tcMar>
              <w:left w:w="17" w:type="dxa"/>
              <w:right w:w="17" w:type="dxa"/>
            </w:tcMar>
            <w:vAlign w:val="center"/>
          </w:tcPr>
          <w:p>
            <w:pPr>
              <w:adjustRightInd w:val="0"/>
              <w:snapToGrid w:val="0"/>
              <w:rPr>
                <w:rFonts w:ascii="Times New Roman" w:hAnsi="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57" w:type="pct"/>
            <w:vMerge w:val="restart"/>
            <w:tcMar>
              <w:left w:w="17" w:type="dxa"/>
              <w:right w:w="17" w:type="dxa"/>
            </w:tcMar>
            <w:vAlign w:val="center"/>
          </w:tcPr>
          <w:p>
            <w:pPr>
              <w:adjustRightInd w:val="0"/>
              <w:snapToGrid w:val="0"/>
              <w:jc w:val="center"/>
              <w:rPr>
                <w:rFonts w:ascii="Times New Roman" w:hAnsi="Times New Roman"/>
              </w:rPr>
            </w:pPr>
            <w:r>
              <w:rPr>
                <w:rFonts w:ascii="Times New Roman" w:hAnsi="Times New Roman"/>
              </w:rPr>
              <w:t>污染源监测</w:t>
            </w:r>
          </w:p>
        </w:tc>
        <w:tc>
          <w:tcPr>
            <w:tcW w:w="355" w:type="pct"/>
            <w:tcMar>
              <w:left w:w="17" w:type="dxa"/>
              <w:right w:w="17" w:type="dxa"/>
            </w:tcMar>
            <w:vAlign w:val="center"/>
          </w:tcPr>
          <w:p>
            <w:pPr>
              <w:adjustRightInd w:val="0"/>
              <w:snapToGrid w:val="0"/>
              <w:jc w:val="center"/>
              <w:rPr>
                <w:rFonts w:ascii="Times New Roman" w:hAnsi="Times New Roman"/>
              </w:rPr>
            </w:pPr>
            <w:r>
              <w:rPr>
                <w:rFonts w:ascii="Times New Roman" w:hAnsi="Times New Roman"/>
              </w:rPr>
              <w:t>废气</w:t>
            </w:r>
          </w:p>
        </w:tc>
        <w:tc>
          <w:tcPr>
            <w:tcW w:w="1312" w:type="pct"/>
            <w:tcMar>
              <w:left w:w="17" w:type="dxa"/>
              <w:right w:w="17" w:type="dxa"/>
            </w:tcMar>
            <w:vAlign w:val="center"/>
          </w:tcPr>
          <w:p>
            <w:pPr>
              <w:adjustRightInd w:val="0"/>
              <w:snapToGrid w:val="0"/>
              <w:jc w:val="center"/>
              <w:rPr>
                <w:rFonts w:ascii="Times New Roman" w:hAnsi="Times New Roman"/>
              </w:rPr>
            </w:pPr>
            <w:r>
              <w:rPr>
                <w:rFonts w:ascii="Times New Roman" w:hAnsi="Times New Roman"/>
              </w:rPr>
              <w:t>厂界</w:t>
            </w:r>
          </w:p>
        </w:tc>
        <w:tc>
          <w:tcPr>
            <w:tcW w:w="1172" w:type="pct"/>
            <w:tcMar>
              <w:left w:w="17" w:type="dxa"/>
              <w:right w:w="17" w:type="dxa"/>
            </w:tcMar>
            <w:vAlign w:val="center"/>
          </w:tcPr>
          <w:p>
            <w:pPr>
              <w:adjustRightInd w:val="0"/>
              <w:snapToGrid w:val="0"/>
              <w:jc w:val="center"/>
              <w:rPr>
                <w:rFonts w:ascii="Times New Roman" w:hAnsi="Times New Roman"/>
              </w:rPr>
            </w:pPr>
            <w:r>
              <w:rPr>
                <w:rFonts w:ascii="Times New Roman" w:hAnsi="Times New Roman"/>
              </w:rPr>
              <w:t>TSP</w:t>
            </w:r>
          </w:p>
        </w:tc>
        <w:tc>
          <w:tcPr>
            <w:tcW w:w="968" w:type="pct"/>
            <w:tcMar>
              <w:left w:w="17" w:type="dxa"/>
              <w:right w:w="17" w:type="dxa"/>
            </w:tcMar>
            <w:vAlign w:val="center"/>
          </w:tcPr>
          <w:p>
            <w:pPr>
              <w:adjustRightInd w:val="0"/>
              <w:snapToGrid w:val="0"/>
              <w:jc w:val="center"/>
              <w:rPr>
                <w:rFonts w:ascii="Times New Roman" w:hAnsi="Times New Roman"/>
              </w:rPr>
            </w:pPr>
            <w:r>
              <w:rPr>
                <w:rFonts w:ascii="Times New Roman" w:hAnsi="Times New Roman"/>
              </w:rPr>
              <w:t>半年一次</w:t>
            </w:r>
          </w:p>
        </w:tc>
        <w:tc>
          <w:tcPr>
            <w:tcW w:w="736" w:type="pct"/>
            <w:tcMar>
              <w:left w:w="17" w:type="dxa"/>
              <w:right w:w="17" w:type="dxa"/>
            </w:tcMar>
            <w:vAlign w:val="center"/>
          </w:tcPr>
          <w:p>
            <w:pPr>
              <w:adjustRightInd w:val="0"/>
              <w:snapToGrid w:val="0"/>
              <w:jc w:val="center"/>
              <w:rPr>
                <w:rFonts w:ascii="Times New Roman" w:hAnsi="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57" w:type="pct"/>
            <w:vMerge w:val="continue"/>
            <w:tcMar>
              <w:left w:w="17" w:type="dxa"/>
              <w:right w:w="17" w:type="dxa"/>
            </w:tcMar>
            <w:vAlign w:val="center"/>
          </w:tcPr>
          <w:p>
            <w:pPr>
              <w:adjustRightInd w:val="0"/>
              <w:snapToGrid w:val="0"/>
              <w:jc w:val="center"/>
              <w:rPr>
                <w:rFonts w:ascii="Times New Roman" w:hAnsi="Times New Roman"/>
              </w:rPr>
            </w:pPr>
          </w:p>
        </w:tc>
        <w:tc>
          <w:tcPr>
            <w:tcW w:w="355" w:type="pct"/>
            <w:tcMar>
              <w:left w:w="17" w:type="dxa"/>
              <w:right w:w="17" w:type="dxa"/>
            </w:tcMar>
            <w:vAlign w:val="center"/>
          </w:tcPr>
          <w:p>
            <w:pPr>
              <w:adjustRightInd w:val="0"/>
              <w:snapToGrid w:val="0"/>
              <w:jc w:val="center"/>
              <w:rPr>
                <w:rFonts w:ascii="Times New Roman" w:hAnsi="Times New Roman"/>
              </w:rPr>
            </w:pPr>
            <w:r>
              <w:rPr>
                <w:rFonts w:ascii="Times New Roman" w:hAnsi="Times New Roman"/>
              </w:rPr>
              <w:t>废水</w:t>
            </w:r>
          </w:p>
        </w:tc>
        <w:tc>
          <w:tcPr>
            <w:tcW w:w="1312" w:type="pct"/>
            <w:tcMar>
              <w:left w:w="17" w:type="dxa"/>
              <w:right w:w="17" w:type="dxa"/>
            </w:tcMar>
            <w:vAlign w:val="center"/>
          </w:tcPr>
          <w:p>
            <w:pPr>
              <w:adjustRightInd w:val="0"/>
              <w:snapToGrid w:val="0"/>
              <w:jc w:val="center"/>
              <w:rPr>
                <w:rFonts w:ascii="Times New Roman" w:hAnsi="Times New Roman"/>
              </w:rPr>
            </w:pPr>
            <w:r>
              <w:rPr>
                <w:rFonts w:ascii="Times New Roman" w:hAnsi="Times New Roman"/>
              </w:rPr>
              <w:t>码头废水</w:t>
            </w:r>
          </w:p>
        </w:tc>
        <w:tc>
          <w:tcPr>
            <w:tcW w:w="1172" w:type="pct"/>
            <w:tcMar>
              <w:left w:w="17" w:type="dxa"/>
              <w:right w:w="17" w:type="dxa"/>
            </w:tcMar>
            <w:vAlign w:val="center"/>
          </w:tcPr>
          <w:p>
            <w:pPr>
              <w:adjustRightInd w:val="0"/>
              <w:snapToGrid w:val="0"/>
              <w:rPr>
                <w:rFonts w:ascii="Times New Roman" w:hAnsi="Times New Roman"/>
              </w:rPr>
            </w:pPr>
            <w:r>
              <w:rPr>
                <w:rFonts w:ascii="Times New Roman" w:hAnsi="Times New Roman"/>
              </w:rPr>
              <w:t>流量、色度、pH、COD、BOD</w:t>
            </w:r>
            <w:r>
              <w:rPr>
                <w:rFonts w:ascii="Times New Roman" w:hAnsi="Times New Roman"/>
                <w:vertAlign w:val="subscript"/>
              </w:rPr>
              <w:t>5</w:t>
            </w:r>
            <w:r>
              <w:rPr>
                <w:rFonts w:ascii="Times New Roman" w:hAnsi="Times New Roman"/>
              </w:rPr>
              <w:t>、SS、NH</w:t>
            </w:r>
            <w:r>
              <w:rPr>
                <w:rFonts w:ascii="Times New Roman" w:hAnsi="Times New Roman"/>
                <w:vertAlign w:val="subscript"/>
              </w:rPr>
              <w:t>3</w:t>
            </w:r>
            <w:r>
              <w:rPr>
                <w:rFonts w:ascii="Times New Roman" w:hAnsi="Times New Roman"/>
              </w:rPr>
              <w:t>-N、石油类</w:t>
            </w:r>
          </w:p>
        </w:tc>
        <w:tc>
          <w:tcPr>
            <w:tcW w:w="968" w:type="pct"/>
            <w:tcMar>
              <w:left w:w="17" w:type="dxa"/>
              <w:right w:w="17" w:type="dxa"/>
            </w:tcMar>
            <w:vAlign w:val="center"/>
          </w:tcPr>
          <w:p>
            <w:pPr>
              <w:adjustRightInd w:val="0"/>
              <w:snapToGrid w:val="0"/>
              <w:jc w:val="center"/>
              <w:rPr>
                <w:rFonts w:ascii="Times New Roman" w:hAnsi="Times New Roman"/>
              </w:rPr>
            </w:pPr>
            <w:r>
              <w:rPr>
                <w:rFonts w:ascii="Times New Roman" w:hAnsi="Times New Roman"/>
              </w:rPr>
              <w:t>每季度一次</w:t>
            </w:r>
          </w:p>
        </w:tc>
        <w:tc>
          <w:tcPr>
            <w:tcW w:w="736" w:type="pct"/>
            <w:tcMar>
              <w:left w:w="17" w:type="dxa"/>
              <w:right w:w="17" w:type="dxa"/>
            </w:tcMar>
            <w:vAlign w:val="center"/>
          </w:tcPr>
          <w:p>
            <w:pPr>
              <w:adjustRightInd w:val="0"/>
              <w:snapToGrid w:val="0"/>
              <w:jc w:val="center"/>
              <w:rPr>
                <w:rFonts w:ascii="Times New Roman" w:hAnsi="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57" w:type="pct"/>
            <w:vMerge w:val="continue"/>
            <w:tcMar>
              <w:left w:w="17" w:type="dxa"/>
              <w:right w:w="17" w:type="dxa"/>
            </w:tcMar>
            <w:vAlign w:val="center"/>
          </w:tcPr>
          <w:p>
            <w:pPr>
              <w:adjustRightInd w:val="0"/>
              <w:snapToGrid w:val="0"/>
              <w:jc w:val="center"/>
              <w:rPr>
                <w:rFonts w:ascii="Times New Roman" w:hAnsi="Times New Roman"/>
              </w:rPr>
            </w:pPr>
          </w:p>
        </w:tc>
        <w:tc>
          <w:tcPr>
            <w:tcW w:w="355" w:type="pct"/>
            <w:tcMar>
              <w:left w:w="17" w:type="dxa"/>
              <w:right w:w="17" w:type="dxa"/>
            </w:tcMar>
            <w:vAlign w:val="center"/>
          </w:tcPr>
          <w:p>
            <w:pPr>
              <w:adjustRightInd w:val="0"/>
              <w:snapToGrid w:val="0"/>
              <w:jc w:val="center"/>
              <w:rPr>
                <w:rFonts w:ascii="Times New Roman" w:hAnsi="Times New Roman"/>
              </w:rPr>
            </w:pPr>
            <w:r>
              <w:rPr>
                <w:rFonts w:ascii="Times New Roman" w:hAnsi="Times New Roman"/>
              </w:rPr>
              <w:t>噪声</w:t>
            </w:r>
          </w:p>
        </w:tc>
        <w:tc>
          <w:tcPr>
            <w:tcW w:w="1312" w:type="pct"/>
            <w:tcMar>
              <w:left w:w="17" w:type="dxa"/>
              <w:right w:w="17" w:type="dxa"/>
            </w:tcMar>
            <w:vAlign w:val="center"/>
          </w:tcPr>
          <w:p>
            <w:pPr>
              <w:adjustRightInd w:val="0"/>
              <w:snapToGrid w:val="0"/>
              <w:jc w:val="center"/>
              <w:rPr>
                <w:rFonts w:ascii="Times New Roman" w:hAnsi="Times New Roman"/>
              </w:rPr>
            </w:pPr>
            <w:r>
              <w:rPr>
                <w:rFonts w:ascii="Times New Roman" w:hAnsi="Times New Roman"/>
              </w:rPr>
              <w:t>场界</w:t>
            </w:r>
          </w:p>
        </w:tc>
        <w:tc>
          <w:tcPr>
            <w:tcW w:w="1172" w:type="pct"/>
            <w:tcMar>
              <w:left w:w="17" w:type="dxa"/>
              <w:right w:w="17" w:type="dxa"/>
            </w:tcMar>
            <w:vAlign w:val="center"/>
          </w:tcPr>
          <w:p>
            <w:pPr>
              <w:adjustRightInd w:val="0"/>
              <w:snapToGrid w:val="0"/>
              <w:jc w:val="center"/>
              <w:rPr>
                <w:rFonts w:ascii="Times New Roman" w:hAnsi="Times New Roman"/>
              </w:rPr>
            </w:pPr>
            <w:r>
              <w:rPr>
                <w:rFonts w:ascii="Times New Roman" w:hAnsi="Times New Roman"/>
              </w:rPr>
              <w:t>Leq(A)</w:t>
            </w:r>
          </w:p>
        </w:tc>
        <w:tc>
          <w:tcPr>
            <w:tcW w:w="968" w:type="pct"/>
            <w:tcMar>
              <w:left w:w="17" w:type="dxa"/>
              <w:right w:w="17" w:type="dxa"/>
            </w:tcMar>
            <w:vAlign w:val="center"/>
          </w:tcPr>
          <w:p>
            <w:pPr>
              <w:adjustRightInd w:val="0"/>
              <w:snapToGrid w:val="0"/>
              <w:rPr>
                <w:rFonts w:ascii="Times New Roman" w:hAnsi="Times New Roman"/>
              </w:rPr>
            </w:pPr>
            <w:r>
              <w:rPr>
                <w:rFonts w:ascii="Times New Roman" w:hAnsi="Times New Roman"/>
              </w:rPr>
              <w:t>半年一次，每次2天，分昼夜两个时段</w:t>
            </w:r>
          </w:p>
        </w:tc>
        <w:tc>
          <w:tcPr>
            <w:tcW w:w="736" w:type="pct"/>
            <w:tcMar>
              <w:left w:w="17" w:type="dxa"/>
              <w:right w:w="17" w:type="dxa"/>
            </w:tcMar>
            <w:vAlign w:val="center"/>
          </w:tcPr>
          <w:p>
            <w:pPr>
              <w:adjustRightInd w:val="0"/>
              <w:snapToGrid w:val="0"/>
              <w:jc w:val="center"/>
              <w:rPr>
                <w:rFonts w:ascii="Times New Roman" w:hAnsi="Times New Roman"/>
              </w:rPr>
            </w:pPr>
            <w:r>
              <w:rPr>
                <w:rFonts w:ascii="Times New Roman" w:hAnsi="Times New Roman"/>
              </w:rPr>
              <w:t>码头陆域平台场界设4个场界噪声监测点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57" w:type="pct"/>
            <w:vMerge w:val="continue"/>
            <w:tcMar>
              <w:left w:w="17" w:type="dxa"/>
              <w:right w:w="17" w:type="dxa"/>
            </w:tcMar>
            <w:vAlign w:val="center"/>
          </w:tcPr>
          <w:p>
            <w:pPr>
              <w:adjustRightInd w:val="0"/>
              <w:snapToGrid w:val="0"/>
              <w:jc w:val="center"/>
              <w:rPr>
                <w:rFonts w:ascii="Times New Roman" w:hAnsi="Times New Roman"/>
              </w:rPr>
            </w:pPr>
          </w:p>
        </w:tc>
        <w:tc>
          <w:tcPr>
            <w:tcW w:w="1667" w:type="pct"/>
            <w:gridSpan w:val="2"/>
            <w:tcMar>
              <w:left w:w="17" w:type="dxa"/>
              <w:right w:w="17" w:type="dxa"/>
            </w:tcMar>
            <w:vAlign w:val="center"/>
          </w:tcPr>
          <w:p>
            <w:pPr>
              <w:adjustRightInd w:val="0"/>
              <w:snapToGrid w:val="0"/>
              <w:jc w:val="center"/>
              <w:rPr>
                <w:rFonts w:ascii="Times New Roman" w:hAnsi="Times New Roman"/>
              </w:rPr>
            </w:pPr>
            <w:r>
              <w:rPr>
                <w:rFonts w:ascii="Times New Roman" w:hAnsi="Times New Roman"/>
              </w:rPr>
              <w:t>固废</w:t>
            </w:r>
          </w:p>
        </w:tc>
        <w:tc>
          <w:tcPr>
            <w:tcW w:w="1172" w:type="pct"/>
            <w:tcMar>
              <w:left w:w="17" w:type="dxa"/>
              <w:right w:w="17" w:type="dxa"/>
            </w:tcMar>
            <w:vAlign w:val="center"/>
          </w:tcPr>
          <w:p>
            <w:pPr>
              <w:adjustRightInd w:val="0"/>
              <w:snapToGrid w:val="0"/>
              <w:jc w:val="center"/>
              <w:rPr>
                <w:rFonts w:ascii="Times New Roman" w:hAnsi="Times New Roman"/>
              </w:rPr>
            </w:pPr>
            <w:r>
              <w:rPr>
                <w:rFonts w:ascii="Times New Roman" w:hAnsi="Times New Roman"/>
              </w:rPr>
              <w:t>统计固废产生量及去向</w:t>
            </w:r>
          </w:p>
        </w:tc>
        <w:tc>
          <w:tcPr>
            <w:tcW w:w="968" w:type="pct"/>
            <w:tcMar>
              <w:left w:w="17" w:type="dxa"/>
              <w:right w:w="17" w:type="dxa"/>
            </w:tcMar>
            <w:vAlign w:val="center"/>
          </w:tcPr>
          <w:p>
            <w:pPr>
              <w:adjustRightInd w:val="0"/>
              <w:snapToGrid w:val="0"/>
              <w:jc w:val="center"/>
              <w:rPr>
                <w:rFonts w:ascii="Times New Roman" w:hAnsi="Times New Roman"/>
              </w:rPr>
            </w:pPr>
            <w:r>
              <w:rPr>
                <w:rFonts w:ascii="Times New Roman" w:hAnsi="Times New Roman"/>
              </w:rPr>
              <w:t>台帐统计、年报一次</w:t>
            </w:r>
          </w:p>
        </w:tc>
        <w:tc>
          <w:tcPr>
            <w:tcW w:w="736" w:type="pct"/>
            <w:tcMar>
              <w:left w:w="17" w:type="dxa"/>
              <w:right w:w="17" w:type="dxa"/>
            </w:tcMar>
            <w:vAlign w:val="center"/>
          </w:tcPr>
          <w:p>
            <w:pPr>
              <w:adjustRightInd w:val="0"/>
              <w:snapToGrid w:val="0"/>
              <w:jc w:val="center"/>
              <w:rPr>
                <w:rFonts w:ascii="Times New Roman" w:hAnsi="Times New Roman"/>
              </w:rPr>
            </w:pPr>
          </w:p>
        </w:tc>
      </w:tr>
    </w:tbl>
    <w:p>
      <w:pPr>
        <w:autoSpaceDE w:val="0"/>
        <w:autoSpaceDN w:val="0"/>
        <w:adjustRightInd w:val="0"/>
        <w:snapToGrid w:val="0"/>
        <w:spacing w:line="360" w:lineRule="auto"/>
        <w:ind w:firstLine="480" w:firstLineChars="200"/>
        <w:rPr>
          <w:rFonts w:ascii="Times New Roman" w:hAnsi="Times New Roman"/>
          <w:sz w:val="24"/>
        </w:rPr>
      </w:pPr>
    </w:p>
    <w:p>
      <w:pPr>
        <w:pStyle w:val="5"/>
        <w:rPr>
          <w:rFonts w:eastAsiaTheme="minorEastAsia"/>
        </w:rPr>
      </w:pPr>
      <w:r>
        <w:rPr>
          <w:rFonts w:eastAsiaTheme="minorEastAsia"/>
        </w:rPr>
        <w:t>环境风险应急监测</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应急监测计划包括事故的规模、事态发展的趋向、事故影响边界、气象条件、污染物浓度和流量及污染物质滞留区等。主要监测点位为：岳阳市云溪区道仁矶水厂长江取水口饮用水水源保护区上游边界。</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水应急监测：岳阳市云溪区道仁矶水厂长江取水口饮用水水源保护区上游边界设置采样点，监测因子为pH、COD、SS、氨氮、总磷、石油类等。</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大气应急监测：根据事故类型和排物质确定。本项目的大气应急监测因子主要为：PM</w:t>
      </w:r>
      <w:r>
        <w:rPr>
          <w:rFonts w:ascii="Times New Roman" w:hAnsi="Times New Roman"/>
          <w:color w:val="000000" w:themeColor="text1"/>
          <w:kern w:val="0"/>
          <w:sz w:val="24"/>
          <w:szCs w:val="24"/>
          <w:vertAlign w:val="subscript"/>
          <w14:textFill>
            <w14:solidFill>
              <w14:schemeClr w14:val="tx1"/>
            </w14:solidFill>
          </w14:textFill>
        </w:rPr>
        <w:t>10</w:t>
      </w:r>
      <w:r>
        <w:rPr>
          <w:rFonts w:ascii="Times New Roman" w:hAnsi="Times New Roman"/>
          <w:color w:val="000000" w:themeColor="text1"/>
          <w:kern w:val="0"/>
          <w:sz w:val="24"/>
          <w:szCs w:val="24"/>
          <w14:textFill>
            <w14:solidFill>
              <w14:schemeClr w14:val="tx1"/>
            </w14:solidFill>
          </w14:textFill>
        </w:rPr>
        <w:t>。</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具体监测任务视事故发生状况进一步确定。</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上述污染源监测及环境质量监测若企业不具备监测条件，可委托有资质的监测单位进行监测，监测结果以报表形式上报当地环境保护主管部门。</w:t>
      </w:r>
    </w:p>
    <w:p>
      <w:pPr>
        <w:pStyle w:val="5"/>
        <w:rPr>
          <w:rFonts w:eastAsiaTheme="minorEastAsia"/>
        </w:rPr>
      </w:pPr>
      <w:r>
        <w:rPr>
          <w:rFonts w:eastAsiaTheme="minorEastAsia"/>
        </w:rPr>
        <w:t>监测分析方法</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环境监测按《环境监测标准方法》执行，污染源监测按《污染源统一监测分析方法》执行。</w:t>
      </w:r>
    </w:p>
    <w:p>
      <w:pPr>
        <w:pStyle w:val="3"/>
        <w:rPr>
          <w:rFonts w:ascii="Times New Roman" w:hAnsi="Times New Roman" w:eastAsiaTheme="minorEastAsia"/>
          <w:b/>
          <w:color w:val="000000" w:themeColor="text1"/>
          <w14:textFill>
            <w14:solidFill>
              <w14:schemeClr w14:val="tx1"/>
            </w14:solidFill>
          </w14:textFill>
        </w:rPr>
      </w:pPr>
      <w:bookmarkStart w:id="423" w:name="_Toc419403920"/>
      <w:bookmarkStart w:id="424" w:name="_Toc8395"/>
      <w:bookmarkStart w:id="425" w:name="_Toc457679012"/>
      <w:bookmarkStart w:id="426" w:name="_Toc488130020"/>
      <w:r>
        <w:rPr>
          <w:rFonts w:ascii="Times New Roman" w:hAnsi="Times New Roman" w:eastAsiaTheme="minorEastAsia"/>
          <w:b/>
          <w:color w:val="000000" w:themeColor="text1"/>
          <w14:textFill>
            <w14:solidFill>
              <w14:schemeClr w14:val="tx1"/>
            </w14:solidFill>
          </w14:textFill>
        </w:rPr>
        <w:t>排污口规范化管理</w:t>
      </w:r>
      <w:bookmarkEnd w:id="423"/>
      <w:bookmarkEnd w:id="424"/>
      <w:bookmarkEnd w:id="425"/>
      <w:bookmarkEnd w:id="426"/>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排污口规范管理</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根据《湖南省污染源自动监控管理办法》（湖南省人民政府令第203号）及国家环保总局环发〔1999〕24号文件的要求，按目前环境管理和现代企业污染源规范化管理的要求建设方，建设方必须对其排污口进行规范性管理。应做到：</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⑴</w:t>
      </w:r>
      <w:r>
        <w:rPr>
          <w:rFonts w:ascii="Times New Roman" w:hAnsi="Times New Roman"/>
          <w:color w:val="000000" w:themeColor="text1"/>
          <w:kern w:val="0"/>
          <w:sz w:val="24"/>
          <w:szCs w:val="24"/>
          <w14:textFill>
            <w14:solidFill>
              <w14:schemeClr w14:val="tx1"/>
            </w14:solidFill>
          </w14:textFill>
        </w:rPr>
        <w:t xml:space="preserve"> 根据《污水综合排放标准》（GB8978-1996）要求，码头废水排放口应设置明显标志；</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⑵</w:t>
      </w:r>
      <w:r>
        <w:rPr>
          <w:rFonts w:ascii="Times New Roman" w:hAnsi="Times New Roman"/>
          <w:color w:val="000000" w:themeColor="text1"/>
          <w:kern w:val="0"/>
          <w:sz w:val="24"/>
          <w:szCs w:val="24"/>
          <w14:textFill>
            <w14:solidFill>
              <w14:schemeClr w14:val="tx1"/>
            </w14:solidFill>
          </w14:textFill>
        </w:rPr>
        <w:t xml:space="preserve"> 规范化采样口，各污染物采样分析均按照最新的环境监测技术规范和标准方法要求进行；</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根据《环境保护图形标志——排放口（源）》（GB155562.1-1995）标准要求，在污水排放口、噪声排放口、固废堆场设置环境保护图形标志，便于加强对污染物排放口（源）的监督管理以及常规监测工作的进行。专项图标的形式见表10.3-1。</w:t>
      </w:r>
    </w:p>
    <w:p>
      <w:pPr>
        <w:autoSpaceDE w:val="0"/>
        <w:autoSpaceDN w:val="0"/>
        <w:adjustRightInd w:val="0"/>
        <w:snapToGrid w:val="0"/>
        <w:spacing w:line="276" w:lineRule="auto"/>
        <w:ind w:firstLine="482" w:firstLineChars="200"/>
        <w:jc w:val="center"/>
        <w:rPr>
          <w:rFonts w:ascii="Times New Roman" w:hAnsi="Times New Roman" w:eastAsiaTheme="minorEastAsia"/>
          <w:b/>
          <w:color w:val="000000" w:themeColor="text1"/>
          <w:kern w:val="0"/>
          <w:sz w:val="24"/>
          <w:szCs w:val="24"/>
          <w14:textFill>
            <w14:solidFill>
              <w14:schemeClr w14:val="tx1"/>
            </w14:solidFill>
          </w14:textFill>
        </w:rPr>
      </w:pPr>
      <w:r>
        <w:rPr>
          <w:rFonts w:ascii="Times New Roman" w:hAnsi="Times New Roman" w:eastAsiaTheme="minorEastAsia"/>
          <w:b/>
          <w:color w:val="000000" w:themeColor="text1"/>
          <w:kern w:val="0"/>
          <w:sz w:val="24"/>
          <w:szCs w:val="24"/>
          <w14:textFill>
            <w14:solidFill>
              <w14:schemeClr w14:val="tx1"/>
            </w14:solidFill>
          </w14:textFill>
        </w:rPr>
        <w:t>表10.3-1  本项目排污口图形标志一览表</w:t>
      </w:r>
    </w:p>
    <w:tbl>
      <w:tblPr>
        <w:tblStyle w:val="7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691"/>
        <w:gridCol w:w="1481"/>
        <w:gridCol w:w="2308"/>
        <w:gridCol w:w="2310"/>
        <w:gridCol w:w="23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2" w:hRule="atLeast"/>
        </w:trPr>
        <w:tc>
          <w:tcPr>
            <w:tcW w:w="380" w:type="pct"/>
            <w:tcBorders>
              <w:top w:val="single" w:color="auto" w:sz="12" w:space="0"/>
              <w:bottom w:val="single" w:color="auto" w:sz="4" w:space="0"/>
              <w:right w:val="single" w:color="auto" w:sz="4" w:space="0"/>
            </w:tcBorders>
            <w:tcMar>
              <w:top w:w="15" w:type="dxa"/>
              <w:left w:w="15" w:type="dxa"/>
              <w:bottom w:w="0" w:type="dxa"/>
              <w:right w:w="15" w:type="dxa"/>
            </w:tcMar>
            <w:vAlign w:val="center"/>
          </w:tcPr>
          <w:p>
            <w:pPr>
              <w:tabs>
                <w:tab w:val="left" w:pos="5400"/>
              </w:tabs>
              <w:adjustRightInd w:val="0"/>
              <w:snapToGrid w:val="0"/>
              <w:jc w:val="center"/>
              <w:rPr>
                <w:rFonts w:ascii="Times New Roman" w:hAnsi="Times New Roman"/>
                <w:b/>
              </w:rPr>
            </w:pPr>
            <w:r>
              <w:rPr>
                <w:rFonts w:ascii="Times New Roman" w:hAnsi="Times New Roman"/>
                <w:b/>
              </w:rPr>
              <w:t>序号</w:t>
            </w:r>
          </w:p>
        </w:tc>
        <w:tc>
          <w:tcPr>
            <w:tcW w:w="814" w:type="pct"/>
            <w:tcBorders>
              <w:top w:val="single" w:color="auto" w:sz="12" w:space="0"/>
              <w:left w:val="single" w:color="auto" w:sz="4" w:space="0"/>
              <w:bottom w:val="single" w:color="auto" w:sz="4" w:space="0"/>
              <w:right w:val="single" w:color="auto" w:sz="4" w:space="0"/>
              <w:tl2br w:val="single" w:color="auto" w:sz="4" w:space="0"/>
            </w:tcBorders>
            <w:tcMar>
              <w:top w:w="15" w:type="dxa"/>
              <w:left w:w="15" w:type="dxa"/>
              <w:bottom w:w="0" w:type="dxa"/>
              <w:right w:w="15" w:type="dxa"/>
            </w:tcMar>
            <w:vAlign w:val="center"/>
          </w:tcPr>
          <w:p>
            <w:pPr>
              <w:tabs>
                <w:tab w:val="left" w:pos="5400"/>
              </w:tabs>
              <w:adjustRightInd w:val="0"/>
              <w:snapToGrid w:val="0"/>
              <w:jc w:val="right"/>
              <w:rPr>
                <w:rFonts w:ascii="Times New Roman" w:hAnsi="Times New Roman"/>
                <w:b/>
              </w:rPr>
            </w:pPr>
            <w:r>
              <w:rPr>
                <w:rFonts w:ascii="Times New Roman" w:hAnsi="Times New Roman"/>
                <w:b/>
              </w:rPr>
              <w:t>排放</w:t>
            </w:r>
          </w:p>
          <w:p>
            <w:pPr>
              <w:tabs>
                <w:tab w:val="left" w:pos="5400"/>
              </w:tabs>
              <w:adjustRightInd w:val="0"/>
              <w:snapToGrid w:val="0"/>
              <w:rPr>
                <w:rFonts w:ascii="Times New Roman" w:hAnsi="Times New Roman"/>
                <w:b/>
              </w:rPr>
            </w:pPr>
            <w:r>
              <w:rPr>
                <w:rFonts w:ascii="Times New Roman" w:hAnsi="Times New Roman"/>
                <w:b/>
              </w:rPr>
              <w:t>部位要求</w:t>
            </w:r>
          </w:p>
        </w:tc>
        <w:tc>
          <w:tcPr>
            <w:tcW w:w="1268" w:type="pct"/>
            <w:tcBorders>
              <w:top w:val="single" w:color="auto" w:sz="12" w:space="0"/>
              <w:left w:val="single" w:color="auto" w:sz="4" w:space="0"/>
              <w:bottom w:val="single" w:color="auto" w:sz="4" w:space="0"/>
              <w:right w:val="single" w:color="auto" w:sz="4" w:space="0"/>
            </w:tcBorders>
            <w:tcMar>
              <w:top w:w="15" w:type="dxa"/>
              <w:left w:w="15" w:type="dxa"/>
              <w:bottom w:w="0" w:type="dxa"/>
              <w:right w:w="15" w:type="dxa"/>
            </w:tcMar>
            <w:vAlign w:val="center"/>
          </w:tcPr>
          <w:p>
            <w:pPr>
              <w:tabs>
                <w:tab w:val="left" w:pos="5400"/>
              </w:tabs>
              <w:adjustRightInd w:val="0"/>
              <w:snapToGrid w:val="0"/>
              <w:jc w:val="center"/>
              <w:rPr>
                <w:rFonts w:ascii="Times New Roman" w:hAnsi="Times New Roman"/>
                <w:b/>
              </w:rPr>
            </w:pPr>
            <w:r>
              <w:rPr>
                <w:rFonts w:ascii="Times New Roman" w:hAnsi="Times New Roman"/>
                <w:b/>
              </w:rPr>
              <w:t>废水排口</w:t>
            </w:r>
          </w:p>
        </w:tc>
        <w:tc>
          <w:tcPr>
            <w:tcW w:w="1269" w:type="pct"/>
            <w:tcBorders>
              <w:top w:val="single" w:color="auto" w:sz="12" w:space="0"/>
              <w:left w:val="single" w:color="auto" w:sz="4" w:space="0"/>
              <w:bottom w:val="single" w:color="auto" w:sz="4" w:space="0"/>
              <w:right w:val="single" w:color="auto" w:sz="4" w:space="0"/>
            </w:tcBorders>
            <w:tcMar>
              <w:top w:w="15" w:type="dxa"/>
              <w:left w:w="15" w:type="dxa"/>
              <w:bottom w:w="0" w:type="dxa"/>
              <w:right w:w="15" w:type="dxa"/>
            </w:tcMar>
            <w:vAlign w:val="center"/>
          </w:tcPr>
          <w:p>
            <w:pPr>
              <w:tabs>
                <w:tab w:val="left" w:pos="5400"/>
              </w:tabs>
              <w:adjustRightInd w:val="0"/>
              <w:snapToGrid w:val="0"/>
              <w:jc w:val="center"/>
              <w:rPr>
                <w:rFonts w:ascii="Times New Roman" w:hAnsi="Times New Roman"/>
                <w:b/>
              </w:rPr>
            </w:pPr>
            <w:r>
              <w:rPr>
                <w:rFonts w:ascii="Times New Roman" w:hAnsi="Times New Roman"/>
                <w:b/>
              </w:rPr>
              <w:t>噪声源</w:t>
            </w:r>
          </w:p>
        </w:tc>
        <w:tc>
          <w:tcPr>
            <w:tcW w:w="1269" w:type="pct"/>
            <w:tcBorders>
              <w:top w:val="single" w:color="auto" w:sz="12" w:space="0"/>
              <w:left w:val="single" w:color="auto" w:sz="4" w:space="0"/>
              <w:bottom w:val="single" w:color="auto" w:sz="4" w:space="0"/>
            </w:tcBorders>
            <w:tcMar>
              <w:top w:w="15" w:type="dxa"/>
              <w:left w:w="15" w:type="dxa"/>
              <w:bottom w:w="0" w:type="dxa"/>
              <w:right w:w="15" w:type="dxa"/>
            </w:tcMar>
            <w:vAlign w:val="center"/>
          </w:tcPr>
          <w:p>
            <w:pPr>
              <w:tabs>
                <w:tab w:val="left" w:pos="5400"/>
              </w:tabs>
              <w:adjustRightInd w:val="0"/>
              <w:snapToGrid w:val="0"/>
              <w:jc w:val="center"/>
              <w:rPr>
                <w:rFonts w:ascii="Times New Roman" w:hAnsi="Times New Roman"/>
                <w:b/>
              </w:rPr>
            </w:pPr>
            <w:r>
              <w:rPr>
                <w:rFonts w:ascii="Times New Roman" w:hAnsi="Times New Roman"/>
                <w:b/>
              </w:rPr>
              <w:t>固废堆场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397" w:hRule="atLeast"/>
        </w:trPr>
        <w:tc>
          <w:tcPr>
            <w:tcW w:w="380" w:type="pct"/>
            <w:tcBorders>
              <w:top w:val="single" w:color="auto" w:sz="4" w:space="0"/>
              <w:bottom w:val="single" w:color="auto" w:sz="4" w:space="0"/>
              <w:right w:val="single" w:color="auto" w:sz="4" w:space="0"/>
            </w:tcBorders>
            <w:tcMar>
              <w:top w:w="15" w:type="dxa"/>
              <w:left w:w="15" w:type="dxa"/>
              <w:bottom w:w="0" w:type="dxa"/>
              <w:right w:w="15" w:type="dxa"/>
            </w:tcMar>
            <w:vAlign w:val="center"/>
          </w:tcPr>
          <w:p>
            <w:pPr>
              <w:tabs>
                <w:tab w:val="left" w:pos="5400"/>
              </w:tabs>
              <w:adjustRightInd w:val="0"/>
              <w:snapToGrid w:val="0"/>
              <w:jc w:val="center"/>
              <w:rPr>
                <w:rFonts w:ascii="Times New Roman" w:hAnsi="Times New Roman"/>
              </w:rPr>
            </w:pPr>
            <w:r>
              <w:rPr>
                <w:rFonts w:ascii="Times New Roman" w:hAnsi="Times New Roman"/>
              </w:rPr>
              <w:t>1</w:t>
            </w:r>
          </w:p>
        </w:tc>
        <w:tc>
          <w:tcPr>
            <w:tcW w:w="81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tabs>
                <w:tab w:val="left" w:pos="5400"/>
              </w:tabs>
              <w:adjustRightInd w:val="0"/>
              <w:snapToGrid w:val="0"/>
              <w:jc w:val="center"/>
              <w:rPr>
                <w:rFonts w:ascii="Times New Roman" w:hAnsi="Times New Roman"/>
              </w:rPr>
            </w:pPr>
            <w:r>
              <w:rPr>
                <w:rFonts w:ascii="Times New Roman" w:hAnsi="Times New Roman"/>
              </w:rPr>
              <w:t>图形符号</w:t>
            </w:r>
          </w:p>
        </w:tc>
        <w:tc>
          <w:tcPr>
            <w:tcW w:w="126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tabs>
                <w:tab w:val="left" w:pos="5400"/>
              </w:tabs>
              <w:adjustRightInd w:val="0"/>
              <w:snapToGrid w:val="0"/>
              <w:rPr>
                <w:rFonts w:ascii="Times New Roman" w:hAnsi="Times New Roman"/>
              </w:rPr>
            </w:pPr>
            <w:r>
              <w:rPr>
                <w:rFonts w:ascii="Times New Roman" w:hAnsi="Times New Roman"/>
              </w:rPr>
              <mc:AlternateContent>
                <mc:Choice Requires="wpg">
                  <w:drawing>
                    <wp:anchor distT="0" distB="0" distL="114300" distR="114300" simplePos="0" relativeHeight="251769856" behindDoc="0" locked="0" layoutInCell="1" allowOverlap="1">
                      <wp:simplePos x="0" y="0"/>
                      <wp:positionH relativeFrom="column">
                        <wp:posOffset>354330</wp:posOffset>
                      </wp:positionH>
                      <wp:positionV relativeFrom="paragraph">
                        <wp:posOffset>104140</wp:posOffset>
                      </wp:positionV>
                      <wp:extent cx="723900" cy="704850"/>
                      <wp:effectExtent l="9525" t="6350" r="9525" b="12700"/>
                      <wp:wrapNone/>
                      <wp:docPr id="1093" name="组合 1093"/>
                      <wp:cNvGraphicFramePr/>
                      <a:graphic xmlns:a="http://schemas.openxmlformats.org/drawingml/2006/main">
                        <a:graphicData uri="http://schemas.microsoft.com/office/word/2010/wordprocessingGroup">
                          <wpg:wgp>
                            <wpg:cNvGrpSpPr/>
                            <wpg:grpSpPr>
                              <a:xfrm>
                                <a:off x="0" y="0"/>
                                <a:ext cx="723900" cy="704850"/>
                                <a:chOff x="0" y="0"/>
                                <a:chExt cx="2685" cy="2415"/>
                              </a:xfrm>
                            </wpg:grpSpPr>
                            <wps:wsp>
                              <wps:cNvPr id="1094" name="矩形 7490"/>
                              <wps:cNvSpPr>
                                <a:spLocks noChangeArrowheads="1"/>
                              </wps:cNvSpPr>
                              <wps:spPr bwMode="auto">
                                <a:xfrm>
                                  <a:off x="0" y="0"/>
                                  <a:ext cx="2685" cy="241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095" name="直线 7491"/>
                              <wps:cNvCnPr>
                                <a:cxnSpLocks noChangeShapeType="1"/>
                              </wps:cNvCnPr>
                              <wps:spPr bwMode="auto">
                                <a:xfrm>
                                  <a:off x="90" y="315"/>
                                  <a:ext cx="450" cy="0"/>
                                </a:xfrm>
                                <a:prstGeom prst="line">
                                  <a:avLst/>
                                </a:prstGeom>
                                <a:noFill/>
                                <a:ln w="9525">
                                  <a:solidFill>
                                    <a:srgbClr val="000000"/>
                                  </a:solidFill>
                                  <a:round/>
                                </a:ln>
                              </wps:spPr>
                              <wps:bodyPr/>
                            </wps:wsp>
                            <wps:wsp>
                              <wps:cNvPr id="1096" name="直线 7492"/>
                              <wps:cNvCnPr>
                                <a:cxnSpLocks noChangeShapeType="1"/>
                              </wps:cNvCnPr>
                              <wps:spPr bwMode="auto">
                                <a:xfrm>
                                  <a:off x="540" y="315"/>
                                  <a:ext cx="0" cy="600"/>
                                </a:xfrm>
                                <a:prstGeom prst="line">
                                  <a:avLst/>
                                </a:prstGeom>
                                <a:noFill/>
                                <a:ln w="9525">
                                  <a:solidFill>
                                    <a:srgbClr val="000000"/>
                                  </a:solidFill>
                                  <a:round/>
                                </a:ln>
                              </wps:spPr>
                              <wps:bodyPr/>
                            </wps:wsp>
                            <wps:wsp>
                              <wps:cNvPr id="1097" name="直线 7493"/>
                              <wps:cNvCnPr>
                                <a:cxnSpLocks noChangeShapeType="1"/>
                              </wps:cNvCnPr>
                              <wps:spPr bwMode="auto">
                                <a:xfrm flipH="1">
                                  <a:off x="120" y="915"/>
                                  <a:ext cx="420" cy="0"/>
                                </a:xfrm>
                                <a:prstGeom prst="line">
                                  <a:avLst/>
                                </a:prstGeom>
                                <a:noFill/>
                                <a:ln w="9525">
                                  <a:solidFill>
                                    <a:srgbClr val="000000"/>
                                  </a:solidFill>
                                  <a:round/>
                                </a:ln>
                              </wps:spPr>
                              <wps:bodyPr/>
                            </wps:wsp>
                            <wps:wsp>
                              <wps:cNvPr id="1098" name="未知"/>
                              <wps:cNvSpPr/>
                              <wps:spPr bwMode="auto">
                                <a:xfrm>
                                  <a:off x="720" y="405"/>
                                  <a:ext cx="1485" cy="1650"/>
                                </a:xfrm>
                                <a:custGeom>
                                  <a:avLst/>
                                  <a:gdLst>
                                    <a:gd name="T0" fmla="*/ 0 w 1275"/>
                                    <a:gd name="T1" fmla="*/ 0 h 1635"/>
                                    <a:gd name="T2" fmla="*/ 0 w 1275"/>
                                    <a:gd name="T3" fmla="*/ 435 h 1635"/>
                                    <a:gd name="T4" fmla="*/ 495 w 1275"/>
                                    <a:gd name="T5" fmla="*/ 1635 h 1635"/>
                                    <a:gd name="T6" fmla="*/ 1275 w 1275"/>
                                    <a:gd name="T7" fmla="*/ 1620 h 1635"/>
                                    <a:gd name="T8" fmla="*/ 0 w 1275"/>
                                    <a:gd name="T9" fmla="*/ 0 h 1635"/>
                                  </a:gdLst>
                                  <a:ahLst/>
                                  <a:cxnLst>
                                    <a:cxn ang="0">
                                      <a:pos x="T0" y="T1"/>
                                    </a:cxn>
                                    <a:cxn ang="0">
                                      <a:pos x="T2" y="T3"/>
                                    </a:cxn>
                                    <a:cxn ang="0">
                                      <a:pos x="T4" y="T5"/>
                                    </a:cxn>
                                    <a:cxn ang="0">
                                      <a:pos x="T6" y="T7"/>
                                    </a:cxn>
                                    <a:cxn ang="0">
                                      <a:pos x="T8" y="T9"/>
                                    </a:cxn>
                                  </a:cxnLst>
                                  <a:rect l="0" t="0" r="r" b="b"/>
                                  <a:pathLst>
                                    <a:path w="1275" h="1635">
                                      <a:moveTo>
                                        <a:pt x="0" y="0"/>
                                      </a:moveTo>
                                      <a:lnTo>
                                        <a:pt x="0" y="435"/>
                                      </a:lnTo>
                                      <a:lnTo>
                                        <a:pt x="495" y="1635"/>
                                      </a:lnTo>
                                      <a:lnTo>
                                        <a:pt x="1275" y="1620"/>
                                      </a:lnTo>
                                      <a:lnTo>
                                        <a:pt x="0" y="0"/>
                                      </a:lnTo>
                                      <a:close/>
                                    </a:path>
                                  </a:pathLst>
                                </a:custGeom>
                                <a:solidFill>
                                  <a:srgbClr val="333333"/>
                                </a:solidFill>
                                <a:ln w="9525" cmpd="sng">
                                  <a:solidFill>
                                    <a:srgbClr val="000000"/>
                                  </a:solidFill>
                                  <a:round/>
                                </a:ln>
                              </wps:spPr>
                              <wps:bodyPr rot="0" vert="horz" wrap="square" lIns="91440" tIns="45720" rIns="91440" bIns="45720" anchor="t" anchorCtr="0" upright="1">
                                <a:noAutofit/>
                              </wps:bodyPr>
                            </wps:wsp>
                            <wps:wsp>
                              <wps:cNvPr id="1099" name="直线 7495"/>
                              <wps:cNvCnPr>
                                <a:cxnSpLocks noChangeShapeType="1"/>
                              </wps:cNvCnPr>
                              <wps:spPr bwMode="auto">
                                <a:xfrm>
                                  <a:off x="150" y="2055"/>
                                  <a:ext cx="2415" cy="0"/>
                                </a:xfrm>
                                <a:prstGeom prst="line">
                                  <a:avLst/>
                                </a:prstGeom>
                                <a:noFill/>
                                <a:ln w="9525">
                                  <a:solidFill>
                                    <a:srgbClr val="000000"/>
                                  </a:solidFill>
                                  <a:round/>
                                </a:ln>
                              </wps:spPr>
                              <wps:bodyPr/>
                            </wps:wsp>
                            <wps:wsp>
                              <wps:cNvPr id="1100" name="直线 7496"/>
                              <wps:cNvCnPr>
                                <a:cxnSpLocks noChangeShapeType="1"/>
                              </wps:cNvCnPr>
                              <wps:spPr bwMode="auto">
                                <a:xfrm>
                                  <a:off x="1305" y="2115"/>
                                  <a:ext cx="930" cy="0"/>
                                </a:xfrm>
                                <a:prstGeom prst="line">
                                  <a:avLst/>
                                </a:prstGeom>
                                <a:noFill/>
                                <a:ln w="9525">
                                  <a:solidFill>
                                    <a:srgbClr val="000000"/>
                                  </a:solidFill>
                                  <a:round/>
                                </a:ln>
                              </wps:spPr>
                              <wps:bodyPr/>
                            </wps:wsp>
                            <wps:wsp>
                              <wps:cNvPr id="1101" name="直线 7497"/>
                              <wps:cNvCnPr>
                                <a:cxnSpLocks noChangeShapeType="1"/>
                              </wps:cNvCnPr>
                              <wps:spPr bwMode="auto">
                                <a:xfrm>
                                  <a:off x="1305" y="2190"/>
                                  <a:ext cx="930" cy="0"/>
                                </a:xfrm>
                                <a:prstGeom prst="line">
                                  <a:avLst/>
                                </a:prstGeom>
                                <a:noFill/>
                                <a:ln w="9525">
                                  <a:solidFill>
                                    <a:srgbClr val="000000"/>
                                  </a:solidFill>
                                  <a:round/>
                                </a:ln>
                              </wps:spPr>
                              <wps:bodyPr/>
                            </wps:wsp>
                            <wps:wsp>
                              <wps:cNvPr id="1102" name="直线 7498"/>
                              <wps:cNvCnPr>
                                <a:cxnSpLocks noChangeShapeType="1"/>
                              </wps:cNvCnPr>
                              <wps:spPr bwMode="auto">
                                <a:xfrm>
                                  <a:off x="300" y="2145"/>
                                  <a:ext cx="180" cy="0"/>
                                </a:xfrm>
                                <a:prstGeom prst="line">
                                  <a:avLst/>
                                </a:prstGeom>
                                <a:noFill/>
                                <a:ln w="9525">
                                  <a:solidFill>
                                    <a:srgbClr val="000000"/>
                                  </a:solidFill>
                                  <a:round/>
                                </a:ln>
                              </wps:spPr>
                              <wps:bodyPr/>
                            </wps:wsp>
                            <wps:wsp>
                              <wps:cNvPr id="1103" name="直线 7499"/>
                              <wps:cNvCnPr>
                                <a:cxnSpLocks noChangeShapeType="1"/>
                              </wps:cNvCnPr>
                              <wps:spPr bwMode="auto">
                                <a:xfrm>
                                  <a:off x="555" y="2145"/>
                                  <a:ext cx="180" cy="0"/>
                                </a:xfrm>
                                <a:prstGeom prst="line">
                                  <a:avLst/>
                                </a:prstGeom>
                                <a:noFill/>
                                <a:ln w="9525">
                                  <a:solidFill>
                                    <a:srgbClr val="000000"/>
                                  </a:solidFill>
                                  <a:round/>
                                </a:ln>
                              </wps:spPr>
                              <wps:bodyPr/>
                            </wps:wsp>
                            <wps:wsp>
                              <wps:cNvPr id="1104" name="直线 7500"/>
                              <wps:cNvCnPr>
                                <a:cxnSpLocks noChangeShapeType="1"/>
                              </wps:cNvCnPr>
                              <wps:spPr bwMode="auto">
                                <a:xfrm>
                                  <a:off x="795" y="2145"/>
                                  <a:ext cx="180" cy="0"/>
                                </a:xfrm>
                                <a:prstGeom prst="line">
                                  <a:avLst/>
                                </a:prstGeom>
                                <a:noFill/>
                                <a:ln w="9525">
                                  <a:solidFill>
                                    <a:srgbClr val="000000"/>
                                  </a:solidFill>
                                  <a:round/>
                                </a:ln>
                              </wps:spPr>
                              <wps:bodyPr/>
                            </wps:wsp>
                            <wps:wsp>
                              <wps:cNvPr id="1105" name="直线 7501"/>
                              <wps:cNvCnPr>
                                <a:cxnSpLocks noChangeShapeType="1"/>
                              </wps:cNvCnPr>
                              <wps:spPr bwMode="auto">
                                <a:xfrm>
                                  <a:off x="1035" y="2145"/>
                                  <a:ext cx="180" cy="0"/>
                                </a:xfrm>
                                <a:prstGeom prst="line">
                                  <a:avLst/>
                                </a:prstGeom>
                                <a:noFill/>
                                <a:ln w="9525">
                                  <a:solidFill>
                                    <a:srgbClr val="000000"/>
                                  </a:solidFill>
                                  <a:round/>
                                </a:ln>
                              </wps:spPr>
                              <wps:bodyPr/>
                            </wps:wsp>
                            <wps:wsp>
                              <wps:cNvPr id="1106" name="直线 7502"/>
                              <wps:cNvCnPr>
                                <a:cxnSpLocks noChangeShapeType="1"/>
                              </wps:cNvCnPr>
                              <wps:spPr bwMode="auto">
                                <a:xfrm>
                                  <a:off x="2310" y="2145"/>
                                  <a:ext cx="180" cy="0"/>
                                </a:xfrm>
                                <a:prstGeom prst="line">
                                  <a:avLst/>
                                </a:prstGeom>
                                <a:noFill/>
                                <a:ln w="9525">
                                  <a:solidFill>
                                    <a:srgbClr val="000000"/>
                                  </a:solidFill>
                                  <a:round/>
                                </a:ln>
                              </wps:spPr>
                              <wps:bodyPr/>
                            </wps:wsp>
                          </wpg:wgp>
                        </a:graphicData>
                      </a:graphic>
                    </wp:anchor>
                  </w:drawing>
                </mc:Choice>
                <mc:Fallback>
                  <w:pict>
                    <v:group id="_x0000_s1026" o:spid="_x0000_s1026" o:spt="203" style="position:absolute;left:0pt;margin-left:27.9pt;margin-top:8.2pt;height:55.5pt;width:57pt;z-index:251769856;mso-width-relative:page;mso-height-relative:page;" coordsize="2685,2415" o:gfxdata="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">
                      <o:lock v:ext="edit" aspectratio="f"/>
                      <v:rect id="矩形 7490" o:spid="_x0000_s1026" o:spt="1" style="position:absolute;left:0;top:0;height:2415;width:2685;" fillcolor="#FFFFFF" filled="t" stroked="t" coordsize="21600,21600" o:gfxdata="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Ug/r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line id="直线 7491" o:spid="_x0000_s1026" o:spt="20" style="position:absolute;left:90;top:315;height:0;width:450;" filled="f" stroked="t" coordsize="21600,21600" o:gfxdata="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1pNO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7492" o:spid="_x0000_s1026" o:spt="20" style="position:absolute;left:540;top:315;height:600;width:0;" filled="f" stroked="t" coordsize="21600,21600" o:gfxdata="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iNNN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7493" o:spid="_x0000_s1026" o:spt="20" style="position:absolute;left:120;top:915;flip:x;height:0;width:420;" filled="f" stroked="t" coordsize="21600,21600" o:gfxdata="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Ek/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未知" o:spid="_x0000_s1026" o:spt="100" style="position:absolute;left:720;top:405;height:1650;width:1485;" fillcolor="#333333" filled="t" stroked="t" coordsize="1275,1635" o:gfxdata="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7uwA6/&#10;AAAA3QAAAA8AAAAAAAAAAQAgAAAAIgAAAGRycy9kb3ducmV2LnhtbFBLAQIUABQAAAAIAIdO4kAz&#10;LwWeOwAAADkAAAAQAAAAAAAAAAEAIAAAAA4BAABkcnMvc2hhcGV4bWwueG1sUEsFBgAAAAAGAAYA&#10;WwEAALgDAAAAAA==&#10;" path="m0,0l0,435,495,1635,1275,1620,0,0xe">
                        <v:path o:connectlocs="0,0;0,438;576,1650;1485,1634;0,0" o:connectangles="0,0,0,0,0"/>
                        <v:fill on="t" focussize="0,0"/>
                        <v:stroke color="#000000" joinstyle="round"/>
                        <v:imagedata o:title=""/>
                        <o:lock v:ext="edit" aspectratio="f"/>
                      </v:shape>
                      <v:line id="直线 7495" o:spid="_x0000_s1026" o:spt="20" style="position:absolute;left:150;top:2055;height:0;width:2415;" filled="f" stroked="t" coordsize="21600,21600" o:gfxdata="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F0c/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7496" o:spid="_x0000_s1026" o:spt="20" style="position:absolute;left:1305;top:2115;height:0;width:930;" filled="f" stroked="t" coordsize="21600,21600" o:gfxdata="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GdL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7497" o:spid="_x0000_s1026" o:spt="20" style="position:absolute;left:1305;top:2190;height:0;width:930;" filled="f" stroked="t" coordsize="21600,21600" o:gfxdata="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orRI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7498" o:spid="_x0000_s1026" o:spt="20" style="position:absolute;left:300;top:2145;height:0;width:180;" filled="f" stroked="t" coordsize="21600,21600" o:gfxdata="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hPV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7499" o:spid="_x0000_s1026" o:spt="20" style="position:absolute;left:555;top:2145;height:0;width:180;" filled="f" stroked="t" coordsize="21600,21600" o:gfxdata="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FOrP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7500" o:spid="_x0000_s1026" o:spt="20" style="position:absolute;left:795;top:2145;height:0;width:180;" filled="f" stroked="t" coordsize="21600,21600" o:gfxdata="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v1yu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7501" o:spid="_x0000_s1026" o:spt="20" style="position:absolute;left:1035;top:2145;height:0;width:180;" filled="f" stroked="t" coordsize="21600,21600" o:gfxdata="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bHXI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7502" o:spid="_x0000_s1026" o:spt="20" style="position:absolute;left:2310;top:2145;height:0;width:180;" filled="f" stroked="t" coordsize="21600,21600" o:gfxdata="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Y0lX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w:pict>
                </mc:Fallback>
              </mc:AlternateContent>
            </w:r>
          </w:p>
        </w:tc>
        <w:tc>
          <w:tcPr>
            <w:tcW w:w="126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tabs>
                <w:tab w:val="left" w:pos="5400"/>
              </w:tabs>
              <w:adjustRightInd w:val="0"/>
              <w:snapToGrid w:val="0"/>
              <w:jc w:val="center"/>
              <w:rPr>
                <w:rFonts w:ascii="Times New Roman" w:hAnsi="Times New Roman"/>
              </w:rPr>
            </w:pPr>
            <w:r>
              <w:rPr>
                <w:rFonts w:ascii="Times New Roman" w:hAnsi="Times New Roman"/>
              </w:rPr>
              <mc:AlternateContent>
                <mc:Choice Requires="wpg">
                  <w:drawing>
                    <wp:anchor distT="0" distB="0" distL="114300" distR="114300" simplePos="0" relativeHeight="251770880" behindDoc="0" locked="0" layoutInCell="1" allowOverlap="1">
                      <wp:simplePos x="0" y="0"/>
                      <wp:positionH relativeFrom="column">
                        <wp:posOffset>336550</wp:posOffset>
                      </wp:positionH>
                      <wp:positionV relativeFrom="paragraph">
                        <wp:posOffset>86360</wp:posOffset>
                      </wp:positionV>
                      <wp:extent cx="723900" cy="704850"/>
                      <wp:effectExtent l="12065" t="7620" r="6985" b="11430"/>
                      <wp:wrapNone/>
                      <wp:docPr id="1086" name="组合 1086"/>
                      <wp:cNvGraphicFramePr/>
                      <a:graphic xmlns:a="http://schemas.openxmlformats.org/drawingml/2006/main">
                        <a:graphicData uri="http://schemas.microsoft.com/office/word/2010/wordprocessingGroup">
                          <wpg:wgp>
                            <wpg:cNvGrpSpPr/>
                            <wpg:grpSpPr>
                              <a:xfrm>
                                <a:off x="0" y="0"/>
                                <a:ext cx="723900" cy="704850"/>
                                <a:chOff x="0" y="0"/>
                                <a:chExt cx="1890" cy="1860"/>
                              </a:xfrm>
                            </wpg:grpSpPr>
                            <wps:wsp>
                              <wps:cNvPr id="1087" name="矩形 7504"/>
                              <wps:cNvSpPr>
                                <a:spLocks noChangeArrowheads="1"/>
                              </wps:cNvSpPr>
                              <wps:spPr bwMode="auto">
                                <a:xfrm>
                                  <a:off x="0" y="0"/>
                                  <a:ext cx="1890" cy="18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088" name="未知"/>
                              <wps:cNvSpPr/>
                              <wps:spPr bwMode="auto">
                                <a:xfrm>
                                  <a:off x="315" y="385"/>
                                  <a:ext cx="515" cy="1080"/>
                                </a:xfrm>
                                <a:custGeom>
                                  <a:avLst/>
                                  <a:gdLst>
                                    <a:gd name="T0" fmla="*/ 0 w 800"/>
                                    <a:gd name="T1" fmla="*/ 260 h 1380"/>
                                    <a:gd name="T2" fmla="*/ 600 w 800"/>
                                    <a:gd name="T3" fmla="*/ 50 h 1380"/>
                                    <a:gd name="T4" fmla="*/ 795 w 800"/>
                                    <a:gd name="T5" fmla="*/ 560 h 1380"/>
                                    <a:gd name="T6" fmla="*/ 570 w 800"/>
                                    <a:gd name="T7" fmla="*/ 1265 h 1380"/>
                                    <a:gd name="T8" fmla="*/ 90 w 800"/>
                                    <a:gd name="T9" fmla="*/ 1250 h 1380"/>
                                  </a:gdLst>
                                  <a:ahLst/>
                                  <a:cxnLst>
                                    <a:cxn ang="0">
                                      <a:pos x="T0" y="T1"/>
                                    </a:cxn>
                                    <a:cxn ang="0">
                                      <a:pos x="T2" y="T3"/>
                                    </a:cxn>
                                    <a:cxn ang="0">
                                      <a:pos x="T4" y="T5"/>
                                    </a:cxn>
                                    <a:cxn ang="0">
                                      <a:pos x="T6" y="T7"/>
                                    </a:cxn>
                                    <a:cxn ang="0">
                                      <a:pos x="T8" y="T9"/>
                                    </a:cxn>
                                  </a:cxnLst>
                                  <a:rect l="0" t="0" r="r" b="b"/>
                                  <a:pathLst>
                                    <a:path w="800" h="1380">
                                      <a:moveTo>
                                        <a:pt x="0" y="260"/>
                                      </a:moveTo>
                                      <a:cubicBezTo>
                                        <a:pt x="233" y="130"/>
                                        <a:pt x="467" y="0"/>
                                        <a:pt x="600" y="50"/>
                                      </a:cubicBezTo>
                                      <a:cubicBezTo>
                                        <a:pt x="733" y="100"/>
                                        <a:pt x="800" y="358"/>
                                        <a:pt x="795" y="560"/>
                                      </a:cubicBezTo>
                                      <a:cubicBezTo>
                                        <a:pt x="790" y="762"/>
                                        <a:pt x="687" y="1150"/>
                                        <a:pt x="570" y="1265"/>
                                      </a:cubicBezTo>
                                      <a:cubicBezTo>
                                        <a:pt x="453" y="1380"/>
                                        <a:pt x="100" y="1195"/>
                                        <a:pt x="90" y="1250"/>
                                      </a:cubicBezTo>
                                    </a:path>
                                  </a:pathLst>
                                </a:custGeom>
                                <a:noFill/>
                                <a:ln w="9525" cmpd="sng">
                                  <a:solidFill>
                                    <a:srgbClr val="000000"/>
                                  </a:solidFill>
                                  <a:round/>
                                </a:ln>
                              </wps:spPr>
                              <wps:bodyPr rot="0" vert="horz" wrap="square" lIns="91440" tIns="45720" rIns="91440" bIns="45720" anchor="t" anchorCtr="0" upright="1">
                                <a:noAutofit/>
                              </wps:bodyPr>
                            </wps:wsp>
                            <wps:wsp>
                              <wps:cNvPr id="1089" name="未知"/>
                              <wps:cNvSpPr/>
                              <wps:spPr bwMode="auto">
                                <a:xfrm>
                                  <a:off x="480" y="667"/>
                                  <a:ext cx="180" cy="563"/>
                                </a:xfrm>
                                <a:custGeom>
                                  <a:avLst/>
                                  <a:gdLst>
                                    <a:gd name="T0" fmla="*/ 45 w 180"/>
                                    <a:gd name="T1" fmla="*/ 563 h 563"/>
                                    <a:gd name="T2" fmla="*/ 120 w 180"/>
                                    <a:gd name="T3" fmla="*/ 353 h 563"/>
                                    <a:gd name="T4" fmla="*/ 15 w 180"/>
                                    <a:gd name="T5" fmla="*/ 263 h 563"/>
                                    <a:gd name="T6" fmla="*/ 30 w 180"/>
                                    <a:gd name="T7" fmla="*/ 38 h 563"/>
                                    <a:gd name="T8" fmla="*/ 135 w 180"/>
                                    <a:gd name="T9" fmla="*/ 38 h 563"/>
                                    <a:gd name="T10" fmla="*/ 180 w 180"/>
                                    <a:gd name="T11" fmla="*/ 248 h 563"/>
                                  </a:gdLst>
                                  <a:ahLst/>
                                  <a:cxnLst>
                                    <a:cxn ang="0">
                                      <a:pos x="T0" y="T1"/>
                                    </a:cxn>
                                    <a:cxn ang="0">
                                      <a:pos x="T2" y="T3"/>
                                    </a:cxn>
                                    <a:cxn ang="0">
                                      <a:pos x="T4" y="T5"/>
                                    </a:cxn>
                                    <a:cxn ang="0">
                                      <a:pos x="T6" y="T7"/>
                                    </a:cxn>
                                    <a:cxn ang="0">
                                      <a:pos x="T8" y="T9"/>
                                    </a:cxn>
                                    <a:cxn ang="0">
                                      <a:pos x="T10" y="T11"/>
                                    </a:cxn>
                                  </a:cxnLst>
                                  <a:rect l="0" t="0" r="r" b="b"/>
                                  <a:pathLst>
                                    <a:path w="180" h="563">
                                      <a:moveTo>
                                        <a:pt x="45" y="563"/>
                                      </a:moveTo>
                                      <a:cubicBezTo>
                                        <a:pt x="85" y="483"/>
                                        <a:pt x="125" y="403"/>
                                        <a:pt x="120" y="353"/>
                                      </a:cubicBezTo>
                                      <a:cubicBezTo>
                                        <a:pt x="115" y="303"/>
                                        <a:pt x="30" y="315"/>
                                        <a:pt x="15" y="263"/>
                                      </a:cubicBezTo>
                                      <a:cubicBezTo>
                                        <a:pt x="0" y="211"/>
                                        <a:pt x="10" y="76"/>
                                        <a:pt x="30" y="38"/>
                                      </a:cubicBezTo>
                                      <a:cubicBezTo>
                                        <a:pt x="50" y="0"/>
                                        <a:pt x="110" y="3"/>
                                        <a:pt x="135" y="38"/>
                                      </a:cubicBezTo>
                                      <a:cubicBezTo>
                                        <a:pt x="160" y="73"/>
                                        <a:pt x="168" y="213"/>
                                        <a:pt x="180" y="248"/>
                                      </a:cubicBezTo>
                                    </a:path>
                                  </a:pathLst>
                                </a:custGeom>
                                <a:noFill/>
                                <a:ln w="9525" cmpd="sng">
                                  <a:solidFill>
                                    <a:srgbClr val="000000"/>
                                  </a:solidFill>
                                  <a:round/>
                                </a:ln>
                              </wps:spPr>
                              <wps:bodyPr rot="0" vert="horz" wrap="square" lIns="91440" tIns="45720" rIns="91440" bIns="45720" anchor="t" anchorCtr="0" upright="1">
                                <a:noAutofit/>
                              </wps:bodyPr>
                            </wps:wsp>
                            <wps:wsp>
                              <wps:cNvPr id="1090" name="未知"/>
                              <wps:cNvSpPr/>
                              <wps:spPr bwMode="auto">
                                <a:xfrm>
                                  <a:off x="992" y="255"/>
                                  <a:ext cx="373" cy="1365"/>
                                </a:xfrm>
                                <a:custGeom>
                                  <a:avLst/>
                                  <a:gdLst>
                                    <a:gd name="T0" fmla="*/ 403 w 463"/>
                                    <a:gd name="T1" fmla="*/ 0 h 1470"/>
                                    <a:gd name="T2" fmla="*/ 118 w 463"/>
                                    <a:gd name="T3" fmla="*/ 315 h 1470"/>
                                    <a:gd name="T4" fmla="*/ 13 w 463"/>
                                    <a:gd name="T5" fmla="*/ 855 h 1470"/>
                                    <a:gd name="T6" fmla="*/ 193 w 463"/>
                                    <a:gd name="T7" fmla="*/ 1305 h 1470"/>
                                    <a:gd name="T8" fmla="*/ 463 w 463"/>
                                    <a:gd name="T9" fmla="*/ 1470 h 1470"/>
                                  </a:gdLst>
                                  <a:ahLst/>
                                  <a:cxnLst>
                                    <a:cxn ang="0">
                                      <a:pos x="T0" y="T1"/>
                                    </a:cxn>
                                    <a:cxn ang="0">
                                      <a:pos x="T2" y="T3"/>
                                    </a:cxn>
                                    <a:cxn ang="0">
                                      <a:pos x="T4" y="T5"/>
                                    </a:cxn>
                                    <a:cxn ang="0">
                                      <a:pos x="T6" y="T7"/>
                                    </a:cxn>
                                    <a:cxn ang="0">
                                      <a:pos x="T8" y="T9"/>
                                    </a:cxn>
                                  </a:cxnLst>
                                  <a:rect l="0" t="0" r="r" b="b"/>
                                  <a:pathLst>
                                    <a:path w="463" h="1470">
                                      <a:moveTo>
                                        <a:pt x="403" y="0"/>
                                      </a:moveTo>
                                      <a:cubicBezTo>
                                        <a:pt x="293" y="86"/>
                                        <a:pt x="183" y="173"/>
                                        <a:pt x="118" y="315"/>
                                      </a:cubicBezTo>
                                      <a:cubicBezTo>
                                        <a:pt x="53" y="457"/>
                                        <a:pt x="0" y="690"/>
                                        <a:pt x="13" y="855"/>
                                      </a:cubicBezTo>
                                      <a:cubicBezTo>
                                        <a:pt x="26" y="1020"/>
                                        <a:pt x="118" y="1202"/>
                                        <a:pt x="193" y="1305"/>
                                      </a:cubicBezTo>
                                      <a:cubicBezTo>
                                        <a:pt x="268" y="1408"/>
                                        <a:pt x="418" y="1458"/>
                                        <a:pt x="463" y="1470"/>
                                      </a:cubicBezTo>
                                    </a:path>
                                  </a:pathLst>
                                </a:custGeom>
                                <a:noFill/>
                                <a:ln w="9525" cmpd="sng">
                                  <a:solidFill>
                                    <a:srgbClr val="000000"/>
                                  </a:solidFill>
                                  <a:round/>
                                </a:ln>
                              </wps:spPr>
                              <wps:bodyPr rot="0" vert="horz" wrap="square" lIns="91440" tIns="45720" rIns="91440" bIns="45720" anchor="t" anchorCtr="0" upright="1">
                                <a:noAutofit/>
                              </wps:bodyPr>
                            </wps:wsp>
                            <wps:wsp>
                              <wps:cNvPr id="1091" name="未知"/>
                              <wps:cNvSpPr/>
                              <wps:spPr bwMode="auto">
                                <a:xfrm>
                                  <a:off x="1183" y="435"/>
                                  <a:ext cx="287" cy="1005"/>
                                </a:xfrm>
                                <a:custGeom>
                                  <a:avLst/>
                                  <a:gdLst>
                                    <a:gd name="T0" fmla="*/ 287 w 287"/>
                                    <a:gd name="T1" fmla="*/ 0 h 1005"/>
                                    <a:gd name="T2" fmla="*/ 77 w 287"/>
                                    <a:gd name="T3" fmla="*/ 195 h 1005"/>
                                    <a:gd name="T4" fmla="*/ 2 w 287"/>
                                    <a:gd name="T5" fmla="*/ 480 h 1005"/>
                                    <a:gd name="T6" fmla="*/ 62 w 287"/>
                                    <a:gd name="T7" fmla="*/ 780 h 1005"/>
                                    <a:gd name="T8" fmla="*/ 227 w 287"/>
                                    <a:gd name="T9" fmla="*/ 1005 h 1005"/>
                                  </a:gdLst>
                                  <a:ahLst/>
                                  <a:cxnLst>
                                    <a:cxn ang="0">
                                      <a:pos x="T0" y="T1"/>
                                    </a:cxn>
                                    <a:cxn ang="0">
                                      <a:pos x="T2" y="T3"/>
                                    </a:cxn>
                                    <a:cxn ang="0">
                                      <a:pos x="T4" y="T5"/>
                                    </a:cxn>
                                    <a:cxn ang="0">
                                      <a:pos x="T6" y="T7"/>
                                    </a:cxn>
                                    <a:cxn ang="0">
                                      <a:pos x="T8" y="T9"/>
                                    </a:cxn>
                                  </a:cxnLst>
                                  <a:rect l="0" t="0" r="r" b="b"/>
                                  <a:pathLst>
                                    <a:path w="287" h="1005">
                                      <a:moveTo>
                                        <a:pt x="287" y="0"/>
                                      </a:moveTo>
                                      <a:cubicBezTo>
                                        <a:pt x="206" y="57"/>
                                        <a:pt x="125" y="115"/>
                                        <a:pt x="77" y="195"/>
                                      </a:cubicBezTo>
                                      <a:cubicBezTo>
                                        <a:pt x="29" y="275"/>
                                        <a:pt x="4" y="383"/>
                                        <a:pt x="2" y="480"/>
                                      </a:cubicBezTo>
                                      <a:cubicBezTo>
                                        <a:pt x="0" y="577"/>
                                        <a:pt x="25" y="692"/>
                                        <a:pt x="62" y="780"/>
                                      </a:cubicBezTo>
                                      <a:cubicBezTo>
                                        <a:pt x="99" y="868"/>
                                        <a:pt x="195" y="978"/>
                                        <a:pt x="227" y="1005"/>
                                      </a:cubicBezTo>
                                    </a:path>
                                  </a:pathLst>
                                </a:custGeom>
                                <a:noFill/>
                                <a:ln w="9525" cmpd="sng">
                                  <a:solidFill>
                                    <a:srgbClr val="000000"/>
                                  </a:solidFill>
                                  <a:round/>
                                </a:ln>
                              </wps:spPr>
                              <wps:bodyPr rot="0" vert="horz" wrap="square" lIns="91440" tIns="45720" rIns="91440" bIns="45720" anchor="t" anchorCtr="0" upright="1">
                                <a:noAutofit/>
                              </wps:bodyPr>
                            </wps:wsp>
                            <wps:wsp>
                              <wps:cNvPr id="1092" name="未知"/>
                              <wps:cNvSpPr/>
                              <wps:spPr bwMode="auto">
                                <a:xfrm>
                                  <a:off x="1393" y="600"/>
                                  <a:ext cx="182" cy="660"/>
                                </a:xfrm>
                                <a:custGeom>
                                  <a:avLst/>
                                  <a:gdLst>
                                    <a:gd name="T0" fmla="*/ 182 w 182"/>
                                    <a:gd name="T1" fmla="*/ 0 h 660"/>
                                    <a:gd name="T2" fmla="*/ 47 w 182"/>
                                    <a:gd name="T3" fmla="*/ 210 h 660"/>
                                    <a:gd name="T4" fmla="*/ 17 w 182"/>
                                    <a:gd name="T5" fmla="*/ 480 h 660"/>
                                    <a:gd name="T6" fmla="*/ 152 w 182"/>
                                    <a:gd name="T7" fmla="*/ 660 h 660"/>
                                  </a:gdLst>
                                  <a:ahLst/>
                                  <a:cxnLst>
                                    <a:cxn ang="0">
                                      <a:pos x="T0" y="T1"/>
                                    </a:cxn>
                                    <a:cxn ang="0">
                                      <a:pos x="T2" y="T3"/>
                                    </a:cxn>
                                    <a:cxn ang="0">
                                      <a:pos x="T4" y="T5"/>
                                    </a:cxn>
                                    <a:cxn ang="0">
                                      <a:pos x="T6" y="T7"/>
                                    </a:cxn>
                                  </a:cxnLst>
                                  <a:rect l="0" t="0" r="r" b="b"/>
                                  <a:pathLst>
                                    <a:path w="182" h="660">
                                      <a:moveTo>
                                        <a:pt x="182" y="0"/>
                                      </a:moveTo>
                                      <a:cubicBezTo>
                                        <a:pt x="128" y="65"/>
                                        <a:pt x="75" y="130"/>
                                        <a:pt x="47" y="210"/>
                                      </a:cubicBezTo>
                                      <a:cubicBezTo>
                                        <a:pt x="19" y="290"/>
                                        <a:pt x="0" y="405"/>
                                        <a:pt x="17" y="480"/>
                                      </a:cubicBezTo>
                                      <a:cubicBezTo>
                                        <a:pt x="34" y="555"/>
                                        <a:pt x="125" y="625"/>
                                        <a:pt x="152" y="660"/>
                                      </a:cubicBezTo>
                                    </a:path>
                                  </a:pathLst>
                                </a:custGeom>
                                <a:noFill/>
                                <a:ln w="9525" cmpd="sng">
                                  <a:solidFill>
                                    <a:srgbClr val="000000"/>
                                  </a:solidFill>
                                  <a:round/>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6.5pt;margin-top:6.8pt;height:55.5pt;width:57pt;z-index:251770880;mso-width-relative:page;mso-height-relative:page;" coordsize="1890,1860" o:gfxdata="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">
                      <o:lock v:ext="edit" aspectratio="f"/>
                      <v:rect id="矩形 7504" o:spid="_x0000_s1026" o:spt="1" style="position:absolute;left:0;top:0;height:1860;width:1890;" fillcolor="#FFFFFF" filled="t" stroked="t" coordsize="21600,21600" o:gfxdata="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WQdB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shape id="未知" o:spid="_x0000_s1026" o:spt="100" style="position:absolute;left:315;top:385;height:1080;width:515;" filled="f" stroked="t" coordsize="800,1380" o:gfxdata="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bnUi/&#10;AAAA3QAAAA8AAAAAAAAAAQAgAAAAIgAAAGRycy9kb3ducmV2LnhtbFBLAQIUABQAAAAIAIdO4kAz&#10;LwWeOwAAADkAAAAQAAAAAAAAAAEAIAAAAA4BAABkcnMvc2hhcGV4bWwueG1sUEsFBgAAAAAGAAYA&#10;WwEAALgDAAAAAA==&#10;" path="m0,260c233,130,467,0,600,50c733,100,800,358,795,560c790,762,687,1150,570,1265c453,1380,100,1195,90,1250e">
                        <v:path o:connectlocs="0,203;386,39;511,438;366,990;57,978" o:connectangles="0,0,0,0,0"/>
                        <v:fill on="f" focussize="0,0"/>
                        <v:stroke color="#000000" joinstyle="round"/>
                        <v:imagedata o:title=""/>
                        <o:lock v:ext="edit" aspectratio="f"/>
                      </v:shape>
                      <v:shape id="未知" o:spid="_x0000_s1026" o:spt="100" style="position:absolute;left:480;top:667;height:563;width:180;" filled="f" stroked="t" coordsize="180,563" o:gfxdata="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cexy8AAAA&#10;3QAAAA8AAAAAAAAAAQAgAAAAIgAAAGRycy9kb3ducmV2LnhtbFBLAQIUABQAAAAIAIdO4kAzLwWe&#10;OwAAADkAAAAQAAAAAAAAAAEAIAAAAAsBAABkcnMvc2hhcGV4bWwueG1sUEsFBgAAAAAGAAYAWwEA&#10;ALUDAAAAAA==&#10;" path="m45,563c85,483,125,403,120,353c115,303,30,315,15,263c0,211,10,76,30,38c50,0,110,3,135,38c160,73,168,213,180,248e">
                        <v:path o:connectlocs="45,563;120,353;15,263;30,38;135,38;180,248" o:connectangles="0,0,0,0,0,0"/>
                        <v:fill on="f" focussize="0,0"/>
                        <v:stroke color="#000000" joinstyle="round"/>
                        <v:imagedata o:title=""/>
                        <o:lock v:ext="edit" aspectratio="f"/>
                      </v:shape>
                      <v:shape id="未知" o:spid="_x0000_s1026" o:spt="100" style="position:absolute;left:992;top:255;height:1365;width:373;" filled="f" stroked="t" coordsize="463,1470" o:gfxdata="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jAm+vQAA&#10;AN0AAAAPAAAAAAAAAAEAIAAAACIAAABkcnMvZG93bnJldi54bWxQSwECFAAUAAAACACHTuJAMy8F&#10;njsAAAA5AAAAEAAAAAAAAAABACAAAAAMAQAAZHJzL3NoYXBleG1sLnhtbFBLBQYAAAAABgAGAFsB&#10;AAC2AwAAAAA=&#10;" path="m403,0c293,86,183,173,118,315c53,457,0,690,13,855c26,1020,118,1202,193,1305c268,1408,418,1458,463,1470e">
                        <v:path o:connectlocs="324,0;95,292;10,793;155,1211;373,1365" o:connectangles="0,0,0,0,0"/>
                        <v:fill on="f" focussize="0,0"/>
                        <v:stroke color="#000000" joinstyle="round"/>
                        <v:imagedata o:title=""/>
                        <o:lock v:ext="edit" aspectratio="f"/>
                      </v:shape>
                      <v:shape id="未知" o:spid="_x0000_s1026" o:spt="100" style="position:absolute;left:1183;top:435;height:1005;width:287;" filled="f" stroked="t" coordsize="287,1005" o:gfxdata="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2l+K8AAAA&#10;3QAAAA8AAAAAAAAAAQAgAAAAIgAAAGRycy9kb3ducmV2LnhtbFBLAQIUABQAAAAIAIdO4kAzLwWe&#10;OwAAADkAAAAQAAAAAAAAAAEAIAAAAAsBAABkcnMvc2hhcGV4bWwueG1sUEsFBgAAAAAGAAYAWwEA&#10;ALUDAAAAAA==&#10;" path="m287,0c206,57,125,115,77,195c29,275,4,383,2,480c0,577,25,692,62,780c99,868,195,978,227,1005e">
                        <v:path o:connectlocs="287,0;77,195;2,480;62,780;227,1005" o:connectangles="0,0,0,0,0"/>
                        <v:fill on="f" focussize="0,0"/>
                        <v:stroke color="#000000" joinstyle="round"/>
                        <v:imagedata o:title=""/>
                        <o:lock v:ext="edit" aspectratio="f"/>
                      </v:shape>
                      <v:shape id="未知" o:spid="_x0000_s1026" o:spt="100" style="position:absolute;left:1393;top:600;height:660;width:182;" filled="f" stroked="t" coordsize="182,660" o:gfxdata="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4IGr4A&#10;AADdAAAADwAAAAAAAAABACAAAAAiAAAAZHJzL2Rvd25yZXYueG1sUEsBAhQAFAAAAAgAh07iQDMv&#10;BZ47AAAAOQAAABAAAAAAAAAAAQAgAAAADQEAAGRycy9zaGFwZXhtbC54bWxQSwUGAAAAAAYABgBb&#10;AQAAtwMAAAAA&#10;" path="m182,0c128,65,75,130,47,210c19,290,0,405,17,480c34,555,125,625,152,660e">
                        <v:path o:connectlocs="182,0;47,210;17,480;152,660" o:connectangles="0,0,0,0"/>
                        <v:fill on="f" focussize="0,0"/>
                        <v:stroke color="#000000" joinstyle="round"/>
                        <v:imagedata o:title=""/>
                        <o:lock v:ext="edit" aspectratio="f"/>
                      </v:shape>
                    </v:group>
                  </w:pict>
                </mc:Fallback>
              </mc:AlternateContent>
            </w:r>
          </w:p>
        </w:tc>
        <w:tc>
          <w:tcPr>
            <w:tcW w:w="1269" w:type="pct"/>
            <w:tcBorders>
              <w:top w:val="single" w:color="auto" w:sz="4" w:space="0"/>
              <w:left w:val="single" w:color="auto" w:sz="4" w:space="0"/>
              <w:bottom w:val="single" w:color="auto" w:sz="4" w:space="0"/>
            </w:tcBorders>
            <w:tcMar>
              <w:top w:w="15" w:type="dxa"/>
              <w:left w:w="15" w:type="dxa"/>
              <w:bottom w:w="0" w:type="dxa"/>
              <w:right w:w="15" w:type="dxa"/>
            </w:tcMar>
            <w:vAlign w:val="center"/>
          </w:tcPr>
          <w:p>
            <w:pPr>
              <w:tabs>
                <w:tab w:val="left" w:pos="5400"/>
              </w:tabs>
              <w:adjustRightInd w:val="0"/>
              <w:snapToGrid w:val="0"/>
              <w:jc w:val="center"/>
              <w:rPr>
                <w:rFonts w:ascii="Times New Roman" w:hAnsi="Times New Roman"/>
              </w:rPr>
            </w:pPr>
            <w:r>
              <w:rPr>
                <w:rFonts w:ascii="Times New Roman" w:hAnsi="Times New Roman"/>
              </w:rPr>
              <mc:AlternateContent>
                <mc:Choice Requires="wpg">
                  <w:drawing>
                    <wp:anchor distT="0" distB="0" distL="114300" distR="114300" simplePos="0" relativeHeight="251771904" behindDoc="0" locked="0" layoutInCell="1" allowOverlap="1">
                      <wp:simplePos x="0" y="0"/>
                      <wp:positionH relativeFrom="column">
                        <wp:posOffset>322580</wp:posOffset>
                      </wp:positionH>
                      <wp:positionV relativeFrom="paragraph">
                        <wp:posOffset>94615</wp:posOffset>
                      </wp:positionV>
                      <wp:extent cx="752475" cy="695325"/>
                      <wp:effectExtent l="9525" t="6350" r="9525" b="12700"/>
                      <wp:wrapNone/>
                      <wp:docPr id="1071" name="组合 1071"/>
                      <wp:cNvGraphicFramePr/>
                      <a:graphic xmlns:a="http://schemas.openxmlformats.org/drawingml/2006/main">
                        <a:graphicData uri="http://schemas.microsoft.com/office/word/2010/wordprocessingGroup">
                          <wpg:wgp>
                            <wpg:cNvGrpSpPr/>
                            <wpg:grpSpPr>
                              <a:xfrm>
                                <a:off x="0" y="0"/>
                                <a:ext cx="752475" cy="695325"/>
                                <a:chOff x="0" y="0"/>
                                <a:chExt cx="2160" cy="1785"/>
                              </a:xfrm>
                            </wpg:grpSpPr>
                            <wps:wsp>
                              <wps:cNvPr id="1072" name="矩形 7511"/>
                              <wps:cNvSpPr>
                                <a:spLocks noChangeArrowheads="1"/>
                              </wps:cNvSpPr>
                              <wps:spPr bwMode="auto">
                                <a:xfrm>
                                  <a:off x="0" y="0"/>
                                  <a:ext cx="2160" cy="178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073" name="未知"/>
                              <wps:cNvSpPr/>
                              <wps:spPr bwMode="auto">
                                <a:xfrm>
                                  <a:off x="105" y="540"/>
                                  <a:ext cx="1980" cy="825"/>
                                </a:xfrm>
                                <a:custGeom>
                                  <a:avLst/>
                                  <a:gdLst>
                                    <a:gd name="T0" fmla="*/ 735 w 1980"/>
                                    <a:gd name="T1" fmla="*/ 195 h 825"/>
                                    <a:gd name="T2" fmla="*/ 735 w 1980"/>
                                    <a:gd name="T3" fmla="*/ 645 h 825"/>
                                    <a:gd name="T4" fmla="*/ 1380 w 1980"/>
                                    <a:gd name="T5" fmla="*/ 645 h 825"/>
                                    <a:gd name="T6" fmla="*/ 420 w 1980"/>
                                    <a:gd name="T7" fmla="*/ 0 h 825"/>
                                    <a:gd name="T8" fmla="*/ 0 w 1980"/>
                                    <a:gd name="T9" fmla="*/ 825 h 825"/>
                                    <a:gd name="T10" fmla="*/ 1980 w 1980"/>
                                    <a:gd name="T11" fmla="*/ 825 h 825"/>
                                  </a:gdLst>
                                  <a:ahLst/>
                                  <a:cxnLst>
                                    <a:cxn ang="0">
                                      <a:pos x="T0" y="T1"/>
                                    </a:cxn>
                                    <a:cxn ang="0">
                                      <a:pos x="T2" y="T3"/>
                                    </a:cxn>
                                    <a:cxn ang="0">
                                      <a:pos x="T4" y="T5"/>
                                    </a:cxn>
                                    <a:cxn ang="0">
                                      <a:pos x="T6" y="T7"/>
                                    </a:cxn>
                                    <a:cxn ang="0">
                                      <a:pos x="T8" y="T9"/>
                                    </a:cxn>
                                    <a:cxn ang="0">
                                      <a:pos x="T10" y="T11"/>
                                    </a:cxn>
                                  </a:cxnLst>
                                  <a:rect l="0" t="0" r="r" b="b"/>
                                  <a:pathLst>
                                    <a:path w="1980" h="825">
                                      <a:moveTo>
                                        <a:pt x="735" y="195"/>
                                      </a:moveTo>
                                      <a:lnTo>
                                        <a:pt x="735" y="645"/>
                                      </a:lnTo>
                                      <a:lnTo>
                                        <a:pt x="1380" y="645"/>
                                      </a:lnTo>
                                      <a:lnTo>
                                        <a:pt x="420" y="0"/>
                                      </a:lnTo>
                                      <a:lnTo>
                                        <a:pt x="0" y="825"/>
                                      </a:lnTo>
                                      <a:lnTo>
                                        <a:pt x="1980" y="825"/>
                                      </a:lnTo>
                                    </a:path>
                                  </a:pathLst>
                                </a:custGeom>
                                <a:noFill/>
                                <a:ln w="9525" cmpd="sng">
                                  <a:solidFill>
                                    <a:srgbClr val="000000"/>
                                  </a:solidFill>
                                  <a:round/>
                                </a:ln>
                              </wps:spPr>
                              <wps:bodyPr rot="0" vert="horz" wrap="square" lIns="91440" tIns="45720" rIns="91440" bIns="45720" anchor="t" anchorCtr="0" upright="1">
                                <a:noAutofit/>
                              </wps:bodyPr>
                            </wps:wsp>
                            <wps:wsp>
                              <wps:cNvPr id="1074" name="椭圆 7513"/>
                              <wps:cNvSpPr>
                                <a:spLocks noChangeArrowheads="1"/>
                              </wps:cNvSpPr>
                              <wps:spPr bwMode="auto">
                                <a:xfrm>
                                  <a:off x="1050" y="1200"/>
                                  <a:ext cx="120" cy="16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075" name="未知"/>
                              <wps:cNvSpPr/>
                              <wps:spPr bwMode="auto">
                                <a:xfrm>
                                  <a:off x="840" y="510"/>
                                  <a:ext cx="510" cy="660"/>
                                </a:xfrm>
                                <a:custGeom>
                                  <a:avLst/>
                                  <a:gdLst>
                                    <a:gd name="T0" fmla="*/ 15 w 510"/>
                                    <a:gd name="T1" fmla="*/ 240 h 660"/>
                                    <a:gd name="T2" fmla="*/ 315 w 510"/>
                                    <a:gd name="T3" fmla="*/ 0 h 660"/>
                                    <a:gd name="T4" fmla="*/ 510 w 510"/>
                                    <a:gd name="T5" fmla="*/ 210 h 660"/>
                                    <a:gd name="T6" fmla="*/ 0 w 510"/>
                                    <a:gd name="T7" fmla="*/ 660 h 660"/>
                                  </a:gdLst>
                                  <a:ahLst/>
                                  <a:cxnLst>
                                    <a:cxn ang="0">
                                      <a:pos x="T0" y="T1"/>
                                    </a:cxn>
                                    <a:cxn ang="0">
                                      <a:pos x="T2" y="T3"/>
                                    </a:cxn>
                                    <a:cxn ang="0">
                                      <a:pos x="T4" y="T5"/>
                                    </a:cxn>
                                    <a:cxn ang="0">
                                      <a:pos x="T6" y="T7"/>
                                    </a:cxn>
                                  </a:cxnLst>
                                  <a:rect l="0" t="0" r="r" b="b"/>
                                  <a:pathLst>
                                    <a:path w="510" h="660">
                                      <a:moveTo>
                                        <a:pt x="15" y="240"/>
                                      </a:moveTo>
                                      <a:lnTo>
                                        <a:pt x="315" y="0"/>
                                      </a:lnTo>
                                      <a:lnTo>
                                        <a:pt x="510" y="210"/>
                                      </a:lnTo>
                                      <a:lnTo>
                                        <a:pt x="0" y="660"/>
                                      </a:lnTo>
                                    </a:path>
                                  </a:pathLst>
                                </a:custGeom>
                                <a:noFill/>
                                <a:ln w="9525" cmpd="sng">
                                  <a:solidFill>
                                    <a:srgbClr val="000000"/>
                                  </a:solidFill>
                                  <a:round/>
                                </a:ln>
                              </wps:spPr>
                              <wps:bodyPr rot="0" vert="horz" wrap="square" lIns="91440" tIns="45720" rIns="91440" bIns="45720" anchor="t" anchorCtr="0" upright="1">
                                <a:noAutofit/>
                              </wps:bodyPr>
                            </wps:wsp>
                            <wps:wsp>
                              <wps:cNvPr id="1076" name="未知"/>
                              <wps:cNvSpPr/>
                              <wps:spPr bwMode="auto">
                                <a:xfrm>
                                  <a:off x="1050" y="705"/>
                                  <a:ext cx="135" cy="120"/>
                                </a:xfrm>
                                <a:custGeom>
                                  <a:avLst/>
                                  <a:gdLst>
                                    <a:gd name="T0" fmla="*/ 135 w 135"/>
                                    <a:gd name="T1" fmla="*/ 0 h 120"/>
                                    <a:gd name="T2" fmla="*/ 0 w 135"/>
                                    <a:gd name="T3" fmla="*/ 90 h 120"/>
                                    <a:gd name="T4" fmla="*/ 90 w 135"/>
                                    <a:gd name="T5" fmla="*/ 120 h 120"/>
                                    <a:gd name="T6" fmla="*/ 135 w 135"/>
                                    <a:gd name="T7" fmla="*/ 0 h 120"/>
                                  </a:gdLst>
                                  <a:ahLst/>
                                  <a:cxnLst>
                                    <a:cxn ang="0">
                                      <a:pos x="T0" y="T1"/>
                                    </a:cxn>
                                    <a:cxn ang="0">
                                      <a:pos x="T2" y="T3"/>
                                    </a:cxn>
                                    <a:cxn ang="0">
                                      <a:pos x="T4" y="T5"/>
                                    </a:cxn>
                                    <a:cxn ang="0">
                                      <a:pos x="T6" y="T7"/>
                                    </a:cxn>
                                  </a:cxnLst>
                                  <a:rect l="0" t="0" r="r" b="b"/>
                                  <a:pathLst>
                                    <a:path w="135" h="120">
                                      <a:moveTo>
                                        <a:pt x="135" y="0"/>
                                      </a:moveTo>
                                      <a:lnTo>
                                        <a:pt x="0" y="90"/>
                                      </a:lnTo>
                                      <a:lnTo>
                                        <a:pt x="90" y="120"/>
                                      </a:lnTo>
                                      <a:lnTo>
                                        <a:pt x="135" y="0"/>
                                      </a:lnTo>
                                      <a:close/>
                                    </a:path>
                                  </a:pathLst>
                                </a:custGeom>
                                <a:solidFill>
                                  <a:srgbClr val="333333"/>
                                </a:solidFill>
                                <a:ln w="9525" cmpd="sng">
                                  <a:solidFill>
                                    <a:srgbClr val="000000"/>
                                  </a:solidFill>
                                  <a:round/>
                                </a:ln>
                              </wps:spPr>
                              <wps:bodyPr rot="0" vert="horz" wrap="square" lIns="91440" tIns="45720" rIns="91440" bIns="45720" anchor="t" anchorCtr="0" upright="1">
                                <a:noAutofit/>
                              </wps:bodyPr>
                            </wps:wsp>
                            <wps:wsp>
                              <wps:cNvPr id="1077" name="未知"/>
                              <wps:cNvSpPr/>
                              <wps:spPr bwMode="auto">
                                <a:xfrm>
                                  <a:off x="930" y="855"/>
                                  <a:ext cx="135" cy="120"/>
                                </a:xfrm>
                                <a:custGeom>
                                  <a:avLst/>
                                  <a:gdLst>
                                    <a:gd name="T0" fmla="*/ 135 w 135"/>
                                    <a:gd name="T1" fmla="*/ 0 h 120"/>
                                    <a:gd name="T2" fmla="*/ 0 w 135"/>
                                    <a:gd name="T3" fmla="*/ 90 h 120"/>
                                    <a:gd name="T4" fmla="*/ 90 w 135"/>
                                    <a:gd name="T5" fmla="*/ 120 h 120"/>
                                    <a:gd name="T6" fmla="*/ 135 w 135"/>
                                    <a:gd name="T7" fmla="*/ 0 h 120"/>
                                  </a:gdLst>
                                  <a:ahLst/>
                                  <a:cxnLst>
                                    <a:cxn ang="0">
                                      <a:pos x="T0" y="T1"/>
                                    </a:cxn>
                                    <a:cxn ang="0">
                                      <a:pos x="T2" y="T3"/>
                                    </a:cxn>
                                    <a:cxn ang="0">
                                      <a:pos x="T4" y="T5"/>
                                    </a:cxn>
                                    <a:cxn ang="0">
                                      <a:pos x="T6" y="T7"/>
                                    </a:cxn>
                                  </a:cxnLst>
                                  <a:rect l="0" t="0" r="r" b="b"/>
                                  <a:pathLst>
                                    <a:path w="135" h="120">
                                      <a:moveTo>
                                        <a:pt x="135" y="0"/>
                                      </a:moveTo>
                                      <a:lnTo>
                                        <a:pt x="0" y="90"/>
                                      </a:lnTo>
                                      <a:lnTo>
                                        <a:pt x="90" y="120"/>
                                      </a:lnTo>
                                      <a:lnTo>
                                        <a:pt x="135" y="0"/>
                                      </a:lnTo>
                                      <a:close/>
                                    </a:path>
                                  </a:pathLst>
                                </a:custGeom>
                                <a:solidFill>
                                  <a:srgbClr val="333333"/>
                                </a:solidFill>
                                <a:ln w="9525" cmpd="sng">
                                  <a:solidFill>
                                    <a:srgbClr val="000000"/>
                                  </a:solidFill>
                                  <a:round/>
                                </a:ln>
                              </wps:spPr>
                              <wps:bodyPr rot="0" vert="horz" wrap="square" lIns="91440" tIns="45720" rIns="91440" bIns="45720" anchor="t" anchorCtr="0" upright="1">
                                <a:noAutofit/>
                              </wps:bodyPr>
                            </wps:wsp>
                            <wps:wsp>
                              <wps:cNvPr id="1078" name="未知"/>
                              <wps:cNvSpPr/>
                              <wps:spPr bwMode="auto">
                                <a:xfrm>
                                  <a:off x="885" y="720"/>
                                  <a:ext cx="135" cy="120"/>
                                </a:xfrm>
                                <a:custGeom>
                                  <a:avLst/>
                                  <a:gdLst>
                                    <a:gd name="T0" fmla="*/ 135 w 135"/>
                                    <a:gd name="T1" fmla="*/ 0 h 120"/>
                                    <a:gd name="T2" fmla="*/ 0 w 135"/>
                                    <a:gd name="T3" fmla="*/ 90 h 120"/>
                                    <a:gd name="T4" fmla="*/ 90 w 135"/>
                                    <a:gd name="T5" fmla="*/ 120 h 120"/>
                                    <a:gd name="T6" fmla="*/ 135 w 135"/>
                                    <a:gd name="T7" fmla="*/ 0 h 120"/>
                                  </a:gdLst>
                                  <a:ahLst/>
                                  <a:cxnLst>
                                    <a:cxn ang="0">
                                      <a:pos x="T0" y="T1"/>
                                    </a:cxn>
                                    <a:cxn ang="0">
                                      <a:pos x="T2" y="T3"/>
                                    </a:cxn>
                                    <a:cxn ang="0">
                                      <a:pos x="T4" y="T5"/>
                                    </a:cxn>
                                    <a:cxn ang="0">
                                      <a:pos x="T6" y="T7"/>
                                    </a:cxn>
                                  </a:cxnLst>
                                  <a:rect l="0" t="0" r="r" b="b"/>
                                  <a:pathLst>
                                    <a:path w="135" h="120">
                                      <a:moveTo>
                                        <a:pt x="135" y="0"/>
                                      </a:moveTo>
                                      <a:lnTo>
                                        <a:pt x="0" y="90"/>
                                      </a:lnTo>
                                      <a:lnTo>
                                        <a:pt x="90" y="120"/>
                                      </a:lnTo>
                                      <a:lnTo>
                                        <a:pt x="135" y="0"/>
                                      </a:lnTo>
                                      <a:close/>
                                    </a:path>
                                  </a:pathLst>
                                </a:custGeom>
                                <a:solidFill>
                                  <a:srgbClr val="333333"/>
                                </a:solidFill>
                                <a:ln w="9525" cmpd="sng">
                                  <a:solidFill>
                                    <a:srgbClr val="000000"/>
                                  </a:solidFill>
                                  <a:round/>
                                </a:ln>
                              </wps:spPr>
                              <wps:bodyPr rot="0" vert="horz" wrap="square" lIns="91440" tIns="45720" rIns="91440" bIns="45720" anchor="t" anchorCtr="0" upright="1">
                                <a:noAutofit/>
                              </wps:bodyPr>
                            </wps:wsp>
                            <wps:wsp>
                              <wps:cNvPr id="1079" name="未知"/>
                              <wps:cNvSpPr/>
                              <wps:spPr bwMode="auto">
                                <a:xfrm>
                                  <a:off x="740" y="840"/>
                                  <a:ext cx="49" cy="135"/>
                                </a:xfrm>
                                <a:custGeom>
                                  <a:avLst/>
                                  <a:gdLst>
                                    <a:gd name="T0" fmla="*/ 40 w 49"/>
                                    <a:gd name="T1" fmla="*/ 0 h 135"/>
                                    <a:gd name="T2" fmla="*/ 25 w 49"/>
                                    <a:gd name="T3" fmla="*/ 135 h 135"/>
                                    <a:gd name="T4" fmla="*/ 40 w 49"/>
                                    <a:gd name="T5" fmla="*/ 0 h 135"/>
                                  </a:gdLst>
                                  <a:ahLst/>
                                  <a:cxnLst>
                                    <a:cxn ang="0">
                                      <a:pos x="T0" y="T1"/>
                                    </a:cxn>
                                    <a:cxn ang="0">
                                      <a:pos x="T2" y="T3"/>
                                    </a:cxn>
                                    <a:cxn ang="0">
                                      <a:pos x="T4" y="T5"/>
                                    </a:cxn>
                                  </a:cxnLst>
                                  <a:rect l="0" t="0" r="r" b="b"/>
                                  <a:pathLst>
                                    <a:path w="49" h="135">
                                      <a:moveTo>
                                        <a:pt x="40" y="0"/>
                                      </a:moveTo>
                                      <a:cubicBezTo>
                                        <a:pt x="5" y="105"/>
                                        <a:pt x="0" y="60"/>
                                        <a:pt x="25" y="135"/>
                                      </a:cubicBezTo>
                                      <a:cubicBezTo>
                                        <a:pt x="49" y="62"/>
                                        <a:pt x="40" y="106"/>
                                        <a:pt x="40" y="0"/>
                                      </a:cubicBezTo>
                                      <a:close/>
                                    </a:path>
                                  </a:pathLst>
                                </a:custGeom>
                                <a:solidFill>
                                  <a:srgbClr val="333333"/>
                                </a:solidFill>
                                <a:ln w="9525" cmpd="sng">
                                  <a:solidFill>
                                    <a:srgbClr val="000000"/>
                                  </a:solidFill>
                                  <a:round/>
                                </a:ln>
                              </wps:spPr>
                              <wps:bodyPr rot="0" vert="horz" wrap="square" lIns="91440" tIns="45720" rIns="91440" bIns="45720" anchor="t" anchorCtr="0" upright="1">
                                <a:noAutofit/>
                              </wps:bodyPr>
                            </wps:wsp>
                            <wps:wsp>
                              <wps:cNvPr id="1080" name="未知"/>
                              <wps:cNvSpPr/>
                              <wps:spPr bwMode="auto">
                                <a:xfrm>
                                  <a:off x="650" y="1005"/>
                                  <a:ext cx="49" cy="135"/>
                                </a:xfrm>
                                <a:custGeom>
                                  <a:avLst/>
                                  <a:gdLst>
                                    <a:gd name="T0" fmla="*/ 40 w 49"/>
                                    <a:gd name="T1" fmla="*/ 0 h 135"/>
                                    <a:gd name="T2" fmla="*/ 25 w 49"/>
                                    <a:gd name="T3" fmla="*/ 135 h 135"/>
                                    <a:gd name="T4" fmla="*/ 40 w 49"/>
                                    <a:gd name="T5" fmla="*/ 0 h 135"/>
                                  </a:gdLst>
                                  <a:ahLst/>
                                  <a:cxnLst>
                                    <a:cxn ang="0">
                                      <a:pos x="T0" y="T1"/>
                                    </a:cxn>
                                    <a:cxn ang="0">
                                      <a:pos x="T2" y="T3"/>
                                    </a:cxn>
                                    <a:cxn ang="0">
                                      <a:pos x="T4" y="T5"/>
                                    </a:cxn>
                                  </a:cxnLst>
                                  <a:rect l="0" t="0" r="r" b="b"/>
                                  <a:pathLst>
                                    <a:path w="49" h="135">
                                      <a:moveTo>
                                        <a:pt x="40" y="0"/>
                                      </a:moveTo>
                                      <a:cubicBezTo>
                                        <a:pt x="5" y="105"/>
                                        <a:pt x="0" y="60"/>
                                        <a:pt x="25" y="135"/>
                                      </a:cubicBezTo>
                                      <a:cubicBezTo>
                                        <a:pt x="49" y="62"/>
                                        <a:pt x="40" y="106"/>
                                        <a:pt x="40" y="0"/>
                                      </a:cubicBezTo>
                                      <a:close/>
                                    </a:path>
                                  </a:pathLst>
                                </a:custGeom>
                                <a:solidFill>
                                  <a:srgbClr val="333333"/>
                                </a:solidFill>
                                <a:ln w="9525" cmpd="sng">
                                  <a:solidFill>
                                    <a:srgbClr val="000000"/>
                                  </a:solidFill>
                                  <a:round/>
                                </a:ln>
                              </wps:spPr>
                              <wps:bodyPr rot="0" vert="horz" wrap="square" lIns="91440" tIns="45720" rIns="91440" bIns="45720" anchor="t" anchorCtr="0" upright="1">
                                <a:noAutofit/>
                              </wps:bodyPr>
                            </wps:wsp>
                            <wps:wsp>
                              <wps:cNvPr id="1081" name="未知"/>
                              <wps:cNvSpPr/>
                              <wps:spPr bwMode="auto">
                                <a:xfrm>
                                  <a:off x="725" y="1065"/>
                                  <a:ext cx="49" cy="135"/>
                                </a:xfrm>
                                <a:custGeom>
                                  <a:avLst/>
                                  <a:gdLst>
                                    <a:gd name="T0" fmla="*/ 40 w 49"/>
                                    <a:gd name="T1" fmla="*/ 0 h 135"/>
                                    <a:gd name="T2" fmla="*/ 25 w 49"/>
                                    <a:gd name="T3" fmla="*/ 135 h 135"/>
                                    <a:gd name="T4" fmla="*/ 40 w 49"/>
                                    <a:gd name="T5" fmla="*/ 0 h 135"/>
                                  </a:gdLst>
                                  <a:ahLst/>
                                  <a:cxnLst>
                                    <a:cxn ang="0">
                                      <a:pos x="T0" y="T1"/>
                                    </a:cxn>
                                    <a:cxn ang="0">
                                      <a:pos x="T2" y="T3"/>
                                    </a:cxn>
                                    <a:cxn ang="0">
                                      <a:pos x="T4" y="T5"/>
                                    </a:cxn>
                                  </a:cxnLst>
                                  <a:rect l="0" t="0" r="r" b="b"/>
                                  <a:pathLst>
                                    <a:path w="49" h="135">
                                      <a:moveTo>
                                        <a:pt x="40" y="0"/>
                                      </a:moveTo>
                                      <a:cubicBezTo>
                                        <a:pt x="5" y="105"/>
                                        <a:pt x="0" y="60"/>
                                        <a:pt x="25" y="135"/>
                                      </a:cubicBezTo>
                                      <a:cubicBezTo>
                                        <a:pt x="49" y="62"/>
                                        <a:pt x="40" y="106"/>
                                        <a:pt x="40" y="0"/>
                                      </a:cubicBezTo>
                                      <a:close/>
                                    </a:path>
                                  </a:pathLst>
                                </a:custGeom>
                                <a:solidFill>
                                  <a:srgbClr val="333333"/>
                                </a:solidFill>
                                <a:ln w="9525" cmpd="sng">
                                  <a:solidFill>
                                    <a:srgbClr val="000000"/>
                                  </a:solidFill>
                                  <a:round/>
                                </a:ln>
                              </wps:spPr>
                              <wps:bodyPr rot="0" vert="horz" wrap="square" lIns="91440" tIns="45720" rIns="91440" bIns="45720" anchor="t" anchorCtr="0" upright="1">
                                <a:noAutofit/>
                              </wps:bodyPr>
                            </wps:wsp>
                            <wps:wsp>
                              <wps:cNvPr id="1082" name="未知"/>
                              <wps:cNvSpPr/>
                              <wps:spPr bwMode="auto">
                                <a:xfrm>
                                  <a:off x="530" y="1170"/>
                                  <a:ext cx="49" cy="135"/>
                                </a:xfrm>
                                <a:custGeom>
                                  <a:avLst/>
                                  <a:gdLst>
                                    <a:gd name="T0" fmla="*/ 40 w 49"/>
                                    <a:gd name="T1" fmla="*/ 0 h 135"/>
                                    <a:gd name="T2" fmla="*/ 25 w 49"/>
                                    <a:gd name="T3" fmla="*/ 135 h 135"/>
                                    <a:gd name="T4" fmla="*/ 40 w 49"/>
                                    <a:gd name="T5" fmla="*/ 0 h 135"/>
                                  </a:gdLst>
                                  <a:ahLst/>
                                  <a:cxnLst>
                                    <a:cxn ang="0">
                                      <a:pos x="T0" y="T1"/>
                                    </a:cxn>
                                    <a:cxn ang="0">
                                      <a:pos x="T2" y="T3"/>
                                    </a:cxn>
                                    <a:cxn ang="0">
                                      <a:pos x="T4" y="T5"/>
                                    </a:cxn>
                                  </a:cxnLst>
                                  <a:rect l="0" t="0" r="r" b="b"/>
                                  <a:pathLst>
                                    <a:path w="49" h="135">
                                      <a:moveTo>
                                        <a:pt x="40" y="0"/>
                                      </a:moveTo>
                                      <a:cubicBezTo>
                                        <a:pt x="5" y="105"/>
                                        <a:pt x="0" y="60"/>
                                        <a:pt x="25" y="135"/>
                                      </a:cubicBezTo>
                                      <a:cubicBezTo>
                                        <a:pt x="49" y="62"/>
                                        <a:pt x="40" y="106"/>
                                        <a:pt x="40" y="0"/>
                                      </a:cubicBezTo>
                                      <a:close/>
                                    </a:path>
                                  </a:pathLst>
                                </a:custGeom>
                                <a:solidFill>
                                  <a:srgbClr val="333333"/>
                                </a:solidFill>
                                <a:ln w="9525" cmpd="sng">
                                  <a:solidFill>
                                    <a:srgbClr val="000000"/>
                                  </a:solidFill>
                                  <a:round/>
                                </a:ln>
                              </wps:spPr>
                              <wps:bodyPr rot="0" vert="horz" wrap="square" lIns="91440" tIns="45720" rIns="91440" bIns="45720" anchor="t" anchorCtr="0" upright="1">
                                <a:noAutofit/>
                              </wps:bodyPr>
                            </wps:wsp>
                            <wps:wsp>
                              <wps:cNvPr id="1083" name="未知"/>
                              <wps:cNvSpPr/>
                              <wps:spPr bwMode="auto">
                                <a:xfrm>
                                  <a:off x="635" y="1155"/>
                                  <a:ext cx="49" cy="135"/>
                                </a:xfrm>
                                <a:custGeom>
                                  <a:avLst/>
                                  <a:gdLst>
                                    <a:gd name="T0" fmla="*/ 40 w 49"/>
                                    <a:gd name="T1" fmla="*/ 0 h 135"/>
                                    <a:gd name="T2" fmla="*/ 25 w 49"/>
                                    <a:gd name="T3" fmla="*/ 135 h 135"/>
                                    <a:gd name="T4" fmla="*/ 40 w 49"/>
                                    <a:gd name="T5" fmla="*/ 0 h 135"/>
                                  </a:gdLst>
                                  <a:ahLst/>
                                  <a:cxnLst>
                                    <a:cxn ang="0">
                                      <a:pos x="T0" y="T1"/>
                                    </a:cxn>
                                    <a:cxn ang="0">
                                      <a:pos x="T2" y="T3"/>
                                    </a:cxn>
                                    <a:cxn ang="0">
                                      <a:pos x="T4" y="T5"/>
                                    </a:cxn>
                                  </a:cxnLst>
                                  <a:rect l="0" t="0" r="r" b="b"/>
                                  <a:pathLst>
                                    <a:path w="49" h="135">
                                      <a:moveTo>
                                        <a:pt x="40" y="0"/>
                                      </a:moveTo>
                                      <a:cubicBezTo>
                                        <a:pt x="5" y="105"/>
                                        <a:pt x="0" y="60"/>
                                        <a:pt x="25" y="135"/>
                                      </a:cubicBezTo>
                                      <a:cubicBezTo>
                                        <a:pt x="49" y="62"/>
                                        <a:pt x="40" y="106"/>
                                        <a:pt x="40" y="0"/>
                                      </a:cubicBezTo>
                                      <a:close/>
                                    </a:path>
                                  </a:pathLst>
                                </a:custGeom>
                                <a:solidFill>
                                  <a:srgbClr val="333333"/>
                                </a:solidFill>
                                <a:ln w="9525" cmpd="sng">
                                  <a:solidFill>
                                    <a:srgbClr val="000000"/>
                                  </a:solidFill>
                                  <a:round/>
                                </a:ln>
                              </wps:spPr>
                              <wps:bodyPr rot="0" vert="horz" wrap="square" lIns="91440" tIns="45720" rIns="91440" bIns="45720" anchor="t" anchorCtr="0" upright="1">
                                <a:noAutofit/>
                              </wps:bodyPr>
                            </wps:wsp>
                            <wps:wsp>
                              <wps:cNvPr id="1084" name="未知"/>
                              <wps:cNvSpPr/>
                              <wps:spPr bwMode="auto">
                                <a:xfrm>
                                  <a:off x="1475" y="900"/>
                                  <a:ext cx="180" cy="530"/>
                                </a:xfrm>
                                <a:custGeom>
                                  <a:avLst/>
                                  <a:gdLst>
                                    <a:gd name="T0" fmla="*/ 100 w 225"/>
                                    <a:gd name="T1" fmla="*/ 0 h 470"/>
                                    <a:gd name="T2" fmla="*/ 70 w 225"/>
                                    <a:gd name="T3" fmla="*/ 135 h 470"/>
                                    <a:gd name="T4" fmla="*/ 25 w 225"/>
                                    <a:gd name="T5" fmla="*/ 150 h 470"/>
                                    <a:gd name="T6" fmla="*/ 40 w 225"/>
                                    <a:gd name="T7" fmla="*/ 270 h 470"/>
                                    <a:gd name="T8" fmla="*/ 40 w 225"/>
                                    <a:gd name="T9" fmla="*/ 420 h 470"/>
                                    <a:gd name="T10" fmla="*/ 85 w 225"/>
                                    <a:gd name="T11" fmla="*/ 390 h 470"/>
                                    <a:gd name="T12" fmla="*/ 70 w 225"/>
                                    <a:gd name="T13" fmla="*/ 330 h 470"/>
                                    <a:gd name="T14" fmla="*/ 160 w 225"/>
                                    <a:gd name="T15" fmla="*/ 270 h 470"/>
                                    <a:gd name="T16" fmla="*/ 190 w 225"/>
                                    <a:gd name="T17" fmla="*/ 180 h 470"/>
                                    <a:gd name="T18" fmla="*/ 115 w 225"/>
                                    <a:gd name="T19" fmla="*/ 60 h 470"/>
                                    <a:gd name="T20" fmla="*/ 100 w 225"/>
                                    <a:gd name="T21" fmla="*/ 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5" h="470">
                                      <a:moveTo>
                                        <a:pt x="100" y="0"/>
                                      </a:moveTo>
                                      <a:cubicBezTo>
                                        <a:pt x="85" y="44"/>
                                        <a:pt x="93" y="95"/>
                                        <a:pt x="70" y="135"/>
                                      </a:cubicBezTo>
                                      <a:cubicBezTo>
                                        <a:pt x="62" y="149"/>
                                        <a:pt x="40" y="145"/>
                                        <a:pt x="25" y="150"/>
                                      </a:cubicBezTo>
                                      <a:cubicBezTo>
                                        <a:pt x="30" y="190"/>
                                        <a:pt x="40" y="230"/>
                                        <a:pt x="40" y="270"/>
                                      </a:cubicBezTo>
                                      <a:cubicBezTo>
                                        <a:pt x="40" y="470"/>
                                        <a:pt x="0" y="220"/>
                                        <a:pt x="40" y="420"/>
                                      </a:cubicBezTo>
                                      <a:cubicBezTo>
                                        <a:pt x="55" y="410"/>
                                        <a:pt x="79" y="407"/>
                                        <a:pt x="85" y="390"/>
                                      </a:cubicBezTo>
                                      <a:cubicBezTo>
                                        <a:pt x="92" y="370"/>
                                        <a:pt x="59" y="347"/>
                                        <a:pt x="70" y="330"/>
                                      </a:cubicBezTo>
                                      <a:cubicBezTo>
                                        <a:pt x="89" y="299"/>
                                        <a:pt x="160" y="270"/>
                                        <a:pt x="160" y="270"/>
                                      </a:cubicBezTo>
                                      <a:cubicBezTo>
                                        <a:pt x="170" y="240"/>
                                        <a:pt x="180" y="210"/>
                                        <a:pt x="190" y="180"/>
                                      </a:cubicBezTo>
                                      <a:cubicBezTo>
                                        <a:pt x="225" y="75"/>
                                        <a:pt x="146" y="106"/>
                                        <a:pt x="115" y="60"/>
                                      </a:cubicBezTo>
                                      <a:cubicBezTo>
                                        <a:pt x="104" y="43"/>
                                        <a:pt x="105" y="20"/>
                                        <a:pt x="100" y="0"/>
                                      </a:cubicBezTo>
                                      <a:close/>
                                    </a:path>
                                  </a:pathLst>
                                </a:custGeom>
                                <a:solidFill>
                                  <a:srgbClr val="FFFFFF"/>
                                </a:solidFill>
                                <a:ln w="9525" cmpd="sng">
                                  <a:solidFill>
                                    <a:srgbClr val="000000"/>
                                  </a:solidFill>
                                  <a:round/>
                                </a:ln>
                              </wps:spPr>
                              <wps:bodyPr rot="0" vert="horz" wrap="square" lIns="91440" tIns="45720" rIns="91440" bIns="45720" anchor="t" anchorCtr="0" upright="1">
                                <a:noAutofit/>
                              </wps:bodyPr>
                            </wps:wsp>
                            <wps:wsp>
                              <wps:cNvPr id="1085" name="未知"/>
                              <wps:cNvSpPr/>
                              <wps:spPr bwMode="auto">
                                <a:xfrm>
                                  <a:off x="490" y="736"/>
                                  <a:ext cx="335" cy="164"/>
                                </a:xfrm>
                                <a:custGeom>
                                  <a:avLst/>
                                  <a:gdLst>
                                    <a:gd name="T0" fmla="*/ 335 w 335"/>
                                    <a:gd name="T1" fmla="*/ 29 h 164"/>
                                    <a:gd name="T2" fmla="*/ 215 w 335"/>
                                    <a:gd name="T3" fmla="*/ 44 h 164"/>
                                    <a:gd name="T4" fmla="*/ 5 w 335"/>
                                    <a:gd name="T5" fmla="*/ 149 h 164"/>
                                    <a:gd name="T6" fmla="*/ 50 w 335"/>
                                    <a:gd name="T7" fmla="*/ 134 h 164"/>
                                    <a:gd name="T8" fmla="*/ 140 w 335"/>
                                    <a:gd name="T9" fmla="*/ 119 h 164"/>
                                    <a:gd name="T10" fmla="*/ 335 w 335"/>
                                    <a:gd name="T11" fmla="*/ 29 h 164"/>
                                  </a:gdLst>
                                  <a:ahLst/>
                                  <a:cxnLst>
                                    <a:cxn ang="0">
                                      <a:pos x="T0" y="T1"/>
                                    </a:cxn>
                                    <a:cxn ang="0">
                                      <a:pos x="T2" y="T3"/>
                                    </a:cxn>
                                    <a:cxn ang="0">
                                      <a:pos x="T4" y="T5"/>
                                    </a:cxn>
                                    <a:cxn ang="0">
                                      <a:pos x="T6" y="T7"/>
                                    </a:cxn>
                                    <a:cxn ang="0">
                                      <a:pos x="T8" y="T9"/>
                                    </a:cxn>
                                    <a:cxn ang="0">
                                      <a:pos x="T10" y="T11"/>
                                    </a:cxn>
                                  </a:cxnLst>
                                  <a:rect l="0" t="0" r="r" b="b"/>
                                  <a:pathLst>
                                    <a:path w="335" h="164">
                                      <a:moveTo>
                                        <a:pt x="335" y="29"/>
                                      </a:moveTo>
                                      <a:cubicBezTo>
                                        <a:pt x="295" y="34"/>
                                        <a:pt x="255" y="40"/>
                                        <a:pt x="215" y="44"/>
                                      </a:cubicBezTo>
                                      <a:cubicBezTo>
                                        <a:pt x="2" y="65"/>
                                        <a:pt x="55" y="0"/>
                                        <a:pt x="5" y="149"/>
                                      </a:cubicBezTo>
                                      <a:cubicBezTo>
                                        <a:pt x="0" y="164"/>
                                        <a:pt x="35" y="137"/>
                                        <a:pt x="50" y="134"/>
                                      </a:cubicBezTo>
                                      <a:cubicBezTo>
                                        <a:pt x="80" y="127"/>
                                        <a:pt x="110" y="126"/>
                                        <a:pt x="140" y="119"/>
                                      </a:cubicBezTo>
                                      <a:cubicBezTo>
                                        <a:pt x="247" y="95"/>
                                        <a:pt x="255" y="109"/>
                                        <a:pt x="335" y="29"/>
                                      </a:cubicBezTo>
                                      <a:close/>
                                    </a:path>
                                  </a:pathLst>
                                </a:custGeom>
                                <a:solidFill>
                                  <a:srgbClr val="333333"/>
                                </a:solidFill>
                                <a:ln w="9525" cmpd="sng">
                                  <a:solidFill>
                                    <a:srgbClr val="000000"/>
                                  </a:solidFill>
                                  <a:round/>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5.4pt;margin-top:7.45pt;height:54.75pt;width:59.25pt;z-index:251771904;mso-width-relative:page;mso-height-relative:page;" coordsize="2160,1785" o:gfxdata="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">
                      <o:lock v:ext="edit" aspectratio="f"/>
                      <v:rect id="矩形 7511" o:spid="_x0000_s1026" o:spt="1" style="position:absolute;left:0;top:0;height:1785;width:2160;" fillcolor="#FFFFFF" filled="t" stroked="t" coordsize="21600,21600" o:gfxdata="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71P6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shape id="未知" o:spid="_x0000_s1026" o:spt="100" style="position:absolute;left:105;top:540;height:825;width:1980;" filled="f" stroked="t" coordsize="1980,825" o:gfxdata="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u45MvQAA&#10;AN0AAAAPAAAAAAAAAAEAIAAAACIAAABkcnMvZG93bnJldi54bWxQSwECFAAUAAAACACHTuJAMy8F&#10;njsAAAA5AAAAEAAAAAAAAAABACAAAAAMAQAAZHJzL3NoYXBleG1sLnhtbFBLBQYAAAAABgAGAFsB&#10;AAC2AwAAAAA=&#10;" path="m735,195l735,645,1380,645,420,0,0,825,1980,825e">
                        <v:path o:connectlocs="735,195;735,645;1380,645;420,0;0,825;1980,825" o:connectangles="0,0,0,0,0,0"/>
                        <v:fill on="f" focussize="0,0"/>
                        <v:stroke color="#000000" joinstyle="round"/>
                        <v:imagedata o:title=""/>
                        <o:lock v:ext="edit" aspectratio="f"/>
                      </v:shape>
                      <v:shape id="椭圆 7513" o:spid="_x0000_s1026" o:spt="3" type="#_x0000_t3" style="position:absolute;left:1050;top:1200;height:165;width:120;" fillcolor="#FFFFFF" filled="t" stroked="t" coordsize="21600,21600" o:gfxdata="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fidZ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未知" o:spid="_x0000_s1026" o:spt="100" style="position:absolute;left:840;top:510;height:660;width:510;" filled="f" stroked="t" coordsize="510,660" o:gfxdata="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rI+tb4A&#10;AADdAAAADwAAAAAAAAABACAAAAAiAAAAZHJzL2Rvd25yZXYueG1sUEsBAhQAFAAAAAgAh07iQDMv&#10;BZ47AAAAOQAAABAAAAAAAAAAAQAgAAAADQEAAGRycy9zaGFwZXhtbC54bWxQSwUGAAAAAAYABgBb&#10;AQAAtwMAAAAA&#10;" path="m15,240l315,0,510,210,0,660e">
                        <v:path o:connectlocs="15,240;315,0;510,210;0,660" o:connectangles="0,0,0,0"/>
                        <v:fill on="f" focussize="0,0"/>
                        <v:stroke color="#000000" joinstyle="round"/>
                        <v:imagedata o:title=""/>
                        <o:lock v:ext="edit" aspectratio="f"/>
                      </v:shape>
                      <v:shape id="未知" o:spid="_x0000_s1026" o:spt="100" style="position:absolute;left:1050;top:705;height:120;width:135;" fillcolor="#333333" filled="t" stroked="t" coordsize="135,120" o:gfxdata="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YW1G/&#10;AAAA3QAAAA8AAAAAAAAAAQAgAAAAIgAAAGRycy9kb3ducmV2LnhtbFBLAQIUABQAAAAIAIdO4kAz&#10;LwWeOwAAADkAAAAQAAAAAAAAAAEAIAAAAA4BAABkcnMvc2hhcGV4bWwueG1sUEsFBgAAAAAGAAYA&#10;WwEAALgDAAAAAA==&#10;" path="m135,0l0,90,90,120,135,0xe">
                        <v:path o:connectlocs="135,0;0,90;90,120;135,0" o:connectangles="0,0,0,0"/>
                        <v:fill on="t" focussize="0,0"/>
                        <v:stroke color="#000000" joinstyle="round"/>
                        <v:imagedata o:title=""/>
                        <o:lock v:ext="edit" aspectratio="f"/>
                      </v:shape>
                      <v:shape id="未知" o:spid="_x0000_s1026" o:spt="100" style="position:absolute;left:930;top:855;height:120;width:135;" fillcolor="#333333" filled="t" stroked="t" coordsize="135,120" o:gfxdata="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U/sq/&#10;AAAA3QAAAA8AAAAAAAAAAQAgAAAAIgAAAGRycy9kb3ducmV2LnhtbFBLAQIUABQAAAAIAIdO4kAz&#10;LwWeOwAAADkAAAAQAAAAAAAAAAEAIAAAAA4BAABkcnMvc2hhcGV4bWwueG1sUEsFBgAAAAAGAAYA&#10;WwEAALgDAAAAAA==&#10;" path="m135,0l0,90,90,120,135,0xe">
                        <v:path o:connectlocs="135,0;0,90;90,120;135,0" o:connectangles="0,0,0,0"/>
                        <v:fill on="t" focussize="0,0"/>
                        <v:stroke color="#000000" joinstyle="round"/>
                        <v:imagedata o:title=""/>
                        <o:lock v:ext="edit" aspectratio="f"/>
                      </v:shape>
                      <v:shape id="未知" o:spid="_x0000_s1026" o:spt="100" style="position:absolute;left:885;top:720;height:120;width:135;" fillcolor="#333333" filled="t" stroked="t" coordsize="135,120" o:gfxdata="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9L&#10;arjCAAAA3QAAAA8AAAAAAAAAAQAgAAAAIgAAAGRycy9kb3ducmV2LnhtbFBLAQIUABQAAAAIAIdO&#10;4kAzLwWeOwAAADkAAAAQAAAAAAAAAAEAIAAAABEBAABkcnMvc2hhcGV4bWwueG1sUEsFBgAAAAAG&#10;AAYAWwEAALsDAAAAAA==&#10;" path="m135,0l0,90,90,120,135,0xe">
                        <v:path o:connectlocs="135,0;0,90;90,120;135,0" o:connectangles="0,0,0,0"/>
                        <v:fill on="t" focussize="0,0"/>
                        <v:stroke color="#000000" joinstyle="round"/>
                        <v:imagedata o:title=""/>
                        <o:lock v:ext="edit" aspectratio="f"/>
                      </v:shape>
                      <v:shape id="未知" o:spid="_x0000_s1026" o:spt="100" style="position:absolute;left:740;top:840;height:135;width:49;" fillcolor="#333333" filled="t" stroked="t" coordsize="49,135" o:gfxdata="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6xZi8AAAA&#10;3QAAAA8AAAAAAAAAAQAgAAAAIgAAAGRycy9kb3ducmV2LnhtbFBLAQIUABQAAAAIAIdO4kAzLwWe&#10;OwAAADkAAAAQAAAAAAAAAAEAIAAAAAsBAABkcnMvc2hhcGV4bWwueG1sUEsFBgAAAAAGAAYAWwEA&#10;ALUDAAAAAA==&#10;" path="m40,0c5,105,0,60,25,135c49,62,40,106,40,0xe">
                        <v:path o:connectlocs="40,0;25,135;40,0" o:connectangles="0,0,0"/>
                        <v:fill on="t" focussize="0,0"/>
                        <v:stroke color="#000000" joinstyle="round"/>
                        <v:imagedata o:title=""/>
                        <o:lock v:ext="edit" aspectratio="f"/>
                      </v:shape>
                      <v:shape id="未知" o:spid="_x0000_s1026" o:spt="100" style="position:absolute;left:650;top:1005;height:135;width:49;" fillcolor="#333333" filled="t" stroked="t" coordsize="49,135" o:gfxdata="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VHCK/&#10;AAAA3QAAAA8AAAAAAAAAAQAgAAAAIgAAAGRycy9kb3ducmV2LnhtbFBLAQIUABQAAAAIAIdO4kAz&#10;LwWeOwAAADkAAAAQAAAAAAAAAAEAIAAAAA4BAABkcnMvc2hhcGV4bWwueG1sUEsFBgAAAAAGAAYA&#10;WwEAALgDAAAAAA==&#10;" path="m40,0c5,105,0,60,25,135c49,62,40,106,40,0xe">
                        <v:path o:connectlocs="40,0;25,135;40,0" o:connectangles="0,0,0"/>
                        <v:fill on="t" focussize="0,0"/>
                        <v:stroke color="#000000" joinstyle="round"/>
                        <v:imagedata o:title=""/>
                        <o:lock v:ext="edit" aspectratio="f"/>
                      </v:shape>
                      <v:shape id="未知" o:spid="_x0000_s1026" o:spt="100" style="position:absolute;left:725;top:1065;height:135;width:49;" fillcolor="#333333" filled="t" stroked="t" coordsize="49,135" o:gfxdata="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5m5ubsAAADd&#10;AAAADwAAAAAAAAABACAAAAAiAAAAZHJzL2Rvd25yZXYueG1sUEsBAhQAFAAAAAgAh07iQDMvBZ47&#10;AAAAOQAAABAAAAAAAAAAAQAgAAAACgEAAGRycy9zaGFwZXhtbC54bWxQSwUGAAAAAAYABgBbAQAA&#10;tAMAAAAA&#10;" path="m40,0c5,105,0,60,25,135c49,62,40,106,40,0xe">
                        <v:path o:connectlocs="40,0;25,135;40,0" o:connectangles="0,0,0"/>
                        <v:fill on="t" focussize="0,0"/>
                        <v:stroke color="#000000" joinstyle="round"/>
                        <v:imagedata o:title=""/>
                        <o:lock v:ext="edit" aspectratio="f"/>
                      </v:shape>
                      <v:shape id="未知" o:spid="_x0000_s1026" o:spt="100" style="position:absolute;left:530;top:1170;height:135;width:49;" fillcolor="#333333" filled="t" stroked="t" coordsize="49,135" o:gfxdata="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0snzrsAAADd&#10;AAAADwAAAAAAAAABACAAAAAiAAAAZHJzL2Rvd25yZXYueG1sUEsBAhQAFAAAAAgAh07iQDMvBZ47&#10;AAAAOQAAABAAAAAAAAAAAQAgAAAACgEAAGRycy9zaGFwZXhtbC54bWxQSwUGAAAAAAYABgBbAQAA&#10;tAMAAAAA&#10;" path="m40,0c5,105,0,60,25,135c49,62,40,106,40,0xe">
                        <v:path o:connectlocs="40,0;25,135;40,0" o:connectangles="0,0,0"/>
                        <v:fill on="t" focussize="0,0"/>
                        <v:stroke color="#000000" joinstyle="round"/>
                        <v:imagedata o:title=""/>
                        <o:lock v:ext="edit" aspectratio="f"/>
                      </v:shape>
                      <v:shape id="未知" o:spid="_x0000_s1026" o:spt="100" style="position:absolute;left:635;top:1155;height:135;width:49;" fillcolor="#333333" filled="t" stroked="t" coordsize="49,135" o:gfxdata="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AeCVbsAAADd&#10;AAAADwAAAAAAAAABACAAAAAiAAAAZHJzL2Rvd25yZXYueG1sUEsBAhQAFAAAAAgAh07iQDMvBZ47&#10;AAAAOQAAABAAAAAAAAAAAQAgAAAACgEAAGRycy9zaGFwZXhtbC54bWxQSwUGAAAAAAYABgBbAQAA&#10;tAMAAAAA&#10;" path="m40,0c5,105,0,60,25,135c49,62,40,106,40,0xe">
                        <v:path o:connectlocs="40,0;25,135;40,0" o:connectangles="0,0,0"/>
                        <v:fill on="t" focussize="0,0"/>
                        <v:stroke color="#000000" joinstyle="round"/>
                        <v:imagedata o:title=""/>
                        <o:lock v:ext="edit" aspectratio="f"/>
                      </v:shape>
                      <v:shape id="未知" o:spid="_x0000_s1026" o:spt="100" style="position:absolute;left:1475;top:900;height:530;width:180;" fillcolor="#FFFFFF" filled="t" stroked="t" coordsize="225,470" o:gfxdata="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Ma1i8AAAA&#10;3QAAAA8AAAAAAAAAAQAgAAAAIgAAAGRycy9kb3ducmV2LnhtbFBLAQIUABQAAAAIAIdO4kAzLwWe&#10;OwAAADkAAAAQAAAAAAAAAAEAIAAAAAsBAABkcnMvc2hhcGV4bWwueG1sUEsFBgAAAAAGAAYAWwEA&#10;ALUDAAAAAA==&#10;" path="m100,0c85,44,93,95,70,135c62,149,40,145,25,150c30,190,40,230,40,270c40,470,0,220,40,420c55,410,79,407,85,390c92,370,59,347,70,330c89,299,160,270,160,270c170,240,180,210,190,180c225,75,146,106,115,60c104,43,105,20,100,0xe">
                        <v:path o:connectlocs="80,0;56,152;20,169;32,304;32,473;68,439;56,372;128,304;152,202;92,67;80,0" o:connectangles="0,0,0,0,0,0,0,0,0,0,0"/>
                        <v:fill on="t" focussize="0,0"/>
                        <v:stroke color="#000000" joinstyle="round"/>
                        <v:imagedata o:title=""/>
                        <o:lock v:ext="edit" aspectratio="f"/>
                      </v:shape>
                      <v:shape id="未知" o:spid="_x0000_s1026" o:spt="100" style="position:absolute;left:490;top:736;height:164;width:335;" fillcolor="#333333" filled="t" stroked="t" coordsize="335,164" o:gfxdata="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UVVRvQAA&#10;AN0AAAAPAAAAAAAAAAEAIAAAACIAAABkcnMvZG93bnJldi54bWxQSwECFAAUAAAACACHTuJAMy8F&#10;njsAAAA5AAAAEAAAAAAAAAABACAAAAAMAQAAZHJzL3NoYXBleG1sLnhtbFBLBQYAAAAABgAGAFsB&#10;AAC2AwAAAAA=&#10;" path="m335,29c295,34,255,40,215,44c2,65,55,0,5,149c0,164,35,137,50,134c80,127,110,126,140,119c247,95,255,109,335,29xe">
                        <v:path o:connectlocs="335,29;215,44;5,149;50,134;140,119;335,29" o:connectangles="0,0,0,0,0,0"/>
                        <v:fill on="t" focussize="0,0"/>
                        <v:stroke color="#000000" joinstyle="round"/>
                        <v:imagedata o:title=""/>
                        <o:lock v:ext="edit" aspectratio="f"/>
                      </v:shape>
                    </v:group>
                  </w:pict>
                </mc:Fallback>
              </mc:AlternateConten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5" w:hRule="atLeast"/>
        </w:trPr>
        <w:tc>
          <w:tcPr>
            <w:tcW w:w="380" w:type="pct"/>
            <w:tcBorders>
              <w:top w:val="single" w:color="auto" w:sz="4" w:space="0"/>
              <w:bottom w:val="single" w:color="auto" w:sz="4" w:space="0"/>
              <w:right w:val="single" w:color="auto" w:sz="4" w:space="0"/>
            </w:tcBorders>
            <w:tcMar>
              <w:top w:w="15" w:type="dxa"/>
              <w:left w:w="15" w:type="dxa"/>
              <w:bottom w:w="0" w:type="dxa"/>
              <w:right w:w="15" w:type="dxa"/>
            </w:tcMar>
            <w:vAlign w:val="center"/>
          </w:tcPr>
          <w:p>
            <w:pPr>
              <w:tabs>
                <w:tab w:val="left" w:pos="5400"/>
              </w:tabs>
              <w:adjustRightInd w:val="0"/>
              <w:snapToGrid w:val="0"/>
              <w:jc w:val="center"/>
              <w:rPr>
                <w:rFonts w:ascii="Times New Roman" w:hAnsi="Times New Roman"/>
              </w:rPr>
            </w:pPr>
            <w:r>
              <w:rPr>
                <w:rFonts w:ascii="Times New Roman" w:hAnsi="Times New Roman"/>
              </w:rPr>
              <w:t>2</w:t>
            </w:r>
          </w:p>
        </w:tc>
        <w:tc>
          <w:tcPr>
            <w:tcW w:w="81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tabs>
                <w:tab w:val="left" w:pos="5400"/>
              </w:tabs>
              <w:adjustRightInd w:val="0"/>
              <w:snapToGrid w:val="0"/>
              <w:jc w:val="center"/>
              <w:rPr>
                <w:rFonts w:ascii="Times New Roman" w:hAnsi="Times New Roman"/>
              </w:rPr>
            </w:pPr>
            <w:r>
              <w:rPr>
                <w:rFonts w:ascii="Times New Roman" w:hAnsi="Times New Roman"/>
              </w:rPr>
              <w:t>背景颜色</w:t>
            </w:r>
          </w:p>
        </w:tc>
        <w:tc>
          <w:tcPr>
            <w:tcW w:w="3806" w:type="pct"/>
            <w:gridSpan w:val="3"/>
            <w:tcBorders>
              <w:top w:val="single" w:color="auto" w:sz="4" w:space="0"/>
              <w:left w:val="single" w:color="auto" w:sz="4" w:space="0"/>
              <w:bottom w:val="single" w:color="auto" w:sz="4" w:space="0"/>
            </w:tcBorders>
            <w:tcMar>
              <w:top w:w="15" w:type="dxa"/>
              <w:left w:w="15" w:type="dxa"/>
              <w:bottom w:w="0" w:type="dxa"/>
              <w:right w:w="15" w:type="dxa"/>
            </w:tcMar>
            <w:vAlign w:val="center"/>
          </w:tcPr>
          <w:p>
            <w:pPr>
              <w:tabs>
                <w:tab w:val="left" w:pos="5400"/>
              </w:tabs>
              <w:adjustRightInd w:val="0"/>
              <w:snapToGrid w:val="0"/>
              <w:jc w:val="center"/>
              <w:rPr>
                <w:rFonts w:ascii="Times New Roman" w:hAnsi="Times New Roman"/>
              </w:rPr>
            </w:pPr>
            <w:r>
              <w:rPr>
                <w:rFonts w:ascii="Times New Roman" w:hAnsi="Times New Roman"/>
              </w:rPr>
              <w:t>绿色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5" w:hRule="atLeast"/>
        </w:trPr>
        <w:tc>
          <w:tcPr>
            <w:tcW w:w="380" w:type="pct"/>
            <w:tcBorders>
              <w:top w:val="single" w:color="auto" w:sz="4" w:space="0"/>
              <w:bottom w:val="single" w:color="auto" w:sz="12" w:space="0"/>
              <w:right w:val="single" w:color="auto" w:sz="4" w:space="0"/>
            </w:tcBorders>
            <w:tcMar>
              <w:top w:w="15" w:type="dxa"/>
              <w:left w:w="15" w:type="dxa"/>
              <w:bottom w:w="0" w:type="dxa"/>
              <w:right w:w="15" w:type="dxa"/>
            </w:tcMar>
            <w:vAlign w:val="center"/>
          </w:tcPr>
          <w:p>
            <w:pPr>
              <w:tabs>
                <w:tab w:val="left" w:pos="5400"/>
              </w:tabs>
              <w:adjustRightInd w:val="0"/>
              <w:snapToGrid w:val="0"/>
              <w:jc w:val="center"/>
              <w:rPr>
                <w:rFonts w:ascii="Times New Roman" w:hAnsi="Times New Roman"/>
              </w:rPr>
            </w:pPr>
            <w:r>
              <w:rPr>
                <w:rFonts w:ascii="Times New Roman" w:hAnsi="Times New Roman"/>
              </w:rPr>
              <w:t>3</w:t>
            </w:r>
          </w:p>
        </w:tc>
        <w:tc>
          <w:tcPr>
            <w:tcW w:w="814" w:type="pct"/>
            <w:tcBorders>
              <w:top w:val="single" w:color="auto" w:sz="4" w:space="0"/>
              <w:left w:val="single" w:color="auto" w:sz="4" w:space="0"/>
              <w:bottom w:val="single" w:color="auto" w:sz="12" w:space="0"/>
              <w:right w:val="single" w:color="auto" w:sz="4" w:space="0"/>
            </w:tcBorders>
            <w:tcMar>
              <w:top w:w="15" w:type="dxa"/>
              <w:left w:w="15" w:type="dxa"/>
              <w:bottom w:w="0" w:type="dxa"/>
              <w:right w:w="15" w:type="dxa"/>
            </w:tcMar>
            <w:vAlign w:val="center"/>
          </w:tcPr>
          <w:p>
            <w:pPr>
              <w:tabs>
                <w:tab w:val="left" w:pos="5400"/>
              </w:tabs>
              <w:adjustRightInd w:val="0"/>
              <w:snapToGrid w:val="0"/>
              <w:jc w:val="center"/>
              <w:rPr>
                <w:rFonts w:ascii="Times New Roman" w:hAnsi="Times New Roman"/>
              </w:rPr>
            </w:pPr>
            <w:r>
              <w:rPr>
                <w:rFonts w:ascii="Times New Roman" w:hAnsi="Times New Roman"/>
              </w:rPr>
              <w:t>图形颜色</w:t>
            </w:r>
          </w:p>
        </w:tc>
        <w:tc>
          <w:tcPr>
            <w:tcW w:w="3806" w:type="pct"/>
            <w:gridSpan w:val="3"/>
            <w:tcBorders>
              <w:top w:val="single" w:color="auto" w:sz="4" w:space="0"/>
              <w:left w:val="single" w:color="auto" w:sz="4" w:space="0"/>
              <w:bottom w:val="single" w:color="auto" w:sz="12" w:space="0"/>
            </w:tcBorders>
            <w:tcMar>
              <w:top w:w="15" w:type="dxa"/>
              <w:left w:w="15" w:type="dxa"/>
              <w:bottom w:w="0" w:type="dxa"/>
              <w:right w:w="15" w:type="dxa"/>
            </w:tcMar>
            <w:vAlign w:val="center"/>
          </w:tcPr>
          <w:p>
            <w:pPr>
              <w:tabs>
                <w:tab w:val="left" w:pos="5400"/>
              </w:tabs>
              <w:adjustRightInd w:val="0"/>
              <w:snapToGrid w:val="0"/>
              <w:jc w:val="center"/>
              <w:rPr>
                <w:rFonts w:ascii="Times New Roman" w:hAnsi="Times New Roman"/>
              </w:rPr>
            </w:pPr>
            <w:r>
              <w:rPr>
                <w:rFonts w:ascii="Times New Roman" w:hAnsi="Times New Roman"/>
              </w:rPr>
              <w:t>白色</w:t>
            </w:r>
          </w:p>
        </w:tc>
      </w:tr>
    </w:tbl>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排污口建档管理</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⑴</w:t>
      </w:r>
      <w:r>
        <w:rPr>
          <w:rFonts w:ascii="Times New Roman" w:hAnsi="Times New Roman"/>
          <w:color w:val="000000" w:themeColor="text1"/>
          <w:kern w:val="0"/>
          <w:sz w:val="24"/>
          <w:szCs w:val="24"/>
          <w14:textFill>
            <w14:solidFill>
              <w14:schemeClr w14:val="tx1"/>
            </w14:solidFill>
          </w14:textFill>
        </w:rPr>
        <w:t xml:space="preserve"> 应使用国家环保部统一印制的《中华人民共和国规范化排污口标志登记证》，并按要求填写有关内容。</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⑵</w:t>
      </w:r>
      <w:r>
        <w:rPr>
          <w:rFonts w:ascii="Times New Roman" w:hAnsi="Times New Roman"/>
          <w:color w:val="000000" w:themeColor="text1"/>
          <w:kern w:val="0"/>
          <w:sz w:val="24"/>
          <w:szCs w:val="24"/>
          <w14:textFill>
            <w14:solidFill>
              <w14:schemeClr w14:val="tx1"/>
            </w14:solidFill>
          </w14:textFill>
        </w:rPr>
        <w:t xml:space="preserve"> 根据排污口管理内容要求，在工程建成投产后，应将主要污染物种类、数量、浓度、排放去向、立标情况及设施运行情况记录于档案；如实向环保管理部门申报排污品数量、位置及所排放的主要污染物种、数量、浓度、排放去向等情况。</w:t>
      </w:r>
    </w:p>
    <w:p>
      <w:pPr>
        <w:rPr>
          <w:rFonts w:ascii="Times New Roman" w:hAnsi="Times New Roman" w:eastAsiaTheme="minorEastAsia"/>
        </w:rPr>
      </w:pPr>
    </w:p>
    <w:p>
      <w:pPr>
        <w:pStyle w:val="6"/>
        <w:ind w:firstLine="480"/>
        <w:rPr>
          <w:rFonts w:cs="Times New Roman" w:eastAsiaTheme="minorEastAsia"/>
        </w:rPr>
        <w:sectPr>
          <w:headerReference r:id="rId18" w:type="default"/>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2"/>
        <w:spacing w:line="480" w:lineRule="auto"/>
        <w:ind w:left="431" w:hanging="431"/>
        <w:jc w:val="center"/>
        <w:rPr>
          <w:rFonts w:eastAsiaTheme="minorEastAsia"/>
          <w:b/>
          <w:sz w:val="32"/>
          <w:szCs w:val="32"/>
        </w:rPr>
      </w:pPr>
      <w:bookmarkStart w:id="427" w:name="_Toc23785"/>
      <w:r>
        <w:rPr>
          <w:rFonts w:eastAsiaTheme="minorEastAsia"/>
          <w:b/>
          <w:sz w:val="32"/>
          <w:szCs w:val="32"/>
        </w:rPr>
        <w:t>评价结论与建议</w:t>
      </w:r>
      <w:bookmarkEnd w:id="427"/>
    </w:p>
    <w:p>
      <w:pPr>
        <w:pStyle w:val="3"/>
        <w:rPr>
          <w:rFonts w:ascii="Times New Roman" w:hAnsi="Times New Roman" w:eastAsiaTheme="minorEastAsia"/>
          <w:b/>
        </w:rPr>
      </w:pPr>
      <w:bookmarkStart w:id="428" w:name="_Toc1118"/>
      <w:r>
        <w:rPr>
          <w:rFonts w:ascii="Times New Roman" w:hAnsi="Times New Roman" w:eastAsiaTheme="minorEastAsia"/>
          <w:b/>
        </w:rPr>
        <w:t>项目概况</w:t>
      </w:r>
      <w:bookmarkEnd w:id="428"/>
    </w:p>
    <w:p>
      <w:pPr>
        <w:adjustRightInd w:val="0"/>
        <w:snapToGrid w:val="0"/>
        <w:spacing w:line="360" w:lineRule="auto"/>
        <w:ind w:firstLine="480" w:firstLineChars="200"/>
        <w:rPr>
          <w:rFonts w:ascii="宋体" w:hAnsi="宋体" w:cs="宋体"/>
          <w:color w:val="000000"/>
          <w:kern w:val="0"/>
          <w:sz w:val="24"/>
          <w:szCs w:val="24"/>
          <w:lang w:bidi="ar"/>
        </w:rPr>
      </w:pPr>
      <w:r>
        <w:rPr>
          <w:rFonts w:hint="eastAsia" w:ascii="宋体" w:hAnsi="宋体" w:cs="宋体"/>
          <w:color w:val="000000"/>
          <w:kern w:val="0"/>
          <w:sz w:val="24"/>
          <w:szCs w:val="24"/>
          <w:lang w:bidi="ar"/>
        </w:rPr>
        <w:t>⑴</w:t>
      </w:r>
      <w:r>
        <w:rPr>
          <w:rFonts w:ascii="宋体" w:hAnsi="宋体" w:cs="宋体"/>
          <w:color w:val="000000"/>
          <w:kern w:val="0"/>
          <w:sz w:val="24"/>
          <w:szCs w:val="24"/>
          <w:lang w:bidi="ar"/>
        </w:rPr>
        <w:t xml:space="preserve"> 项目名称：华能岳阳电厂码头2#泊位提质改造工程</w:t>
      </w:r>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hint="eastAsia" w:ascii="宋体" w:hAnsi="宋体" w:cs="宋体"/>
          <w:color w:val="000000"/>
          <w:kern w:val="0"/>
          <w:sz w:val="24"/>
          <w:szCs w:val="24"/>
          <w:lang w:bidi="ar"/>
        </w:rPr>
        <w:t>⑵</w:t>
      </w:r>
      <w:r>
        <w:rPr>
          <w:rFonts w:ascii="Times New Roman" w:hAnsi="Times New Roman"/>
          <w:color w:val="000000"/>
          <w:kern w:val="0"/>
          <w:sz w:val="24"/>
          <w:szCs w:val="24"/>
          <w:lang w:bidi="ar"/>
        </w:rPr>
        <w:t xml:space="preserve"> </w:t>
      </w:r>
      <w:r>
        <w:rPr>
          <w:rFonts w:ascii="Times New Roman" w:hAnsi="Times New Roman" w:eastAsiaTheme="minorEastAsia"/>
          <w:color w:val="000000"/>
          <w:kern w:val="0"/>
          <w:sz w:val="24"/>
          <w:szCs w:val="24"/>
          <w:lang w:bidi="ar"/>
        </w:rPr>
        <w:t>项目性质：改建项目</w:t>
      </w:r>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hint="eastAsia" w:ascii="宋体" w:hAnsi="宋体" w:cs="宋体"/>
          <w:color w:val="000000"/>
          <w:kern w:val="0"/>
          <w:sz w:val="24"/>
          <w:szCs w:val="24"/>
          <w:lang w:bidi="ar"/>
        </w:rPr>
        <w:t>⑶</w:t>
      </w:r>
      <w:r>
        <w:rPr>
          <w:rFonts w:ascii="Times New Roman" w:hAnsi="Times New Roman"/>
          <w:color w:val="000000"/>
          <w:kern w:val="0"/>
          <w:sz w:val="24"/>
          <w:szCs w:val="24"/>
          <w:lang w:bidi="ar"/>
        </w:rPr>
        <w:t xml:space="preserve"> </w:t>
      </w:r>
      <w:r>
        <w:rPr>
          <w:rFonts w:ascii="Times New Roman" w:hAnsi="Times New Roman" w:eastAsiaTheme="minorEastAsia"/>
          <w:color w:val="000000"/>
          <w:kern w:val="0"/>
          <w:sz w:val="24"/>
          <w:szCs w:val="24"/>
          <w:lang w:bidi="ar"/>
        </w:rPr>
        <w:t>建设地点：本项目位于岳阳港城陵矶港区松阳湖作业区，</w:t>
      </w:r>
      <w:r>
        <w:rPr>
          <w:rFonts w:ascii="Times New Roman" w:hAnsi="Times New Roman" w:eastAsiaTheme="minorEastAsia"/>
          <w:sz w:val="24"/>
          <w:szCs w:val="24"/>
        </w:rPr>
        <w:t>城陵矶擂鼓台下游约600m处的长江右岸</w:t>
      </w:r>
      <w:r>
        <w:rPr>
          <w:rFonts w:ascii="Times New Roman" w:hAnsi="Times New Roman" w:eastAsiaTheme="minorEastAsia"/>
          <w:color w:val="000000"/>
          <w:kern w:val="0"/>
          <w:sz w:val="24"/>
          <w:szCs w:val="24"/>
          <w:lang w:bidi="ar"/>
        </w:rPr>
        <w:t>。</w:t>
      </w:r>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hint="eastAsia" w:ascii="宋体" w:hAnsi="宋体" w:cs="宋体"/>
          <w:color w:val="000000"/>
          <w:kern w:val="0"/>
          <w:sz w:val="24"/>
          <w:szCs w:val="24"/>
          <w:lang w:bidi="ar"/>
        </w:rPr>
        <w:t>⑷</w:t>
      </w:r>
      <w:r>
        <w:rPr>
          <w:rFonts w:ascii="Times New Roman" w:hAnsi="Times New Roman" w:eastAsiaTheme="minorEastAsia"/>
          <w:color w:val="000000"/>
          <w:kern w:val="0"/>
          <w:sz w:val="24"/>
          <w:szCs w:val="24"/>
          <w:lang w:bidi="ar"/>
        </w:rPr>
        <w:t xml:space="preserve"> 建设内容及建设规模：</w:t>
      </w:r>
      <w:r>
        <w:rPr>
          <w:rFonts w:ascii="Times New Roman" w:hAnsi="Times New Roman" w:eastAsiaTheme="minorEastAsia"/>
          <w:sz w:val="24"/>
          <w:szCs w:val="24"/>
        </w:rPr>
        <w:t>本项目拟拆除电厂2#泊位并于原址建设3000吨级（码头结构按靠泊10000吨级内河散货货船设计）煤炭进口泊位，占用</w:t>
      </w:r>
      <w:r>
        <w:rPr>
          <w:rFonts w:ascii="Times New Roman" w:hAnsi="Times New Roman"/>
          <w:sz w:val="24"/>
        </w:rPr>
        <w:t>岸线长度173m。</w:t>
      </w:r>
      <w:r>
        <w:rPr>
          <w:rFonts w:ascii="Times New Roman" w:hAnsi="Times New Roman" w:eastAsiaTheme="minorEastAsia"/>
          <w:color w:val="000000"/>
          <w:kern w:val="0"/>
          <w:sz w:val="24"/>
          <w:szCs w:val="24"/>
          <w:lang w:bidi="ar"/>
        </w:rPr>
        <w:t>新增总长约1200</w:t>
      </w:r>
      <w:r>
        <w:rPr>
          <w:rFonts w:hint="eastAsia" w:ascii="Times New Roman" w:hAnsi="Times New Roman" w:eastAsiaTheme="minorEastAsia"/>
          <w:color w:val="000000"/>
          <w:kern w:val="0"/>
          <w:sz w:val="24"/>
          <w:szCs w:val="24"/>
          <w:lang w:bidi="ar"/>
        </w:rPr>
        <w:t>m</w:t>
      </w:r>
      <w:r>
        <w:rPr>
          <w:rFonts w:ascii="Times New Roman" w:hAnsi="Times New Roman" w:eastAsiaTheme="minorEastAsia"/>
          <w:color w:val="000000"/>
          <w:kern w:val="0"/>
          <w:sz w:val="24"/>
          <w:szCs w:val="24"/>
          <w:lang w:bidi="ar"/>
        </w:rPr>
        <w:t>输煤皮带线，同步建设相应的生产及辅助生产建筑物，配备相应的装卸、输送设备和配套设施等。</w:t>
      </w:r>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hint="eastAsia" w:ascii="宋体" w:hAnsi="宋体" w:cs="宋体"/>
          <w:color w:val="000000"/>
          <w:kern w:val="0"/>
          <w:sz w:val="24"/>
          <w:szCs w:val="24"/>
          <w:lang w:bidi="ar"/>
        </w:rPr>
        <w:t>⑸</w:t>
      </w:r>
      <w:r>
        <w:rPr>
          <w:rFonts w:ascii="Times New Roman" w:hAnsi="Times New Roman" w:eastAsiaTheme="minorEastAsia"/>
          <w:color w:val="000000"/>
          <w:kern w:val="0"/>
          <w:sz w:val="24"/>
          <w:szCs w:val="24"/>
          <w:lang w:bidi="ar"/>
        </w:rPr>
        <w:t xml:space="preserve"> 服务对象、货种及吞吐量：本项目建成后服务对象主要为岳阳华能电厂，负责提供煤炭的水路调入运输服务，煤炭进口量200万吨/年。</w:t>
      </w:r>
    </w:p>
    <w:p>
      <w:pPr>
        <w:adjustRightInd w:val="0"/>
        <w:snapToGrid w:val="0"/>
        <w:spacing w:line="360" w:lineRule="auto"/>
        <w:ind w:firstLine="480" w:firstLineChars="200"/>
        <w:rPr>
          <w:rFonts w:ascii="Times New Roman" w:hAnsi="Times New Roman" w:eastAsiaTheme="minorEastAsia"/>
          <w:color w:val="000000"/>
          <w:kern w:val="0"/>
          <w:sz w:val="24"/>
          <w:szCs w:val="24"/>
          <w:lang w:bidi="ar"/>
        </w:rPr>
      </w:pPr>
      <w:r>
        <w:rPr>
          <w:rFonts w:hint="eastAsia" w:ascii="宋体" w:hAnsi="宋体" w:cs="宋体"/>
          <w:color w:val="000000"/>
          <w:kern w:val="0"/>
          <w:sz w:val="24"/>
          <w:szCs w:val="24"/>
          <w:lang w:bidi="ar"/>
        </w:rPr>
        <w:t>⑹</w:t>
      </w:r>
      <w:r>
        <w:rPr>
          <w:rFonts w:ascii="Times New Roman" w:hAnsi="Times New Roman" w:eastAsiaTheme="minorEastAsia"/>
          <w:color w:val="000000"/>
          <w:kern w:val="0"/>
          <w:sz w:val="24"/>
          <w:szCs w:val="24"/>
          <w:lang w:bidi="ar"/>
        </w:rPr>
        <w:t xml:space="preserve"> 总投资：</w:t>
      </w:r>
      <w:r>
        <w:rPr>
          <w:rFonts w:ascii="Times New Roman" w:hAnsi="Times New Roman" w:eastAsiaTheme="minorEastAsia"/>
          <w:sz w:val="24"/>
          <w:szCs w:val="24"/>
        </w:rPr>
        <w:t>14059.61万元，资金为建设单位自筹。</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color w:val="000000"/>
          <w:kern w:val="0"/>
          <w:sz w:val="24"/>
          <w:szCs w:val="24"/>
          <w:lang w:bidi="ar"/>
        </w:rPr>
        <w:t>⑺</w:t>
      </w:r>
      <w:r>
        <w:rPr>
          <w:rFonts w:ascii="Times New Roman" w:hAnsi="Times New Roman" w:eastAsiaTheme="minorEastAsia"/>
          <w:color w:val="000000"/>
          <w:kern w:val="0"/>
          <w:sz w:val="24"/>
          <w:szCs w:val="24"/>
          <w:lang w:bidi="ar"/>
        </w:rPr>
        <w:t xml:space="preserve"> 建设期限：建设工期12个月，工程施工拟于2021年1月</w:t>
      </w:r>
      <w:r>
        <w:rPr>
          <w:rFonts w:ascii="Times New Roman" w:hAnsi="Times New Roman" w:eastAsiaTheme="minorEastAsia"/>
          <w:sz w:val="24"/>
          <w:szCs w:val="24"/>
        </w:rPr>
        <w:t>施工，2021年12月竣工</w:t>
      </w:r>
      <w:r>
        <w:rPr>
          <w:rFonts w:ascii="Times New Roman" w:hAnsi="Times New Roman" w:eastAsiaTheme="minorEastAsia"/>
          <w:color w:val="000000"/>
          <w:kern w:val="0"/>
          <w:sz w:val="24"/>
          <w:szCs w:val="24"/>
          <w:lang w:bidi="ar"/>
        </w:rPr>
        <w:t>投产。</w:t>
      </w:r>
    </w:p>
    <w:p>
      <w:pPr>
        <w:pStyle w:val="3"/>
        <w:rPr>
          <w:rFonts w:ascii="Times New Roman" w:hAnsi="Times New Roman" w:eastAsiaTheme="minorEastAsia"/>
          <w:b/>
        </w:rPr>
      </w:pPr>
      <w:bookmarkStart w:id="429" w:name="_Toc15620"/>
      <w:r>
        <w:rPr>
          <w:rFonts w:ascii="Times New Roman" w:hAnsi="Times New Roman" w:eastAsiaTheme="minorEastAsia"/>
          <w:b/>
        </w:rPr>
        <w:t>环境质量现状</w:t>
      </w:r>
      <w:bookmarkEnd w:id="429"/>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水环境质量现状</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根据环境质量现状监测结果，本评价收集了2018年岳阳市水环境质量年报数据。根据2018年月岳阳市水环境质量年报显示，2018年“陆城监测断面”和“城陵矶监测断面”水质均达到地表水</w:t>
      </w:r>
      <w:r>
        <w:rPr>
          <w:rFonts w:hint="eastAsia" w:ascii="宋体" w:hAnsi="宋体" w:cs="宋体"/>
          <w:sz w:val="24"/>
          <w:szCs w:val="24"/>
        </w:rPr>
        <w:t>Ⅲ</w:t>
      </w:r>
      <w:r>
        <w:rPr>
          <w:rFonts w:ascii="Times New Roman" w:hAnsi="Times New Roman" w:eastAsiaTheme="minorEastAsia"/>
          <w:sz w:val="24"/>
          <w:szCs w:val="24"/>
        </w:rPr>
        <w:t>类水质要求。</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通过补充监测可知，</w:t>
      </w:r>
      <w:r>
        <w:rPr>
          <w:rFonts w:ascii="Times New Roman" w:hAnsi="Times New Roman" w:eastAsiaTheme="minorEastAsia"/>
          <w:kern w:val="0"/>
          <w:sz w:val="24"/>
          <w:szCs w:val="24"/>
        </w:rPr>
        <w:t>长江各监测断面中各监测因子指标均能满足</w:t>
      </w:r>
      <w:r>
        <w:rPr>
          <w:rFonts w:ascii="Times New Roman" w:hAnsi="Times New Roman" w:eastAsiaTheme="minorEastAsia"/>
          <w:sz w:val="24"/>
          <w:szCs w:val="24"/>
        </w:rPr>
        <w:t>满足《地表水环境质量标准》（GB3838-2002）</w:t>
      </w:r>
      <w:r>
        <w:rPr>
          <w:rFonts w:hint="eastAsia" w:ascii="宋体" w:hAnsi="宋体" w:cs="宋体"/>
          <w:sz w:val="24"/>
          <w:szCs w:val="24"/>
        </w:rPr>
        <w:t>Ⅲ</w:t>
      </w:r>
      <w:r>
        <w:rPr>
          <w:rFonts w:ascii="Times New Roman" w:hAnsi="Times New Roman" w:eastAsiaTheme="minorEastAsia"/>
          <w:sz w:val="24"/>
          <w:szCs w:val="24"/>
        </w:rPr>
        <w:t>类水质及《地表水资源质量标准》（SL63-94）的三级标准水质的控制要求，</w:t>
      </w:r>
      <w:r>
        <w:rPr>
          <w:rFonts w:ascii="Times New Roman" w:hAnsi="Times New Roman" w:eastAsiaTheme="minorEastAsia"/>
          <w:kern w:val="0"/>
          <w:sz w:val="24"/>
          <w:szCs w:val="24"/>
        </w:rPr>
        <w:t>说明项目所在区域地表水环境较好。</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通过现状监测，地下水各监测指标均可达到《地下水质量标准》（GB/T 14848-2017）的</w:t>
      </w:r>
      <w:r>
        <w:rPr>
          <w:rFonts w:hint="eastAsia" w:ascii="宋体" w:hAnsi="宋体" w:cs="宋体"/>
          <w:sz w:val="24"/>
          <w:szCs w:val="24"/>
        </w:rPr>
        <w:t>Ⅲ</w:t>
      </w:r>
      <w:r>
        <w:rPr>
          <w:rFonts w:ascii="Times New Roman" w:hAnsi="Times New Roman" w:eastAsiaTheme="minorEastAsia"/>
          <w:sz w:val="24"/>
          <w:szCs w:val="24"/>
        </w:rPr>
        <w:t>类标准。</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大气环境质量现状</w:t>
      </w:r>
    </w:p>
    <w:p>
      <w:pPr>
        <w:adjustRightInd w:val="0"/>
        <w:snapToGrid w:val="0"/>
        <w:spacing w:line="360" w:lineRule="auto"/>
        <w:ind w:firstLine="480" w:firstLineChars="200"/>
        <w:rPr>
          <w:rFonts w:ascii="Times New Roman" w:hAnsi="Times New Roman"/>
          <w:sz w:val="24"/>
          <w:szCs w:val="24"/>
        </w:rPr>
      </w:pPr>
      <w:r>
        <w:rPr>
          <w:rFonts w:ascii="Times New Roman" w:hAnsi="Times New Roman"/>
          <w:color w:val="000000" w:themeColor="text1"/>
          <w:sz w:val="24"/>
          <w:szCs w:val="24"/>
          <w14:textFill>
            <w14:solidFill>
              <w14:schemeClr w14:val="tx1"/>
            </w14:solidFill>
          </w14:textFill>
        </w:rPr>
        <w:t>根据岳阳市生态环境局收集的《岳阳市201</w:t>
      </w:r>
      <w:r>
        <w:rPr>
          <w:rFonts w:hint="eastAsia" w:ascii="Times New Roman" w:hAnsi="Times New Roman"/>
          <w:color w:val="000000" w:themeColor="text1"/>
          <w:sz w:val="24"/>
          <w:szCs w:val="24"/>
          <w:lang w:val="en-US" w:eastAsia="zh-CN"/>
          <w14:textFill>
            <w14:solidFill>
              <w14:schemeClr w14:val="tx1"/>
            </w14:solidFill>
          </w14:textFill>
        </w:rPr>
        <w:t>9</w:t>
      </w:r>
      <w:r>
        <w:rPr>
          <w:rFonts w:ascii="Times New Roman" w:hAnsi="Times New Roman"/>
          <w:color w:val="000000" w:themeColor="text1"/>
          <w:sz w:val="24"/>
          <w:szCs w:val="24"/>
          <w14:textFill>
            <w14:solidFill>
              <w14:schemeClr w14:val="tx1"/>
            </w14:solidFill>
          </w14:textFill>
        </w:rPr>
        <w:t>年度环境质量公报》，</w:t>
      </w:r>
      <w:r>
        <w:rPr>
          <w:rFonts w:hint="default" w:ascii="Times New Roman" w:hAnsi="Times New Roman" w:cs="Times New Roman"/>
          <w:sz w:val="24"/>
          <w:szCs w:val="24"/>
        </w:rPr>
        <w:t>2019年岳阳市大气环境质量主要指标中SO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年均浓度、NO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年均浓度、PM</w:t>
      </w:r>
      <w:r>
        <w:rPr>
          <w:rFonts w:hint="default" w:ascii="Times New Roman" w:hAnsi="Times New Roman" w:cs="Times New Roman"/>
          <w:sz w:val="24"/>
          <w:szCs w:val="24"/>
          <w:vertAlign w:val="subscript"/>
        </w:rPr>
        <w:t>10</w:t>
      </w:r>
      <w:r>
        <w:rPr>
          <w:rFonts w:hint="default" w:ascii="Times New Roman" w:hAnsi="Times New Roman" w:cs="Times New Roman"/>
          <w:sz w:val="24"/>
          <w:szCs w:val="24"/>
        </w:rPr>
        <w:t>年平均浓度和CO 24小时平均第95百分位数浓度均能满足《环境空气质量标准》（GB3095-2012）中的二级标准限值，PM</w:t>
      </w:r>
      <w:r>
        <w:rPr>
          <w:rFonts w:hint="default" w:ascii="Times New Roman" w:hAnsi="Times New Roman" w:cs="Times New Roman"/>
          <w:sz w:val="24"/>
          <w:szCs w:val="24"/>
          <w:vertAlign w:val="subscript"/>
        </w:rPr>
        <w:t>2.5</w:t>
      </w:r>
      <w:r>
        <w:rPr>
          <w:rFonts w:hint="default" w:ascii="Times New Roman" w:hAnsi="Times New Roman" w:cs="Times New Roman"/>
          <w:sz w:val="24"/>
          <w:szCs w:val="24"/>
        </w:rPr>
        <w:t>年平均浓度和O</w:t>
      </w:r>
      <w:r>
        <w:rPr>
          <w:rFonts w:hint="default" w:ascii="Times New Roman" w:hAnsi="Times New Roman" w:cs="Times New Roman"/>
          <w:sz w:val="24"/>
          <w:szCs w:val="24"/>
          <w:vertAlign w:val="subscript"/>
        </w:rPr>
        <w:t xml:space="preserve">3 </w:t>
      </w:r>
      <w:r>
        <w:rPr>
          <w:rFonts w:hint="default" w:ascii="Times New Roman" w:hAnsi="Times New Roman" w:cs="Times New Roman"/>
          <w:sz w:val="24"/>
          <w:szCs w:val="24"/>
        </w:rPr>
        <w:t>8小时平均第90百分位数浓度均不能满足《环境空气质量标准》（GB3095-2012）中的二级标准限值，故本项目所在区域2019年为环境空气质量不达标区，</w:t>
      </w:r>
      <w:r>
        <w:rPr>
          <w:rFonts w:hint="default" w:ascii="Times New Roman" w:hAnsi="Times New Roman" w:cs="Times New Roman"/>
          <w:sz w:val="24"/>
          <w:szCs w:val="22"/>
        </w:rPr>
        <w:t>超标因子为PM</w:t>
      </w:r>
      <w:r>
        <w:rPr>
          <w:rFonts w:hint="default" w:ascii="Times New Roman" w:hAnsi="Times New Roman" w:cs="Times New Roman"/>
          <w:sz w:val="24"/>
          <w:szCs w:val="22"/>
          <w:vertAlign w:val="subscript"/>
        </w:rPr>
        <w:t>2.5</w:t>
      </w:r>
      <w:r>
        <w:rPr>
          <w:rFonts w:hint="default" w:ascii="Times New Roman" w:hAnsi="Times New Roman" w:cs="Times New Roman"/>
          <w:sz w:val="24"/>
          <w:szCs w:val="22"/>
        </w:rPr>
        <w:t>和O</w:t>
      </w:r>
      <w:r>
        <w:rPr>
          <w:rFonts w:hint="default" w:ascii="Times New Roman" w:hAnsi="Times New Roman" w:cs="Times New Roman"/>
          <w:sz w:val="24"/>
          <w:szCs w:val="22"/>
          <w:vertAlign w:val="subscript"/>
        </w:rPr>
        <w:t xml:space="preserve">3 </w:t>
      </w:r>
      <w:r>
        <w:rPr>
          <w:rFonts w:hint="default" w:ascii="Times New Roman" w:hAnsi="Times New Roman" w:cs="Times New Roman"/>
          <w:sz w:val="24"/>
          <w:szCs w:val="24"/>
        </w:rPr>
        <w:t>。</w:t>
      </w:r>
    </w:p>
    <w:p>
      <w:pPr>
        <w:adjustRightInd w:val="0"/>
        <w:snapToGrid w:val="0"/>
        <w:spacing w:line="360" w:lineRule="auto"/>
        <w:ind w:firstLine="482"/>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根据补充监测可知，</w:t>
      </w:r>
      <w:r>
        <w:rPr>
          <w:rFonts w:ascii="Times New Roman" w:hAnsi="Times New Roman" w:eastAsiaTheme="minorEastAsia"/>
          <w:sz w:val="24"/>
          <w:szCs w:val="24"/>
        </w:rPr>
        <w:t>项目所在区域监测点位的TSP满足《环境空气质量标准》（GB3095-2012）二级标准要求，评价区域内环境空气质量现状良好</w:t>
      </w:r>
      <w:r>
        <w:rPr>
          <w:rFonts w:ascii="Times New Roman" w:hAnsi="Times New Roman" w:eastAsiaTheme="minorEastAsia"/>
          <w:color w:val="000000" w:themeColor="text1"/>
          <w:sz w:val="24"/>
          <w:szCs w:val="24"/>
          <w14:textFill>
            <w14:solidFill>
              <w14:schemeClr w14:val="tx1"/>
            </w14:solidFill>
          </w14:textFill>
        </w:rPr>
        <w:t>。</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声环境质量现状</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Times New Roman" w:hAnsi="Times New Roman" w:eastAsiaTheme="minorEastAsia"/>
          <w:sz w:val="24"/>
          <w:szCs w:val="24"/>
          <w:lang w:eastAsia="zh-CN"/>
        </w:rPr>
        <w:t>本</w:t>
      </w:r>
      <w:r>
        <w:rPr>
          <w:rFonts w:ascii="Times New Roman" w:hAnsi="Times New Roman" w:eastAsiaTheme="minorEastAsia"/>
          <w:sz w:val="24"/>
          <w:szCs w:val="24"/>
        </w:rPr>
        <w:t>项目所在地声环境质量满足《声环境质量标准》（GB3096-2008）中4a类区标准和2类标准，表明项目周边声环境质量现状良好。</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底泥环境质量现状</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项目所在地水域底泥各个监测指标均可满足《土壤环境质量建设用地土壤污染风险管控标准》（GB36600-2018）中第二类用地风险筛选值要求和</w:t>
      </w:r>
      <w:r>
        <w:rPr>
          <w:rFonts w:ascii="Times New Roman" w:hAnsi="Times New Roman" w:eastAsiaTheme="minorEastAsia"/>
          <w:color w:val="000000"/>
          <w:sz w:val="24"/>
          <w:szCs w:val="24"/>
        </w:rPr>
        <w:t>《土壤环境质量农用地土壤污染风险管控标准》（GB 15618-2018）中用地筛选值限值要求</w:t>
      </w:r>
      <w:r>
        <w:rPr>
          <w:rFonts w:ascii="Times New Roman" w:hAnsi="Times New Roman" w:eastAsiaTheme="minorEastAsia"/>
          <w:sz w:val="24"/>
          <w:szCs w:val="24"/>
        </w:rPr>
        <w:t>，项目所在地水域底泥环境较好。</w:t>
      </w:r>
    </w:p>
    <w:p>
      <w:pPr>
        <w:pStyle w:val="3"/>
        <w:rPr>
          <w:rFonts w:ascii="Times New Roman" w:hAnsi="Times New Roman" w:eastAsiaTheme="minorEastAsia"/>
          <w:b/>
        </w:rPr>
      </w:pPr>
      <w:bookmarkStart w:id="430" w:name="_Toc32430"/>
      <w:r>
        <w:rPr>
          <w:rFonts w:ascii="Times New Roman" w:hAnsi="Times New Roman" w:eastAsiaTheme="minorEastAsia"/>
          <w:b/>
        </w:rPr>
        <w:t>环境影响评价</w:t>
      </w:r>
      <w:bookmarkEnd w:id="430"/>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生态影响</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项目对生态的影响主要来自码头。施工期水下施工将造成局部水域悬浮物浓度增加，对局部水生生态环境有一定的污染影响，导致施工期间航道内水生生物数量的减少。</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工程建设对水生生态环境影响是局部的、暂时的，随着施工期的结束影响也随之结束。</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码头采用浮码头结构，不阻挡鱼类的洄游通道。工期影响主要是桩基施工作业对水生生物的驱赶效应，采取施工期避开鱼类产卵季节等措施后，施工对鱼类影响不大。</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工程所在江段现状为航道，工程运营后，码头水工结构对水生生物的分布区域和活动空间影响不大。在正常运营情况下，本项目不会对区域生态功能产生显著影响。</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评价区的陆生植物、陆生动物均为常见种，征地范围内不涉及需要保护的珍稀古树，工程建设不会对珍稀野生保护动物、植物资源产生不利影响。</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地表水环境影响</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1、施工期</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码头施工对水环境的影响主要是水工建筑物施工作业引起局部水体悬浮物浓度升高，施工造成悬浮物浓度增加值超过10mg/L的范围为沿水流方向长约100~250m，垂直岸边宽约50~100m，影响范围有限，污染时间较短，随着施工结束污染影响也随之结束。施工船舶不得向施工水域排放舱底油污水或生活污水。施工船舶如需排放舱底油污水，应经船主收集后送海事部门指定单位处理。</w:t>
      </w:r>
      <w:r>
        <w:rPr>
          <w:rFonts w:ascii="Times New Roman" w:hAnsi="Times New Roman" w:eastAsiaTheme="minorEastAsia"/>
          <w:color w:val="000000"/>
          <w:sz w:val="24"/>
          <w:szCs w:val="24"/>
        </w:rPr>
        <w:t>施工生活设施设置在后方码头院内，在工棚建设临时化粪池，处理后的</w:t>
      </w:r>
      <w:r>
        <w:rPr>
          <w:rFonts w:ascii="Times New Roman" w:hAnsi="Times New Roman" w:eastAsiaTheme="minorEastAsia"/>
          <w:sz w:val="24"/>
          <w:szCs w:val="24"/>
        </w:rPr>
        <w:t>陆域施工人员生活污水</w:t>
      </w:r>
      <w:r>
        <w:rPr>
          <w:rFonts w:ascii="Times New Roman" w:hAnsi="Times New Roman" w:eastAsiaTheme="minorEastAsia"/>
          <w:color w:val="000000"/>
          <w:sz w:val="24"/>
          <w:szCs w:val="24"/>
        </w:rPr>
        <w:t>通过污水管网进入华能电厂厂区，用作绿化用水，不排入长江。</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2、营运期</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sz w:val="24"/>
          <w:szCs w:val="24"/>
        </w:rPr>
        <w:t>营运期废水主要为到港船舶舱底油污水、船舶生活污水、趸船冲洗废水、码头生活污水、初期雨水等。</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码头面初期雨水、趸船冲洗废水采用排水盖板明沟收集，趸船装卸区四周设收集坎，每趸船内设1座容积为15m</w:t>
      </w:r>
      <w:r>
        <w:rPr>
          <w:rFonts w:ascii="Times New Roman" w:hAnsi="Times New Roman" w:eastAsiaTheme="minorEastAsia"/>
          <w:color w:val="000000" w:themeColor="text1"/>
          <w:kern w:val="0"/>
          <w:sz w:val="24"/>
          <w:szCs w:val="24"/>
          <w:vertAlign w:val="superscript"/>
          <w14:textFill>
            <w14:solidFill>
              <w14:schemeClr w14:val="tx1"/>
            </w14:solidFill>
          </w14:textFill>
        </w:rPr>
        <w:t>3</w:t>
      </w:r>
      <w:r>
        <w:rPr>
          <w:rFonts w:ascii="Times New Roman" w:hAnsi="Times New Roman" w:eastAsiaTheme="minorEastAsia"/>
          <w:color w:val="000000" w:themeColor="text1"/>
          <w:kern w:val="0"/>
          <w:sz w:val="24"/>
          <w:szCs w:val="24"/>
          <w14:textFill>
            <w14:solidFill>
              <w14:schemeClr w14:val="tx1"/>
            </w14:solidFill>
          </w14:textFill>
        </w:rPr>
        <w:t>煤水收集池，收集池污水由防爆污水泵和管道抽送至后方码头院内的污水处理站，经污水处理站通过调节、隔油、生化、沉淀、消毒处理达到《污水综合排放标准》（GB8978-1996）一级标准后，再通过管道泵送至电厂厂区用作绿化用水。</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项目生活污水经简易环保型厕所收集后进入后方码头院内的污水处理站，经污水处理站通过调节、隔油、生化、沉淀、消毒处理达到《污水综合排放标准》（GB8978-1996）一级标准后，再通过管道泵送至电厂厂区用作绿化用水</w:t>
      </w:r>
      <w:r>
        <w:rPr>
          <w:rFonts w:ascii="Times New Roman" w:hAnsi="Times New Roman" w:eastAsiaTheme="minorEastAsia"/>
          <w:color w:val="000000" w:themeColor="text1"/>
          <w:sz w:val="24"/>
          <w:szCs w:val="24"/>
          <w14:textFill>
            <w14:solidFill>
              <w14:schemeClr w14:val="tx1"/>
            </w14:solidFill>
          </w14:textFill>
        </w:rPr>
        <w:t>。</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color w:val="000000" w:themeColor="text1"/>
          <w:sz w:val="24"/>
          <w:szCs w:val="24"/>
          <w14:textFill>
            <w14:solidFill>
              <w14:schemeClr w14:val="tx1"/>
            </w14:solidFill>
          </w14:textFill>
        </w:rPr>
        <w:t>到港船舶污水不得在本码头水</w:t>
      </w:r>
      <w:r>
        <w:rPr>
          <w:rFonts w:ascii="Times New Roman" w:hAnsi="Times New Roman" w:eastAsiaTheme="minorEastAsia"/>
          <w:sz w:val="24"/>
          <w:szCs w:val="24"/>
        </w:rPr>
        <w:t>域排放，船底油污水经船舶自配的油水分离器处理后和船舶生活污水交给海事部门的环保船接收处理。</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地下水影响</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本项目已经根据相关防渗设计规范采取严格的防渗、防溢流、防泄漏、防腐蚀等措施，一般情况下污水不会渗漏和进入地下，对地下水不会造成污染，因此本项目运营期正常情况下对地下水影响较小。</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环境空气影响</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1、施工期</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施工过程中产生的主要大气污染物是粉尘，包括沙石料堆存、卡车卸料、场地扬尘以及水泥拆包等起尘环节，施工场地及道路扬尘</w:t>
      </w:r>
      <w:r>
        <w:rPr>
          <w:rFonts w:hint="eastAsia" w:ascii="Times New Roman" w:hAnsi="Times New Roman" w:eastAsiaTheme="minorEastAsia"/>
          <w:sz w:val="24"/>
          <w:szCs w:val="24"/>
        </w:rPr>
        <w:t>：</w:t>
      </w:r>
      <w:r>
        <w:rPr>
          <w:rFonts w:ascii="Times New Roman" w:hAnsi="Times New Roman" w:eastAsiaTheme="minorEastAsia"/>
          <w:sz w:val="24"/>
          <w:szCs w:val="24"/>
        </w:rPr>
        <w:t>施工船舶、运输车辆及载重车、挖掘机、装载机、推土机等施工机械排放少量燃油废气，均属无组织排放。</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本次评价采用类比调查的方法进行分析。类比长江同类码头施工现场环境空气质量监测结果进行分析，通常在距污染源100m处，各总悬浮微粒值在0.12~0.79mg/m</w:t>
      </w:r>
      <w:r>
        <w:rPr>
          <w:rFonts w:ascii="Times New Roman" w:hAnsi="Times New Roman" w:eastAsiaTheme="minorEastAsia"/>
          <w:sz w:val="24"/>
          <w:szCs w:val="24"/>
          <w:vertAlign w:val="superscript"/>
        </w:rPr>
        <w:t>3</w:t>
      </w:r>
      <w:r>
        <w:rPr>
          <w:rFonts w:ascii="Times New Roman" w:hAnsi="Times New Roman" w:eastAsiaTheme="minorEastAsia"/>
          <w:sz w:val="24"/>
          <w:szCs w:val="24"/>
        </w:rPr>
        <w:t>之间；浓度影响随风速的变化而变化，总的趋势是小风、静风天气作业时，影响范围较小。</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2、营运期</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无组织废气</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经预测，项目码头装卸作业产生的无组织废气TSP最大落地浓度为18.6620μg/m</w:t>
      </w:r>
      <w:r>
        <w:rPr>
          <w:rFonts w:ascii="Times New Roman" w:hAnsi="Times New Roman" w:eastAsiaTheme="minorEastAsia"/>
          <w:sz w:val="24"/>
          <w:szCs w:val="24"/>
          <w:vertAlign w:val="superscript"/>
        </w:rPr>
        <w:t>3</w:t>
      </w:r>
      <w:r>
        <w:rPr>
          <w:rFonts w:ascii="Times New Roman" w:hAnsi="Times New Roman" w:eastAsiaTheme="minorEastAsia"/>
          <w:sz w:val="24"/>
          <w:szCs w:val="24"/>
        </w:rPr>
        <w:t>，对应的最大占标率为2.07%，</w:t>
      </w:r>
      <w:r>
        <w:rPr>
          <w:rFonts w:ascii="Times New Roman" w:hAnsi="Times New Roman" w:eastAsiaTheme="minorEastAsia"/>
          <w:kern w:val="0"/>
          <w:sz w:val="24"/>
          <w:szCs w:val="24"/>
        </w:rPr>
        <w:t>超过1%不超过10%，满足《环境影响评价技术导则大气环境》</w:t>
      </w:r>
      <w:r>
        <w:rPr>
          <w:rFonts w:hint="eastAsia" w:ascii="Times New Roman" w:hAnsi="Times New Roman" w:eastAsiaTheme="minorEastAsia"/>
          <w:kern w:val="0"/>
          <w:sz w:val="24"/>
          <w:szCs w:val="24"/>
          <w:lang w:eastAsia="zh-CN"/>
        </w:rPr>
        <w:t>（</w:t>
      </w:r>
      <w:r>
        <w:rPr>
          <w:rFonts w:ascii="Times New Roman" w:hAnsi="Times New Roman" w:eastAsiaTheme="minorEastAsia"/>
          <w:kern w:val="0"/>
          <w:sz w:val="24"/>
          <w:szCs w:val="24"/>
        </w:rPr>
        <w:t>HJ2.2-2018</w:t>
      </w:r>
      <w:r>
        <w:rPr>
          <w:rFonts w:hint="eastAsia" w:ascii="Times New Roman" w:hAnsi="Times New Roman" w:eastAsiaTheme="minorEastAsia"/>
          <w:kern w:val="0"/>
          <w:sz w:val="24"/>
          <w:szCs w:val="24"/>
          <w:lang w:eastAsia="zh-CN"/>
        </w:rPr>
        <w:t>）</w:t>
      </w:r>
      <w:r>
        <w:rPr>
          <w:rFonts w:ascii="Times New Roman" w:hAnsi="Times New Roman" w:eastAsiaTheme="minorEastAsia"/>
          <w:kern w:val="0"/>
          <w:sz w:val="24"/>
          <w:szCs w:val="24"/>
        </w:rPr>
        <w:t>附录D中相应限值要求</w:t>
      </w:r>
      <w:r>
        <w:rPr>
          <w:rFonts w:ascii="Times New Roman" w:hAnsi="Times New Roman" w:eastAsiaTheme="minorEastAsia"/>
          <w:sz w:val="24"/>
          <w:szCs w:val="24"/>
        </w:rPr>
        <w:t>。</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sz w:val="24"/>
          <w:szCs w:val="24"/>
        </w:rPr>
        <w:t xml:space="preserve"> 大气防护距离</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项目营运期装卸作业无组织排放废气大气防护距离计算结果均为无超标点，不需要设置大气环境防护距离。</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因此，营运期港区码头装卸作业对环境空气将产生局部污染影响，仅局限在港区范围内，不会对周围环境及环境空气保护目标产生污染影响。</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声环境影响</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1、施工期</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码头施工过程，单机噪声中打桩机昼间在300m外可满足《建筑施工场界环境噪声排放标准》中昼间70dB(A)的要求，夜间禁止打桩；挖掘机、起重机和卡车等昼间在60m，夜间在300m以外可满足《建筑施工场界环境噪声排放标准》中昼间70dB(A)，夜间55dB(A)的要求。项目夜间不施工，施工噪声经距离衰减后对其声环境质量产生影响较小。</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2、营运期</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营运期噪声源主要来源于码头机械噪声、船舶鸣笛产生的交通噪声等。</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根据预测结果，码头作业噪声在预测点昼间、夜间噪声均符合《工业企业厂界环境噪声排放标准》（GB12348-2008）3、4类，叠加本底值后满足《声环境质量标准》（GB3096-2008）3、4类标准。</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固体废物环境影响</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1、施工期</w:t>
      </w:r>
    </w:p>
    <w:p>
      <w:pPr>
        <w:autoSpaceDE w:val="0"/>
        <w:autoSpaceDN w:val="0"/>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kern w:val="0"/>
          <w:sz w:val="24"/>
          <w:szCs w:val="24"/>
        </w:rPr>
        <w:t>施工过程中产生的固体废弃物主要为施工人员生活垃圾和施工垃圾。生活垃圾在厂区设有垃圾桶，定期有环卫部门清运统一处理；施工垃圾主要为施工建筑垃圾、桩基工程开挖产生的钻渣等，建筑垃圾应及时清理，能回收利用的部分进行回收利用，不能回收的部分应运至指定地方清理。工程产生的弃渣可就近用作公路、河流的岸坡防护或作业带迹地恢复</w:t>
      </w:r>
      <w:r>
        <w:rPr>
          <w:rFonts w:ascii="Times New Roman" w:hAnsi="Times New Roman" w:eastAsiaTheme="minorEastAsia"/>
          <w:sz w:val="24"/>
          <w:szCs w:val="24"/>
        </w:rPr>
        <w:t>。各类废物均合理处置，不会对环境造成二次污染。</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2、营运期</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rPr>
        <w:t>营运期固体废物主要为工作人员生活垃圾、到港船舶生活垃圾、装卸作业废油以及机修废物（废油渣和废含油抹布）、污水处理站污泥、沉渣。</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船舶垃圾一律自行带走，交海事部门环保船接收处理，严禁乱丢乱弃，对环境影响较小。本项目码头区工作人员生活垃圾通过垃圾简收集后，交由环卫部门定期清运，严禁乱丢乱弃，对环境影响较小。</w:t>
      </w:r>
      <w:r>
        <w:rPr>
          <w:rFonts w:ascii="Times New Roman" w:hAnsi="Times New Roman" w:eastAsiaTheme="minorEastAsia"/>
          <w:sz w:val="24"/>
        </w:rPr>
        <w:t>项目生活污水污水处理站、明沟、沉淀池等环保设施产生的污泥，交由华能岳阳电厂进行综合利用。</w:t>
      </w:r>
      <w:r>
        <w:rPr>
          <w:rFonts w:ascii="Times New Roman" w:hAnsi="Times New Roman" w:eastAsiaTheme="minorEastAsia"/>
          <w:sz w:val="24"/>
          <w:szCs w:val="24"/>
        </w:rPr>
        <w:t>码头设备修理和装卸作业中产生的废油渣委托有资质单位处置，严禁乱丢乱弃，对环境影响较小。</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工程固体废物经过上述措施处置后，不会对环境造成二次污染。</w:t>
      </w:r>
    </w:p>
    <w:p>
      <w:pPr>
        <w:pStyle w:val="3"/>
        <w:rPr>
          <w:rFonts w:ascii="Times New Roman" w:hAnsi="Times New Roman" w:eastAsiaTheme="minorEastAsia"/>
          <w:b/>
        </w:rPr>
      </w:pPr>
      <w:bookmarkStart w:id="431" w:name="_Toc19659"/>
      <w:r>
        <w:rPr>
          <w:rFonts w:ascii="Times New Roman" w:hAnsi="Times New Roman" w:eastAsiaTheme="minorEastAsia"/>
          <w:b/>
        </w:rPr>
        <w:t>主要环境保护措施</w:t>
      </w:r>
      <w:bookmarkEnd w:id="431"/>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生态环境污染防治措施</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加强对承包商、施工人员的宣传教育工作。</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sz w:val="24"/>
          <w:szCs w:val="24"/>
        </w:rPr>
        <w:t xml:space="preserve"> 建设单位与施工单位所签定的承包合同中应有环境保护方面的条款，并附有环保要求的具体内容。</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⑶</w:t>
      </w:r>
      <w:r>
        <w:rPr>
          <w:rFonts w:ascii="Times New Roman" w:hAnsi="Times New Roman" w:eastAsiaTheme="minorEastAsia"/>
          <w:sz w:val="24"/>
          <w:szCs w:val="24"/>
        </w:rPr>
        <w:t xml:space="preserve"> 合理进行施工组织，工程水域施工应避开鱼类产卵繁殖期及鱼苗摄食育肥期，避开水生动物的活动高峰期。</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⑷</w:t>
      </w:r>
      <w:r>
        <w:rPr>
          <w:rFonts w:ascii="Times New Roman" w:hAnsi="Times New Roman" w:eastAsiaTheme="minorEastAsia"/>
          <w:sz w:val="24"/>
          <w:szCs w:val="24"/>
        </w:rPr>
        <w:t xml:space="preserve"> 应优化施工工艺方案，控制施工作业、施工船舶污染物排放。抓紧施工进度，尽量缩短水上作业时间。加强施工区域通航管理工作，严防危险品运输船舶溢油事故。</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⑸</w:t>
      </w:r>
      <w:r>
        <w:rPr>
          <w:rFonts w:ascii="Times New Roman" w:hAnsi="Times New Roman" w:eastAsiaTheme="minorEastAsia"/>
          <w:sz w:val="24"/>
          <w:szCs w:val="24"/>
        </w:rPr>
        <w:t xml:space="preserve"> 施工期间尽可能减少噪音，采取低噪音设备施工，减少噪声对鱼类影响。</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⑹</w:t>
      </w:r>
      <w:r>
        <w:rPr>
          <w:rFonts w:ascii="Times New Roman" w:hAnsi="Times New Roman" w:eastAsiaTheme="minorEastAsia"/>
          <w:sz w:val="24"/>
          <w:szCs w:val="24"/>
        </w:rPr>
        <w:t xml:space="preserve"> 施工期的各种固体废物均进行收集处理，不得随意抛弃。</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⑺</w:t>
      </w:r>
      <w:r>
        <w:rPr>
          <w:rFonts w:ascii="Times New Roman" w:hAnsi="Times New Roman" w:eastAsiaTheme="minorEastAsia"/>
          <w:sz w:val="24"/>
          <w:szCs w:val="24"/>
        </w:rPr>
        <w:t xml:space="preserve"> 陆域施工区在施工结束后播撒草种以恢复植被。</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⑻</w:t>
      </w:r>
      <w:r>
        <w:rPr>
          <w:rFonts w:ascii="Times New Roman" w:hAnsi="Times New Roman" w:eastAsiaTheme="minorEastAsia"/>
          <w:sz w:val="24"/>
          <w:szCs w:val="24"/>
        </w:rPr>
        <w:t xml:space="preserve"> 码头岸线陆域施工结束后，立即对植被破环区域进行植被恢复。</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⑼</w:t>
      </w:r>
      <w:r>
        <w:rPr>
          <w:rFonts w:ascii="Times New Roman" w:hAnsi="Times New Roman" w:eastAsiaTheme="minorEastAsia"/>
          <w:sz w:val="24"/>
          <w:szCs w:val="24"/>
        </w:rPr>
        <w:t xml:space="preserve"> 渔政管理部门应加强项目施工期和运行期水生生物监测工作。</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水环境污染防治措施</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1、施工期</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施工现场因地制宜，建造临时化粪池等污水临时处理设施。</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sz w:val="24"/>
          <w:szCs w:val="24"/>
        </w:rPr>
        <w:t xml:space="preserve"> 砂浆和石灰浆废液宜集中处理，干化后与固体废物一起进行处置。</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⑶</w:t>
      </w:r>
      <w:r>
        <w:rPr>
          <w:rFonts w:ascii="Times New Roman" w:hAnsi="Times New Roman" w:eastAsiaTheme="minorEastAsia"/>
          <w:sz w:val="24"/>
          <w:szCs w:val="24"/>
        </w:rPr>
        <w:t xml:space="preserve"> 水泥、黄沙、石灰类的建筑材料需集中堆放，并建造简易挡雨棚、挡土墙，及时清扫场内运输线上抛洒的上述粉料。</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⑷</w:t>
      </w:r>
      <w:r>
        <w:rPr>
          <w:rFonts w:ascii="Times New Roman" w:hAnsi="Times New Roman" w:eastAsiaTheme="minorEastAsia"/>
          <w:sz w:val="24"/>
          <w:szCs w:val="24"/>
        </w:rPr>
        <w:t xml:space="preserve"> 施工期船舶含油污水应当严格管理并禁止随意排放。船舶油污水应申报后送具有相应资质且在海事部门备案的接收单位。</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⑸</w:t>
      </w:r>
      <w:r>
        <w:rPr>
          <w:rFonts w:ascii="Times New Roman" w:hAnsi="Times New Roman" w:eastAsiaTheme="minorEastAsia"/>
          <w:sz w:val="24"/>
          <w:szCs w:val="24"/>
        </w:rPr>
        <w:t xml:space="preserve"> 施工船舶在水域内定点作业、船舶停泊，以保证不发生船舶污染水域的事故。</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2、营运期</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⑴</w:t>
      </w:r>
      <w:r>
        <w:rPr>
          <w:rFonts w:ascii="Times New Roman" w:hAnsi="Times New Roman" w:eastAsiaTheme="minorEastAsia"/>
          <w:color w:val="000000" w:themeColor="text1"/>
          <w:sz w:val="24"/>
          <w:szCs w:val="24"/>
          <w14:textFill>
            <w14:solidFill>
              <w14:schemeClr w14:val="tx1"/>
            </w14:solidFill>
          </w14:textFill>
        </w:rPr>
        <w:t xml:space="preserve"> 严禁到港船舶在港区江段排放舱底油污水和生活污水。</w:t>
      </w:r>
    </w:p>
    <w:p>
      <w:pPr>
        <w:adjustRightInd w:val="0"/>
        <w:snapToGrid w:val="0"/>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⑵</w:t>
      </w:r>
      <w:r>
        <w:rPr>
          <w:rFonts w:ascii="Times New Roman" w:hAnsi="Times New Roman" w:eastAsiaTheme="minorEastAsia"/>
          <w:color w:val="000000" w:themeColor="text1"/>
          <w:sz w:val="24"/>
          <w:szCs w:val="24"/>
          <w14:textFill>
            <w14:solidFill>
              <w14:schemeClr w14:val="tx1"/>
            </w14:solidFill>
          </w14:textFill>
        </w:rPr>
        <w:t xml:space="preserve"> </w:t>
      </w:r>
      <w:r>
        <w:rPr>
          <w:rFonts w:ascii="Times New Roman" w:hAnsi="Times New Roman" w:eastAsiaTheme="minorEastAsia"/>
          <w:color w:val="000000" w:themeColor="text1"/>
          <w:kern w:val="0"/>
          <w:sz w:val="24"/>
          <w:szCs w:val="24"/>
          <w14:textFill>
            <w14:solidFill>
              <w14:schemeClr w14:val="tx1"/>
            </w14:solidFill>
          </w14:textFill>
        </w:rPr>
        <w:t>码头面初期雨水、趸船冲洗废水采用排水盖板明沟收集，趸船装卸区四周设收集坎，每趸船内设污水收集池，收集池污水抽送至后方码头院内的污水处理站处理达到《污水综合排放标准》（GB8978-1996）一级标准后，再通过管道泵送至电厂厂区用作绿化用水。项目生活污水经简易环保型厕所收集后进入后方码头院内的污水处理站处理达到《污水综合排放标准》（GB8978-1996）一级标准后，再通过管道泵送至电厂厂区用作绿化用水</w:t>
      </w:r>
      <w:r>
        <w:rPr>
          <w:rFonts w:ascii="Times New Roman" w:hAnsi="Times New Roman" w:eastAsiaTheme="minorEastAsia"/>
          <w:color w:val="000000" w:themeColor="text1"/>
          <w:sz w:val="24"/>
          <w:szCs w:val="24"/>
          <w14:textFill>
            <w14:solidFill>
              <w14:schemeClr w14:val="tx1"/>
            </w14:solidFill>
          </w14:textFill>
        </w:rPr>
        <w:t>。</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环境空气污染防治措施</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1、施工期</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施工前先修筑厂界围墙或简易围屏，减少扬尘的逸散。</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sz w:val="24"/>
          <w:szCs w:val="24"/>
        </w:rPr>
        <w:t xml:space="preserve"> 加强施工区的规划管理；建筑材料尽量不大量的堆存，少量堆存将其置于较为空旷的位置，并进行遮挡。</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⑶</w:t>
      </w:r>
      <w:r>
        <w:rPr>
          <w:rFonts w:ascii="Times New Roman" w:hAnsi="Times New Roman" w:eastAsiaTheme="minorEastAsia"/>
          <w:sz w:val="24"/>
          <w:szCs w:val="24"/>
        </w:rPr>
        <w:t xml:space="preserve"> 在施工现场和施工车辆运输道路每天应多次撒水。</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⑷</w:t>
      </w:r>
      <w:r>
        <w:rPr>
          <w:rFonts w:ascii="Times New Roman" w:hAnsi="Times New Roman" w:eastAsiaTheme="minorEastAsia"/>
          <w:sz w:val="24"/>
          <w:szCs w:val="24"/>
        </w:rPr>
        <w:t xml:space="preserve"> 对港区道路、码头面及时清扫并洒水。</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⑸</w:t>
      </w:r>
      <w:r>
        <w:rPr>
          <w:rFonts w:ascii="Times New Roman" w:hAnsi="Times New Roman" w:eastAsiaTheme="minorEastAsia"/>
          <w:sz w:val="24"/>
          <w:szCs w:val="24"/>
        </w:rPr>
        <w:t xml:space="preserve"> 运输易起尘物料车辆要加盖篷布、控制车速。</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⑹</w:t>
      </w:r>
      <w:r>
        <w:rPr>
          <w:rFonts w:ascii="Times New Roman" w:hAnsi="Times New Roman" w:eastAsiaTheme="minorEastAsia"/>
          <w:sz w:val="24"/>
          <w:szCs w:val="24"/>
        </w:rPr>
        <w:t xml:space="preserve"> 加强对施工机械、车辆的维修保养。</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2、营运期</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kern w:val="0"/>
          <w:sz w:val="24"/>
          <w:szCs w:val="24"/>
          <w14:textFill>
            <w14:solidFill>
              <w14:schemeClr w14:val="tx1"/>
            </w14:solidFill>
          </w14:textFill>
        </w:rPr>
        <w:t>对于煤炭装卸过程因高差而散发的无组织排放的粉尘，建设方采取的主要措施包括：</w:t>
      </w:r>
    </w:p>
    <w:p>
      <w:pPr>
        <w:autoSpaceDE w:val="0"/>
        <w:autoSpaceDN w:val="0"/>
        <w:adjustRightInd w:val="0"/>
        <w:snapToGrid w:val="0"/>
        <w:spacing w:line="360" w:lineRule="auto"/>
        <w:ind w:firstLine="480" w:firstLineChars="200"/>
        <w:rPr>
          <w:rFonts w:ascii="Times New Roman" w:hAnsi="Times New Roman"/>
          <w:kern w:val="0"/>
          <w:sz w:val="24"/>
          <w:szCs w:val="24"/>
        </w:rPr>
      </w:pPr>
      <w:r>
        <w:rPr>
          <w:rFonts w:hint="eastAsia" w:ascii="宋体" w:hAnsi="宋体" w:cs="宋体"/>
          <w:color w:val="000000" w:themeColor="text1"/>
          <w:kern w:val="0"/>
          <w:sz w:val="24"/>
          <w:szCs w:val="24"/>
          <w14:textFill>
            <w14:solidFill>
              <w14:schemeClr w14:val="tx1"/>
            </w14:solidFill>
          </w14:textFill>
        </w:rPr>
        <w:t>⑴</w:t>
      </w:r>
      <w:r>
        <w:rPr>
          <w:rFonts w:ascii="Times New Roman" w:hAnsi="Times New Roman"/>
          <w:color w:val="000000" w:themeColor="text1"/>
          <w:kern w:val="0"/>
          <w:sz w:val="24"/>
          <w:szCs w:val="24"/>
          <w14:textFill>
            <w14:solidFill>
              <w14:schemeClr w14:val="tx1"/>
            </w14:solidFill>
          </w14:textFill>
        </w:rPr>
        <w:t xml:space="preserve"> 在煤炭接卸过程中适当降低取料高度，在煤抓斗下方趸船与运煤船之间设置防撒煤的帆布，防止煤装卸过程中煤撒落</w:t>
      </w:r>
      <w:r>
        <w:rPr>
          <w:rFonts w:ascii="Times New Roman" w:hAnsi="Times New Roman"/>
          <w:kern w:val="0"/>
          <w:sz w:val="24"/>
          <w:szCs w:val="24"/>
        </w:rPr>
        <w:t>至长江中；</w:t>
      </w:r>
    </w:p>
    <w:p>
      <w:pPr>
        <w:autoSpaceDE w:val="0"/>
        <w:autoSpaceDN w:val="0"/>
        <w:adjustRightInd w:val="0"/>
        <w:snapToGrid w:val="0"/>
        <w:spacing w:line="360" w:lineRule="auto"/>
        <w:ind w:firstLine="480" w:firstLineChars="200"/>
        <w:rPr>
          <w:rFonts w:ascii="Times New Roman" w:hAnsi="Times New Roman"/>
          <w:kern w:val="0"/>
          <w:sz w:val="24"/>
          <w:szCs w:val="24"/>
        </w:rPr>
      </w:pPr>
      <w:r>
        <w:rPr>
          <w:rFonts w:hint="eastAsia" w:ascii="宋体" w:hAnsi="宋体" w:cs="宋体"/>
          <w:kern w:val="0"/>
          <w:sz w:val="24"/>
          <w:szCs w:val="24"/>
        </w:rPr>
        <w:t>⑵</w:t>
      </w:r>
      <w:r>
        <w:rPr>
          <w:rFonts w:ascii="Times New Roman" w:hAnsi="Times New Roman"/>
          <w:kern w:val="0"/>
          <w:sz w:val="24"/>
          <w:szCs w:val="24"/>
        </w:rPr>
        <w:t xml:space="preserve"> 在趸船上设置2台雾炮机，在码头装卸平台及输煤皮带廊内设置一套微雾抑尘系统，要求在每个转运节点设置多个喷头；</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⑶</w:t>
      </w:r>
      <w:r>
        <w:rPr>
          <w:rFonts w:ascii="Times New Roman" w:hAnsi="Times New Roman"/>
          <w:color w:val="000000" w:themeColor="text1"/>
          <w:kern w:val="0"/>
          <w:sz w:val="24"/>
          <w:szCs w:val="24"/>
          <w14:textFill>
            <w14:solidFill>
              <w14:schemeClr w14:val="tx1"/>
            </w14:solidFill>
          </w14:textFill>
        </w:rPr>
        <w:t xml:space="preserve"> 趸船和码头陆域平台之间的运输皮带机、运输皮带均设为完全封闭的形式，以减少扬尘的产生量；</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⑷</w:t>
      </w:r>
      <w:r>
        <w:rPr>
          <w:rFonts w:ascii="Times New Roman" w:hAnsi="Times New Roman"/>
          <w:color w:val="000000" w:themeColor="text1"/>
          <w:kern w:val="0"/>
          <w:sz w:val="24"/>
          <w:szCs w:val="24"/>
          <w14:textFill>
            <w14:solidFill>
              <w14:schemeClr w14:val="tx1"/>
            </w14:solidFill>
          </w14:textFill>
        </w:rPr>
        <w:t xml:space="preserve"> 落料处设置水雾化喷淋装置并在落料处设置返尘板；</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⑸</w:t>
      </w:r>
      <w:r>
        <w:rPr>
          <w:rFonts w:ascii="Times New Roman" w:hAnsi="Times New Roman"/>
          <w:color w:val="000000" w:themeColor="text1"/>
          <w:kern w:val="0"/>
          <w:sz w:val="24"/>
          <w:szCs w:val="24"/>
          <w14:textFill>
            <w14:solidFill>
              <w14:schemeClr w14:val="tx1"/>
            </w14:solidFill>
          </w14:textFill>
        </w:rPr>
        <w:t xml:space="preserve"> 选用低燃气污染的环保型港口装卸运输机械；</w:t>
      </w:r>
    </w:p>
    <w:p>
      <w:pPr>
        <w:autoSpaceDE w:val="0"/>
        <w:autoSpaceDN w:val="0"/>
        <w:adjustRightInd w:val="0"/>
        <w:snapToGri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⑹</w:t>
      </w:r>
      <w:r>
        <w:rPr>
          <w:rFonts w:ascii="Times New Roman" w:hAnsi="Times New Roman"/>
          <w:color w:val="000000" w:themeColor="text1"/>
          <w:kern w:val="0"/>
          <w:sz w:val="24"/>
          <w:szCs w:val="24"/>
          <w14:textFill>
            <w14:solidFill>
              <w14:schemeClr w14:val="tx1"/>
            </w14:solidFill>
          </w14:textFill>
        </w:rPr>
        <w:t xml:space="preserve"> 对码头作业区路面和陆域平台每天清扫，每6日冲洗一次；</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color w:val="000000" w:themeColor="text1"/>
          <w:kern w:val="0"/>
          <w:sz w:val="24"/>
          <w:szCs w:val="24"/>
          <w14:textFill>
            <w14:solidFill>
              <w14:schemeClr w14:val="tx1"/>
            </w14:solidFill>
          </w14:textFill>
        </w:rPr>
        <w:t>做好码头绿化，在码头陆域平台场界设置绿化带，注意乔灌草合理搭配，可栽植即具抗尘性又具有景观价值的树种如广玉兰、香樟等</w:t>
      </w:r>
      <w:r>
        <w:rPr>
          <w:rFonts w:ascii="Times New Roman" w:hAnsi="Times New Roman" w:eastAsiaTheme="minorEastAsia"/>
          <w:sz w:val="24"/>
          <w:szCs w:val="24"/>
        </w:rPr>
        <w:t>。</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声环境污染防治措施</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1、施工期</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施工机械采用低噪声设备，加强设备的日常维修保养；对高噪声设备，应在其附近加设可移动的简单围障，以降低其噪音辐射。</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sz w:val="24"/>
          <w:szCs w:val="24"/>
        </w:rPr>
        <w:t xml:space="preserve"> 合理安排高噪声施工作业的时间。</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⑶</w:t>
      </w:r>
      <w:r>
        <w:rPr>
          <w:rFonts w:ascii="Times New Roman" w:hAnsi="Times New Roman" w:eastAsiaTheme="minorEastAsia"/>
          <w:sz w:val="24"/>
          <w:szCs w:val="24"/>
        </w:rPr>
        <w:t xml:space="preserve"> 认真执行《建筑施工场界环境噪声排放标准》（GB12523-2011）对施工阶段噪声的要求。</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2、营运期</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⑴</w:t>
      </w:r>
      <w:r>
        <w:rPr>
          <w:rFonts w:ascii="Times New Roman" w:hAnsi="Times New Roman" w:eastAsiaTheme="minorEastAsia"/>
          <w:color w:val="000000" w:themeColor="text1"/>
          <w:kern w:val="0"/>
          <w:sz w:val="24"/>
          <w:szCs w:val="24"/>
          <w14:textFill>
            <w14:solidFill>
              <w14:schemeClr w14:val="tx1"/>
            </w14:solidFill>
          </w14:textFill>
        </w:rPr>
        <w:t xml:space="preserve"> 选用低噪声机械设备；</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⑵</w:t>
      </w:r>
      <w:r>
        <w:rPr>
          <w:rFonts w:ascii="Times New Roman" w:hAnsi="Times New Roman" w:eastAsiaTheme="minorEastAsia"/>
          <w:color w:val="000000" w:themeColor="text1"/>
          <w:kern w:val="0"/>
          <w:sz w:val="24"/>
          <w:szCs w:val="24"/>
          <w14:textFill>
            <w14:solidFill>
              <w14:schemeClr w14:val="tx1"/>
            </w14:solidFill>
          </w14:textFill>
        </w:rPr>
        <w:t xml:space="preserve"> 设专人对机械设备进行定期保养和维护，并负责对工作人员进行培训，严格按操作规范使用各类机械；</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⑶</w:t>
      </w:r>
      <w:r>
        <w:rPr>
          <w:rFonts w:ascii="Times New Roman" w:hAnsi="Times New Roman" w:eastAsiaTheme="minorEastAsia"/>
          <w:color w:val="000000" w:themeColor="text1"/>
          <w:kern w:val="0"/>
          <w:sz w:val="24"/>
          <w:szCs w:val="24"/>
          <w14:textFill>
            <w14:solidFill>
              <w14:schemeClr w14:val="tx1"/>
            </w14:solidFill>
          </w14:textFill>
        </w:rPr>
        <w:t xml:space="preserve"> 船舶进入港区禁止鸣笛，并安排专人通过通信设施或其他设施方法引导，确保船舶航行安全；</w:t>
      </w:r>
    </w:p>
    <w:p>
      <w:pPr>
        <w:autoSpaceDE w:val="0"/>
        <w:autoSpaceDN w:val="0"/>
        <w:adjustRightInd w:val="0"/>
        <w:snapToGrid w:val="0"/>
        <w:spacing w:line="360" w:lineRule="auto"/>
        <w:ind w:firstLine="480" w:firstLineChars="200"/>
        <w:rPr>
          <w:rFonts w:ascii="Times New Roman" w:hAnsi="Times New Roman" w:eastAsiaTheme="minorEastAsia"/>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⑷</w:t>
      </w:r>
      <w:r>
        <w:rPr>
          <w:rFonts w:ascii="Times New Roman" w:hAnsi="Times New Roman" w:eastAsiaTheme="minorEastAsia"/>
          <w:color w:val="000000" w:themeColor="text1"/>
          <w:kern w:val="0"/>
          <w:sz w:val="24"/>
          <w:szCs w:val="24"/>
          <w14:textFill>
            <w14:solidFill>
              <w14:schemeClr w14:val="tx1"/>
            </w14:solidFill>
          </w14:textFill>
        </w:rPr>
        <w:t xml:space="preserve"> 流动性设备尽可能远离厂界运行，以增大其噪声衰减距离；</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color w:val="000000" w:themeColor="text1"/>
          <w:kern w:val="0"/>
          <w:sz w:val="24"/>
          <w:szCs w:val="24"/>
          <w14:textFill>
            <w14:solidFill>
              <w14:schemeClr w14:val="tx1"/>
            </w14:solidFill>
          </w14:textFill>
        </w:rPr>
        <w:t>⑸</w:t>
      </w:r>
      <w:r>
        <w:rPr>
          <w:rFonts w:ascii="Times New Roman" w:hAnsi="Times New Roman" w:eastAsiaTheme="minorEastAsia"/>
          <w:color w:val="000000" w:themeColor="text1"/>
          <w:kern w:val="0"/>
          <w:sz w:val="24"/>
          <w:szCs w:val="24"/>
          <w14:textFill>
            <w14:solidFill>
              <w14:schemeClr w14:val="tx1"/>
            </w14:solidFill>
          </w14:textFill>
        </w:rPr>
        <w:t xml:space="preserve"> 加强港区附近交通管理，避免交通阻塞而增加车辆噪声</w:t>
      </w:r>
      <w:r>
        <w:rPr>
          <w:rFonts w:ascii="Times New Roman" w:hAnsi="Times New Roman" w:eastAsiaTheme="minorEastAsia"/>
          <w:sz w:val="24"/>
          <w:szCs w:val="24"/>
        </w:rPr>
        <w:t>。</w:t>
      </w:r>
    </w:p>
    <w:p>
      <w:pPr>
        <w:pStyle w:val="4"/>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固体废物污染防治措施</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1、施工期</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生活垃圾在厂区设有垃圾桶，定期有环卫部门清运统一处理。</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sz w:val="24"/>
          <w:szCs w:val="24"/>
        </w:rPr>
        <w:t xml:space="preserve"> 建筑垃圾应及时清理，能回收利用的部分进行回收利用，不能回收的部分应运至指定地方清理。</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⑶</w:t>
      </w:r>
      <w:r>
        <w:rPr>
          <w:rFonts w:ascii="Times New Roman" w:hAnsi="Times New Roman" w:eastAsiaTheme="minorEastAsia"/>
          <w:sz w:val="24"/>
          <w:szCs w:val="24"/>
        </w:rPr>
        <w:t xml:space="preserve"> 弃土、弃渣可就近用作公路、河流的岸坡防护或作业带迹地恢复。</w:t>
      </w:r>
    </w:p>
    <w:p>
      <w:pPr>
        <w:adjustRightInd w:val="0"/>
        <w:snapToGrid w:val="0"/>
        <w:spacing w:line="360" w:lineRule="auto"/>
        <w:ind w:firstLine="482" w:firstLineChars="200"/>
        <w:rPr>
          <w:rFonts w:ascii="Times New Roman" w:hAnsi="Times New Roman" w:eastAsiaTheme="minorEastAsia"/>
          <w:b/>
          <w:sz w:val="24"/>
          <w:szCs w:val="24"/>
        </w:rPr>
      </w:pPr>
      <w:r>
        <w:rPr>
          <w:rFonts w:ascii="Times New Roman" w:hAnsi="Times New Roman" w:eastAsiaTheme="minorEastAsia"/>
          <w:b/>
          <w:sz w:val="24"/>
          <w:szCs w:val="24"/>
        </w:rPr>
        <w:t>2、营运期</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港区设置垃圾桶、垃圾集中堆放场地，码头平台设置垃圾桶，码头作业区少量生活垃圾分别收集后委托环卫部门定期清运。</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sz w:val="24"/>
          <w:szCs w:val="24"/>
        </w:rPr>
        <w:t xml:space="preserve"> 机械设备简单维修产生的废油收集后交由有资质的危废处置单位统一处理。</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⑶</w:t>
      </w:r>
      <w:r>
        <w:rPr>
          <w:rFonts w:ascii="Times New Roman" w:hAnsi="Times New Roman" w:eastAsiaTheme="minorEastAsia"/>
          <w:sz w:val="24"/>
          <w:szCs w:val="24"/>
        </w:rPr>
        <w:t xml:space="preserve"> 到港船舶不得在本码头水域内排放船舶垃圾，船舶垃圾确需上岸接收的，由岳阳海事部门指定的船舶接收统一处理。</w:t>
      </w:r>
    </w:p>
    <w:p>
      <w:pPr>
        <w:pStyle w:val="3"/>
        <w:rPr>
          <w:rFonts w:ascii="Times New Roman" w:hAnsi="Times New Roman" w:eastAsiaTheme="minorEastAsia"/>
          <w:b/>
        </w:rPr>
      </w:pPr>
      <w:bookmarkStart w:id="432" w:name="_Toc26454"/>
      <w:r>
        <w:rPr>
          <w:rFonts w:ascii="Times New Roman" w:hAnsi="Times New Roman" w:eastAsiaTheme="minorEastAsia"/>
          <w:b/>
        </w:rPr>
        <w:t>环境风险达到可控水平</w:t>
      </w:r>
      <w:bookmarkEnd w:id="432"/>
    </w:p>
    <w:p>
      <w:pPr>
        <w:adjustRightInd w:val="0"/>
        <w:snapToGrid w:val="0"/>
        <w:spacing w:line="360" w:lineRule="auto"/>
        <w:ind w:firstLine="482"/>
        <w:rPr>
          <w:rFonts w:ascii="Times New Roman" w:hAnsi="Times New Roman" w:eastAsiaTheme="minorEastAsia"/>
          <w:color w:val="000000" w:themeColor="text1"/>
          <w:kern w:val="0"/>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本项目环境风险事故主要为船舶溢油事故，此类风险事故发生的概率较低，但一旦发生将对长江的水质和水生生态环境产生影响。因此，必须采取必要的风险防范措施，加强码头和船舶进出港的管理，制定严格的码头巡护检查制度，进一步降低事故发生的概率，制定应急预案，并准备必要的防护物资，减少事故发生时的环境危害。因此，采取必要的保护措施后，本项目船舶溢油事故的环境风险处于可接受的水平。</w:t>
      </w:r>
    </w:p>
    <w:p>
      <w:pPr>
        <w:pStyle w:val="3"/>
        <w:rPr>
          <w:rFonts w:ascii="Times New Roman" w:hAnsi="Times New Roman" w:eastAsiaTheme="minorEastAsia"/>
          <w:b/>
        </w:rPr>
      </w:pPr>
      <w:bookmarkStart w:id="433" w:name="_Toc3710"/>
      <w:r>
        <w:rPr>
          <w:rFonts w:ascii="Times New Roman" w:hAnsi="Times New Roman" w:eastAsiaTheme="minorEastAsia"/>
          <w:b/>
        </w:rPr>
        <w:t>环境可行性分析</w:t>
      </w:r>
      <w:bookmarkEnd w:id="433"/>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kern w:val="0"/>
          <w:sz w:val="24"/>
          <w:szCs w:val="24"/>
        </w:rPr>
        <w:t>本项目与《长江干线航道总体规划纲要》、《长江干线航道建设规划》及《长江岸线保护和开发利用总体规划》是相协调的，其建设与《湖南省交通运输“十三五”发展规划》、《湖南省港口布局规划》及新修编的《岳阳港总体规划》及规划环评相符合，项目选址可行，工程布置合理。拟采取的污染防治措施可将工程对环境的污染影响控制在最低程度。此外，项目属于《产业结构调整指导目录（2019年本）》中鼓励类项目，符合国家有关法律、法规和政策规定。针对项目涉及</w:t>
      </w:r>
      <w:r>
        <w:rPr>
          <w:rFonts w:ascii="Times New Roman" w:hAnsi="Times New Roman" w:eastAsiaTheme="minorEastAsia"/>
          <w:color w:val="000000" w:themeColor="text1"/>
          <w:sz w:val="24"/>
          <w:szCs w:val="24"/>
          <w14:textFill>
            <w14:solidFill>
              <w14:schemeClr w14:val="tx1"/>
            </w14:solidFill>
          </w14:textFill>
        </w:rPr>
        <w:t>洞庭湖口铜鱼短颌鲚水产种质资源保护区的问题，建设单位已委托华中师范大学编制了生态影响专题论证报告，</w:t>
      </w:r>
      <w:r>
        <w:rPr>
          <w:rFonts w:hint="eastAsia" w:ascii="Times New Roman" w:hAnsi="Times New Roman" w:eastAsiaTheme="minorEastAsia"/>
          <w:color w:val="000000" w:themeColor="text1"/>
          <w:sz w:val="24"/>
          <w:szCs w:val="24"/>
          <w:lang w:eastAsia="zh-CN"/>
          <w14:textFill>
            <w14:solidFill>
              <w14:schemeClr w14:val="tx1"/>
            </w14:solidFill>
          </w14:textFill>
        </w:rPr>
        <w:t>现已通过湖南省农业农村厅组织专家审查会。因此</w:t>
      </w:r>
      <w:r>
        <w:rPr>
          <w:rFonts w:ascii="Times New Roman" w:hAnsi="Times New Roman" w:eastAsiaTheme="minorEastAsia"/>
          <w:color w:val="000000" w:themeColor="text1"/>
          <w:sz w:val="24"/>
          <w:szCs w:val="24"/>
          <w14:textFill>
            <w14:solidFill>
              <w14:schemeClr w14:val="tx1"/>
            </w14:solidFill>
          </w14:textFill>
        </w:rPr>
        <w:t>，本项目是不</w:t>
      </w:r>
      <w:r>
        <w:rPr>
          <w:rFonts w:ascii="Times New Roman" w:hAnsi="Times New Roman" w:eastAsiaTheme="minorEastAsia"/>
          <w:kern w:val="0"/>
          <w:sz w:val="24"/>
          <w:szCs w:val="24"/>
        </w:rPr>
        <w:t>存在明显环境影响制约因素的。</w:t>
      </w:r>
    </w:p>
    <w:p>
      <w:pPr>
        <w:pStyle w:val="3"/>
        <w:rPr>
          <w:rFonts w:ascii="Times New Roman" w:hAnsi="Times New Roman" w:eastAsiaTheme="minorEastAsia"/>
          <w:b/>
        </w:rPr>
      </w:pPr>
      <w:bookmarkStart w:id="434" w:name="_Toc25694"/>
      <w:r>
        <w:rPr>
          <w:rFonts w:ascii="Times New Roman" w:hAnsi="Times New Roman" w:eastAsiaTheme="minorEastAsia"/>
          <w:b/>
        </w:rPr>
        <w:t>公众参与</w:t>
      </w:r>
      <w:bookmarkEnd w:id="434"/>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根据公众参与调查结果，绝大多数人全面了解该项目的建设，本项目得到公众全部支持该项目的建设，该项目可以带动当地经济的发展，增加就业机会。被调查者希望本项目认真落实各项环境保护措施制度，尽可能减少对环境的污染。建设单位建设时应严格执行环保“三同时”制度，项目建成后加强管理，尽量减少污染物的排放对周围居民的影响。</w:t>
      </w:r>
    </w:p>
    <w:p>
      <w:pPr>
        <w:pStyle w:val="3"/>
        <w:rPr>
          <w:rFonts w:ascii="Times New Roman" w:hAnsi="Times New Roman" w:eastAsiaTheme="minorEastAsia"/>
          <w:b/>
        </w:rPr>
      </w:pPr>
      <w:bookmarkStart w:id="435" w:name="_Toc12710"/>
      <w:r>
        <w:rPr>
          <w:rFonts w:ascii="Times New Roman" w:hAnsi="Times New Roman" w:eastAsiaTheme="minorEastAsia"/>
          <w:b/>
        </w:rPr>
        <w:t>总结论</w:t>
      </w:r>
      <w:bookmarkEnd w:id="435"/>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经过分析论证，本项目的建设符合国家产业政策，与区域相关规划的要求也不冲突；工程是在现有码头的基础上进行提质改造，其输煤廊道不涉及新增占地，符合区域区域总体发展规划和土地利用规划，项目选址合理。该工程的实施具有良好的经济效益和社会效益；只要建设单位严格执行国家有关环境保护法规，严格执行国家“三同时”制度，做到环保设施与主体工程同时设计、同时施工、同时运行投产，实现各污染物长期稳定达标排放，本项目的建设于运行对区域环境的影响很小。</w:t>
      </w:r>
    </w:p>
    <w:p>
      <w:pPr>
        <w:adjustRightInd w:val="0"/>
        <w:snapToGrid w:val="0"/>
        <w:spacing w:line="360" w:lineRule="auto"/>
        <w:ind w:firstLine="480" w:firstLineChars="200"/>
        <w:rPr>
          <w:rFonts w:ascii="Times New Roman" w:hAnsi="Times New Roman" w:eastAsiaTheme="minorEastAsia"/>
          <w:sz w:val="24"/>
          <w:szCs w:val="24"/>
        </w:rPr>
      </w:pPr>
      <w:r>
        <w:rPr>
          <w:rFonts w:ascii="Times New Roman" w:hAnsi="Times New Roman" w:eastAsiaTheme="minorEastAsia"/>
          <w:sz w:val="24"/>
          <w:szCs w:val="24"/>
        </w:rPr>
        <w:t>因此，从环境保护的角度分析，本项目的实施是可行的。</w:t>
      </w:r>
    </w:p>
    <w:p>
      <w:pPr>
        <w:pStyle w:val="3"/>
        <w:rPr>
          <w:rFonts w:ascii="Times New Roman" w:hAnsi="Times New Roman" w:eastAsiaTheme="minorEastAsia"/>
          <w:b/>
        </w:rPr>
      </w:pPr>
      <w:bookmarkStart w:id="436" w:name="_Toc488130031"/>
      <w:bookmarkStart w:id="437" w:name="_Toc402437498"/>
      <w:bookmarkStart w:id="438" w:name="_Toc457679028"/>
      <w:bookmarkStart w:id="439" w:name="_Toc2627"/>
      <w:bookmarkStart w:id="440" w:name="_Toc419403936"/>
      <w:r>
        <w:rPr>
          <w:rFonts w:ascii="Times New Roman" w:hAnsi="Times New Roman" w:eastAsiaTheme="minorEastAsia"/>
          <w:b/>
        </w:rPr>
        <w:t>建议</w:t>
      </w:r>
      <w:bookmarkEnd w:id="436"/>
      <w:bookmarkEnd w:id="437"/>
      <w:bookmarkEnd w:id="438"/>
      <w:bookmarkEnd w:id="439"/>
      <w:bookmarkEnd w:id="440"/>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⑴</w:t>
      </w:r>
      <w:r>
        <w:rPr>
          <w:rFonts w:ascii="Times New Roman" w:hAnsi="Times New Roman" w:eastAsiaTheme="minorEastAsia"/>
          <w:sz w:val="24"/>
          <w:szCs w:val="24"/>
        </w:rPr>
        <w:t xml:space="preserve"> 本项目水工建筑物的施工应该在枯水期进行，做好施工期间对铜鱼、短颌鲚等保护鱼类的保护措施。</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⑵</w:t>
      </w:r>
      <w:r>
        <w:rPr>
          <w:rFonts w:ascii="Times New Roman" w:hAnsi="Times New Roman" w:eastAsiaTheme="minorEastAsia"/>
          <w:sz w:val="24"/>
          <w:szCs w:val="24"/>
        </w:rPr>
        <w:t xml:space="preserve"> 本项目运行后，建议可将处理后的码头冲洗废水（或初期雨水）回用于码头陆域平台冲洗，以节约水资源，并减少废水外排量。</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⑶</w:t>
      </w:r>
      <w:r>
        <w:rPr>
          <w:rFonts w:ascii="Times New Roman" w:hAnsi="Times New Roman" w:eastAsiaTheme="minorEastAsia"/>
          <w:sz w:val="24"/>
          <w:szCs w:val="24"/>
        </w:rPr>
        <w:t xml:space="preserve"> 工程应制定卸煤操作规程和安全操作规程，相关操作人员须进行上岗培训、应急措施处理、岗位责任制等职业培训，防治事故的发生。</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⑷</w:t>
      </w:r>
      <w:r>
        <w:rPr>
          <w:rFonts w:ascii="Times New Roman" w:hAnsi="Times New Roman" w:eastAsiaTheme="minorEastAsia"/>
          <w:sz w:val="24"/>
          <w:szCs w:val="24"/>
        </w:rPr>
        <w:t xml:space="preserve"> 加强施工期和营运期的环境管理和监理，按当地环保部门及本报告书要求，设立必要的环境管理职能部门，并完成必要的日常管理工作。</w:t>
      </w:r>
    </w:p>
    <w:p>
      <w:pPr>
        <w:adjustRightInd w:val="0"/>
        <w:snapToGrid w:val="0"/>
        <w:spacing w:line="360" w:lineRule="auto"/>
        <w:ind w:firstLine="480" w:firstLineChars="200"/>
        <w:rPr>
          <w:rFonts w:ascii="Times New Roman" w:hAnsi="Times New Roman" w:eastAsiaTheme="minorEastAsia"/>
          <w:sz w:val="24"/>
          <w:szCs w:val="24"/>
        </w:rPr>
      </w:pPr>
      <w:r>
        <w:rPr>
          <w:rFonts w:hint="eastAsia" w:ascii="宋体" w:hAnsi="宋体" w:cs="宋体"/>
          <w:sz w:val="24"/>
          <w:szCs w:val="24"/>
        </w:rPr>
        <w:t>⑸</w:t>
      </w:r>
      <w:r>
        <w:rPr>
          <w:rFonts w:ascii="Times New Roman" w:hAnsi="Times New Roman" w:eastAsiaTheme="minorEastAsia"/>
          <w:sz w:val="24"/>
          <w:szCs w:val="24"/>
        </w:rPr>
        <w:t xml:space="preserve"> 本项目在投入运行前，必须按国家有关规定建立健全安全生产管理的各项规章制度及岗位操作规程，建立健全安全管理体系，制定相应的预防控制措施和应急救援预案。企业负责人、安全管理人员、特种作业人员做到持证上岗，其他从业人员必须按国家规定进行上岗前安全培训。</w:t>
      </w:r>
    </w:p>
    <w:sectPr>
      <w:headerReference r:id="rId19" w:type="default"/>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楷体_GB2312">
    <w:altName w:val="楷体"/>
    <w:panose1 w:val="00000000000000000000"/>
    <w:charset w:val="86"/>
    <w:family w:val="auto"/>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CG Times (WN)">
    <w:altName w:val="Times New Roman"/>
    <w:panose1 w:val="00000000000000000000"/>
    <w:charset w:val="00"/>
    <w:family w:val="auto"/>
    <w:pitch w:val="default"/>
    <w:sig w:usb0="00000000" w:usb1="00000000" w:usb2="00000000" w:usb3="00000000" w:csb0="00000001" w:csb1="00000000"/>
  </w:font>
  <w:font w:name="Plotter">
    <w:altName w:val="Tahoma"/>
    <w:panose1 w:val="00000000000000000000"/>
    <w:charset w:val="00"/>
    <w:family w:val="modern"/>
    <w:pitch w:val="default"/>
    <w:sig w:usb0="00000000" w:usb1="00000000" w:usb2="00000000" w:usb3="00000000" w:csb0="00000001" w:csb1="00000000"/>
  </w:font>
  <w:font w:name="Arial Unicode MS">
    <w:panose1 w:val="020B0604020202020204"/>
    <w:charset w:val="86"/>
    <w:family w:val="swiss"/>
    <w:pitch w:val="default"/>
    <w:sig w:usb0="FFFFFFFF" w:usb1="E9FFFFFF" w:usb2="0000003F" w:usb3="00000000" w:csb0="603F01FF" w:csb1="FFFF0000"/>
  </w:font>
  <w:font w:name="新宋体">
    <w:panose1 w:val="02010609030101010101"/>
    <w:charset w:val="86"/>
    <w:family w:val="modern"/>
    <w:pitch w:val="default"/>
    <w:sig w:usb0="00000003" w:usb1="288F0000" w:usb2="00000006"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Swis721 Lt BT">
    <w:altName w:val="Malgun Gothic"/>
    <w:panose1 w:val="020B0403020202020204"/>
    <w:charset w:val="00"/>
    <w:family w:val="swiss"/>
    <w:pitch w:val="default"/>
    <w:sig w:usb0="00000000" w:usb1="00000000" w:usb2="00000000" w:usb3="00000000" w:csb0="00000000" w:csb1="00000000"/>
  </w:font>
  <w:font w:name="方正小标宋简体">
    <w:altName w:val="宋体"/>
    <w:panose1 w:val="00000000000000000000"/>
    <w:charset w:val="86"/>
    <w:family w:val="auto"/>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imesNewRomanPSMT">
    <w:altName w:val="Times New Roman"/>
    <w:panose1 w:val="00000000000000000000"/>
    <w:charset w:val="86"/>
    <w:family w:val="auto"/>
    <w:pitch w:val="default"/>
    <w:sig w:usb0="00000000" w:usb1="00000000" w:usb2="00000010" w:usb3="00000000" w:csb0="00040001" w:csb1="00000000"/>
  </w:font>
  <w:font w:name="Segoe UI Symbol">
    <w:panose1 w:val="020B0502040204020203"/>
    <w:charset w:val="00"/>
    <w:family w:val="swiss"/>
    <w:pitch w:val="default"/>
    <w:sig w:usb0="8000006F" w:usb1="1200FBEF" w:usb2="0064C000" w:usb3="00000002" w:csb0="00000001" w:csb1="40000000"/>
  </w:font>
  <w:font w:name="B8+仿宋">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lang w:val="zh-CN"/>
      </w:rPr>
      <w:id w:val="132377291"/>
    </w:sdtPr>
    <w:sdtEndPr>
      <w:rPr>
        <w:rFonts w:ascii="Times New Roman" w:hAnsi="Times New Roman" w:cs="Times New Roman"/>
        <w:lang w:val="zh-CN"/>
      </w:rPr>
    </w:sdtEndPr>
    <w:sdtContent>
      <w:p>
        <w:pPr>
          <w:pStyle w:val="42"/>
          <w:jc w:val="center"/>
          <w:rPr>
            <w:rFonts w:ascii="Times New Roman" w:hAnsi="Times New Roman" w:cs="Times New Roman"/>
          </w:rP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adjustRightInd w:val="0"/>
      <w:spacing w:before="120" w:beforeLines="5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12</w:t>
    </w:r>
    <w:r>
      <w:rPr>
        <w:rFonts w:ascii="Times New Roman" w:hAnsi="Times New Roman" w:cs="Times New Roman"/>
      </w:rPr>
      <w:fldChar w:fldCharType="end"/>
    </w:r>
  </w:p>
  <w:p>
    <w:pPr>
      <w:pStyle w:val="42"/>
      <w:jc w:val="right"/>
      <w:rPr>
        <w:rFonts w:ascii="Times New Roman" w:hAnsi="Times New Roman" w:cs="Times New Roman"/>
      </w:rPr>
    </w:pPr>
    <w:r>
      <w:rPr>
        <w:rFonts w:hint="eastAsia"/>
      </w:rPr>
      <w:t>湖南葆华环保有限公司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rPr>
        <w:rFonts w:ascii="Times New Roman" w:hAnsi="Times New Roman" w:cs="Times New Roman"/>
      </w:rPr>
      <w:t>华能岳阳电厂码头2#泊位提质改造工程</w:t>
    </w:r>
    <w:r>
      <w:rPr>
        <w:rFonts w:hint="eastAsia"/>
      </w:rPr>
      <w:t>环境影响报告书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rPr>
        <w:rFonts w:ascii="Times New Roman" w:hAnsi="Times New Roman" w:cs="Times New Roman"/>
      </w:rPr>
      <w:t>华能岳阳电厂码头2#泊位提质改造工程</w:t>
    </w:r>
    <w:r>
      <w:rPr>
        <w:rFonts w:hint="eastAsia"/>
      </w:rPr>
      <w:t>环境影响报告书</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rPr>
        <w:rFonts w:ascii="Times New Roman" w:hAnsi="Times New Roman" w:cs="Times New Roman"/>
      </w:rPr>
      <w:t>华能岳阳电厂码头2#泊位提质改造工程</w:t>
    </w:r>
    <w:r>
      <w:rPr>
        <w:rFonts w:hint="eastAsia"/>
      </w:rPr>
      <w:t>环境影响报告书</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rPr>
        <w:rFonts w:ascii="Times New Roman" w:hAnsi="Times New Roman" w:cs="Times New Roman"/>
      </w:rPr>
      <w:t>华能岳阳电厂码头2#泊位提质改造工程</w:t>
    </w:r>
    <w:r>
      <w:rPr>
        <w:rFonts w:hint="eastAsia"/>
      </w:rPr>
      <w:t>环境影响报告书</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rPr>
        <w:rFonts w:ascii="Times New Roman" w:hAnsi="Times New Roman" w:cs="Times New Roman"/>
      </w:rPr>
      <w:t>华能岳阳电厂码头2#泊位提质改造工程</w:t>
    </w:r>
    <w:r>
      <w:rPr>
        <w:rFonts w:hint="eastAsia"/>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rPr>
        <w:rFonts w:ascii="Times New Roman" w:hAnsi="Times New Roman" w:cs="Times New Roman"/>
      </w:rPr>
      <w:t>华能岳阳电厂码头2#泊位提质改造工程</w:t>
    </w:r>
    <w:r>
      <w:rPr>
        <w:rFonts w:hint="eastAsia"/>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rPr>
        <w:rFonts w:hint="eastAsia"/>
      </w:rPr>
      <w:t>中国石化集团资产经营管理有限公司长岭分公司港口部码头提质改造工程环境影响报告书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rPr>
        <w:rFonts w:ascii="Times New Roman" w:hAnsi="Times New Roman" w:cs="Times New Roman"/>
      </w:rPr>
      <w:t>华能岳阳电厂码头2#泊位提质改造工程</w:t>
    </w:r>
    <w:r>
      <w:rPr>
        <w:rFonts w:hint="eastAsia"/>
      </w:rPr>
      <w:t>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rPr>
        <w:rFonts w:ascii="Times New Roman" w:hAnsi="Times New Roman" w:cs="Times New Roman"/>
      </w:rPr>
      <w:t>华能岳阳电厂码头2#泊位提质改造工程</w:t>
    </w:r>
    <w:r>
      <w:rPr>
        <w:rFonts w:hint="eastAsia"/>
      </w:rPr>
      <w:t>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rPr>
        <w:rFonts w:ascii="Times New Roman" w:hAnsi="Times New Roman" w:cs="Times New Roman"/>
      </w:rPr>
      <w:t>华能岳阳电厂码头2#泊位提质改造工程</w:t>
    </w:r>
    <w:r>
      <w:rPr>
        <w:rFonts w:hint="eastAsia"/>
      </w:rPr>
      <w:t>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rPr>
        <w:rFonts w:ascii="Times New Roman" w:hAnsi="Times New Roman" w:cs="Times New Roman"/>
      </w:rPr>
      <w:t>华能岳阳电厂码头2#泊位提质改造工程</w:t>
    </w:r>
    <w:r>
      <w:rPr>
        <w:rFonts w:hint="eastAsia"/>
      </w:rPr>
      <w:t>环境影响报告书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rPr>
        <w:rFonts w:ascii="Times New Roman" w:hAnsi="Times New Roman" w:cs="Times New Roman"/>
      </w:rPr>
      <w:t>华能岳阳电厂码头2#泊位提质改造工程</w:t>
    </w:r>
    <w:r>
      <w:rPr>
        <w:rFonts w:hint="eastAsia"/>
      </w:rPr>
      <w:t>环境影响报告书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rPr>
        <w:rFonts w:ascii="Times New Roman" w:hAnsi="Times New Roman" w:cs="Times New Roman"/>
      </w:rPr>
      <w:t>华能岳阳电厂码头2#泊位提质改造工程</w:t>
    </w:r>
    <w:r>
      <w:rPr>
        <w:rFonts w:hint="eastAsia"/>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0">
      <w:start w:val="1"/>
      <w:numFmt w:val="bullet"/>
      <w:pStyle w:val="21"/>
      <w:lvlText w:val=""/>
      <w:lvlJc w:val="left"/>
      <w:pPr>
        <w:tabs>
          <w:tab w:val="left" w:pos="360"/>
        </w:tabs>
        <w:ind w:left="360" w:hanging="360"/>
      </w:pPr>
      <w:rPr>
        <w:rFonts w:hint="default" w:ascii="Wingdings" w:hAnsi="Wingdings"/>
      </w:rPr>
    </w:lvl>
  </w:abstractNum>
  <w:abstractNum w:abstractNumId="1">
    <w:nsid w:val="117B3C5A"/>
    <w:multiLevelType w:val="multilevel"/>
    <w:tmpl w:val="117B3C5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B27498D"/>
    <w:multiLevelType w:val="multilevel"/>
    <w:tmpl w:val="4B27498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F302902"/>
    <w:multiLevelType w:val="multilevel"/>
    <w:tmpl w:val="4F302902"/>
    <w:lvl w:ilvl="0" w:tentative="0">
      <w:start w:val="1"/>
      <w:numFmt w:val="none"/>
      <w:pStyle w:val="367"/>
      <w:lvlText w:val="表"/>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52FF3823"/>
    <w:multiLevelType w:val="multilevel"/>
    <w:tmpl w:val="52FF3823"/>
    <w:lvl w:ilvl="0" w:tentative="0">
      <w:start w:val="1"/>
      <w:numFmt w:val="decimal"/>
      <w:pStyle w:val="318"/>
      <w:lvlText w:val="%1"/>
      <w:lvlJc w:val="left"/>
      <w:pPr>
        <w:tabs>
          <w:tab w:val="left" w:pos="851"/>
        </w:tabs>
        <w:ind w:left="851"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pStyle w:val="317"/>
      <w:lvlText w:val="%3."/>
      <w:lvlJc w:val="right"/>
      <w:pPr>
        <w:tabs>
          <w:tab w:val="left" w:pos="1260"/>
        </w:tabs>
        <w:ind w:left="1260" w:hanging="420"/>
      </w:pPr>
    </w:lvl>
    <w:lvl w:ilvl="3" w:tentative="0">
      <w:start w:val="1"/>
      <w:numFmt w:val="decimal"/>
      <w:pStyle w:val="316"/>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5CE87392"/>
    <w:multiLevelType w:val="singleLevel"/>
    <w:tmpl w:val="5CE87392"/>
    <w:lvl w:ilvl="0" w:tentative="0">
      <w:start w:val="1"/>
      <w:numFmt w:val="decimal"/>
      <w:pStyle w:val="320"/>
      <w:lvlText w:val="(%1)"/>
      <w:lvlJc w:val="left"/>
      <w:pPr>
        <w:tabs>
          <w:tab w:val="left" w:pos="851"/>
        </w:tabs>
        <w:ind w:left="851" w:hanging="454"/>
      </w:pPr>
      <w:rPr>
        <w:rFonts w:hint="eastAsia"/>
        <w:sz w:val="24"/>
        <w:szCs w:val="24"/>
      </w:rPr>
    </w:lvl>
  </w:abstractNum>
  <w:abstractNum w:abstractNumId="6">
    <w:nsid w:val="794D532E"/>
    <w:multiLevelType w:val="multilevel"/>
    <w:tmpl w:val="794D532E"/>
    <w:lvl w:ilvl="0" w:tentative="0">
      <w:start w:val="1"/>
      <w:numFmt w:val="decimal"/>
      <w:pStyle w:val="2"/>
      <w:lvlText w:val="%1"/>
      <w:lvlJc w:val="left"/>
      <w:pPr>
        <w:ind w:left="432" w:hanging="432"/>
      </w:pPr>
      <w:rPr>
        <w:rFonts w:hint="eastAsia"/>
      </w:rPr>
    </w:lvl>
    <w:lvl w:ilvl="1" w:tentative="0">
      <w:start w:val="1"/>
      <w:numFmt w:val="decimal"/>
      <w:pStyle w:val="3"/>
      <w:lvlText w:val="%1.%2"/>
      <w:lvlJc w:val="left"/>
      <w:pPr>
        <w:ind w:left="576" w:hanging="576"/>
      </w:pPr>
      <w:rPr>
        <w:rFonts w:hint="eastAsia"/>
      </w:rPr>
    </w:lvl>
    <w:lvl w:ilvl="2" w:tentative="0">
      <w:start w:val="1"/>
      <w:numFmt w:val="decimal"/>
      <w:pStyle w:val="4"/>
      <w:lvlText w:val="%1.%2.%3"/>
      <w:lvlJc w:val="left"/>
      <w:pPr>
        <w:ind w:left="720" w:hanging="720"/>
      </w:pPr>
      <w:rPr>
        <w:rFonts w:ascii="Times New Roman" w:hAnsi="Times New Roman"/>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5"/>
      <w:lvlText w:val="%1.%2.%3.%4"/>
      <w:lvlJc w:val="left"/>
      <w:pPr>
        <w:ind w:left="864" w:hanging="864"/>
      </w:pPr>
      <w:rPr>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pStyle w:val="9"/>
      <w:lvlText w:val="%1.%2.%3.%4.%5"/>
      <w:lvlJc w:val="left"/>
      <w:pPr>
        <w:ind w:left="1008" w:hanging="1008"/>
      </w:pPr>
      <w:rPr>
        <w:rFonts w:hint="eastAsia"/>
      </w:rPr>
    </w:lvl>
    <w:lvl w:ilvl="5" w:tentative="0">
      <w:start w:val="1"/>
      <w:numFmt w:val="decimal"/>
      <w:pStyle w:val="10"/>
      <w:lvlText w:val="%1.%2.%3.%4.%5.%6"/>
      <w:lvlJc w:val="left"/>
      <w:pPr>
        <w:ind w:left="1152" w:hanging="1152"/>
      </w:pPr>
      <w:rPr>
        <w:rFonts w:hint="eastAsia"/>
      </w:rPr>
    </w:lvl>
    <w:lvl w:ilvl="6" w:tentative="0">
      <w:start w:val="1"/>
      <w:numFmt w:val="decimal"/>
      <w:pStyle w:val="11"/>
      <w:lvlText w:val="%1.%2.%3.%4.%5.%6.%7"/>
      <w:lvlJc w:val="left"/>
      <w:pPr>
        <w:ind w:left="2005" w:hanging="1296"/>
      </w:pPr>
      <w:rPr>
        <w:rFonts w:hint="eastAsia"/>
      </w:rPr>
    </w:lvl>
    <w:lvl w:ilvl="7" w:tentative="0">
      <w:start w:val="1"/>
      <w:numFmt w:val="decimal"/>
      <w:pStyle w:val="12"/>
      <w:lvlText w:val="%1.%2.%3.%4.%5.%6.%7.%8"/>
      <w:lvlJc w:val="left"/>
      <w:pPr>
        <w:ind w:left="1440" w:hanging="1440"/>
      </w:pPr>
      <w:rPr>
        <w:rFonts w:hint="eastAsia"/>
      </w:rPr>
    </w:lvl>
    <w:lvl w:ilvl="8" w:tentative="0">
      <w:start w:val="1"/>
      <w:numFmt w:val="decimal"/>
      <w:pStyle w:val="13"/>
      <w:lvlText w:val="%1.%2.%3.%4.%5.%6.%7.%8.%9"/>
      <w:lvlJc w:val="left"/>
      <w:pPr>
        <w:ind w:left="1584" w:hanging="1584"/>
      </w:pPr>
      <w:rPr>
        <w:rFonts w:hint="eastAsia"/>
      </w:rPr>
    </w:lvl>
  </w:abstractNum>
  <w:num w:numId="1">
    <w:abstractNumId w:val="6"/>
  </w:num>
  <w:num w:numId="2">
    <w:abstractNumId w:val="0"/>
  </w:num>
  <w:num w:numId="3">
    <w:abstractNumId w:val="4"/>
  </w:num>
  <w:num w:numId="4">
    <w:abstractNumId w:val="5"/>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val="1"/>
  <w:bordersDoNotSurroundHeader w:val="0"/>
  <w:bordersDoNotSurroundFooter w:val="0"/>
  <w:hideSpellingErrors/>
  <w:hideGrammatical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21EA"/>
    <w:rsid w:val="0000238B"/>
    <w:rsid w:val="00002818"/>
    <w:rsid w:val="0000427C"/>
    <w:rsid w:val="00005873"/>
    <w:rsid w:val="00005914"/>
    <w:rsid w:val="00007365"/>
    <w:rsid w:val="0000741E"/>
    <w:rsid w:val="00010FAB"/>
    <w:rsid w:val="000118FB"/>
    <w:rsid w:val="00011E94"/>
    <w:rsid w:val="000124E4"/>
    <w:rsid w:val="00012C63"/>
    <w:rsid w:val="000133AA"/>
    <w:rsid w:val="000134C6"/>
    <w:rsid w:val="00013D13"/>
    <w:rsid w:val="000146B7"/>
    <w:rsid w:val="00014EE2"/>
    <w:rsid w:val="0001679D"/>
    <w:rsid w:val="00017FAB"/>
    <w:rsid w:val="00022929"/>
    <w:rsid w:val="00023C07"/>
    <w:rsid w:val="0002520F"/>
    <w:rsid w:val="00025AE4"/>
    <w:rsid w:val="000269B1"/>
    <w:rsid w:val="00026BC7"/>
    <w:rsid w:val="0003066E"/>
    <w:rsid w:val="00030799"/>
    <w:rsid w:val="000311EC"/>
    <w:rsid w:val="000334CE"/>
    <w:rsid w:val="00033DD6"/>
    <w:rsid w:val="00034989"/>
    <w:rsid w:val="00034FBC"/>
    <w:rsid w:val="0003544F"/>
    <w:rsid w:val="00037E7D"/>
    <w:rsid w:val="00041173"/>
    <w:rsid w:val="00042F8A"/>
    <w:rsid w:val="0004502B"/>
    <w:rsid w:val="00045AC1"/>
    <w:rsid w:val="0004637A"/>
    <w:rsid w:val="000501F9"/>
    <w:rsid w:val="00051622"/>
    <w:rsid w:val="00053AC7"/>
    <w:rsid w:val="00055818"/>
    <w:rsid w:val="00055F61"/>
    <w:rsid w:val="00057865"/>
    <w:rsid w:val="00057BFF"/>
    <w:rsid w:val="00057F31"/>
    <w:rsid w:val="00060621"/>
    <w:rsid w:val="000608DC"/>
    <w:rsid w:val="0006192F"/>
    <w:rsid w:val="000654DD"/>
    <w:rsid w:val="000656F8"/>
    <w:rsid w:val="00065AD0"/>
    <w:rsid w:val="00067934"/>
    <w:rsid w:val="000728AF"/>
    <w:rsid w:val="00073473"/>
    <w:rsid w:val="00075285"/>
    <w:rsid w:val="00076086"/>
    <w:rsid w:val="000768E5"/>
    <w:rsid w:val="00077DE3"/>
    <w:rsid w:val="0008020F"/>
    <w:rsid w:val="00081F6D"/>
    <w:rsid w:val="00082134"/>
    <w:rsid w:val="00082474"/>
    <w:rsid w:val="0008387C"/>
    <w:rsid w:val="00084069"/>
    <w:rsid w:val="00084315"/>
    <w:rsid w:val="00085004"/>
    <w:rsid w:val="00086D05"/>
    <w:rsid w:val="0008730D"/>
    <w:rsid w:val="00090250"/>
    <w:rsid w:val="00090DB1"/>
    <w:rsid w:val="000922A3"/>
    <w:rsid w:val="00092562"/>
    <w:rsid w:val="00093879"/>
    <w:rsid w:val="00093DFE"/>
    <w:rsid w:val="000965FD"/>
    <w:rsid w:val="0009718F"/>
    <w:rsid w:val="000A20C6"/>
    <w:rsid w:val="000A2542"/>
    <w:rsid w:val="000A2592"/>
    <w:rsid w:val="000A2C0C"/>
    <w:rsid w:val="000A327E"/>
    <w:rsid w:val="000A4609"/>
    <w:rsid w:val="000A4C37"/>
    <w:rsid w:val="000A506F"/>
    <w:rsid w:val="000A5861"/>
    <w:rsid w:val="000A6913"/>
    <w:rsid w:val="000A7766"/>
    <w:rsid w:val="000B04AA"/>
    <w:rsid w:val="000B06E7"/>
    <w:rsid w:val="000B1F82"/>
    <w:rsid w:val="000B23B8"/>
    <w:rsid w:val="000B452D"/>
    <w:rsid w:val="000B4ACB"/>
    <w:rsid w:val="000B54B0"/>
    <w:rsid w:val="000B5F31"/>
    <w:rsid w:val="000B76EB"/>
    <w:rsid w:val="000B7FC4"/>
    <w:rsid w:val="000C1684"/>
    <w:rsid w:val="000C1887"/>
    <w:rsid w:val="000C1AE7"/>
    <w:rsid w:val="000C242B"/>
    <w:rsid w:val="000C47C9"/>
    <w:rsid w:val="000C5554"/>
    <w:rsid w:val="000C61EF"/>
    <w:rsid w:val="000C6BD5"/>
    <w:rsid w:val="000C77AC"/>
    <w:rsid w:val="000D079D"/>
    <w:rsid w:val="000D1D10"/>
    <w:rsid w:val="000D222C"/>
    <w:rsid w:val="000D2962"/>
    <w:rsid w:val="000D2EF7"/>
    <w:rsid w:val="000D5E5E"/>
    <w:rsid w:val="000D643F"/>
    <w:rsid w:val="000D657F"/>
    <w:rsid w:val="000D7662"/>
    <w:rsid w:val="000E191E"/>
    <w:rsid w:val="000E25FB"/>
    <w:rsid w:val="000E43E8"/>
    <w:rsid w:val="000E548C"/>
    <w:rsid w:val="000E5890"/>
    <w:rsid w:val="000E6B9D"/>
    <w:rsid w:val="000F0073"/>
    <w:rsid w:val="000F312C"/>
    <w:rsid w:val="000F314C"/>
    <w:rsid w:val="000F74E8"/>
    <w:rsid w:val="00102BF2"/>
    <w:rsid w:val="00103FA6"/>
    <w:rsid w:val="0010420A"/>
    <w:rsid w:val="0010452D"/>
    <w:rsid w:val="00104E7E"/>
    <w:rsid w:val="00105131"/>
    <w:rsid w:val="00105CDE"/>
    <w:rsid w:val="0010718C"/>
    <w:rsid w:val="001111C2"/>
    <w:rsid w:val="00111476"/>
    <w:rsid w:val="001147D4"/>
    <w:rsid w:val="00114B89"/>
    <w:rsid w:val="001160A9"/>
    <w:rsid w:val="001162B3"/>
    <w:rsid w:val="0011635A"/>
    <w:rsid w:val="001170F3"/>
    <w:rsid w:val="0012007B"/>
    <w:rsid w:val="0012138E"/>
    <w:rsid w:val="0012285E"/>
    <w:rsid w:val="00122A92"/>
    <w:rsid w:val="001239C5"/>
    <w:rsid w:val="0012665B"/>
    <w:rsid w:val="00126B72"/>
    <w:rsid w:val="00130E7C"/>
    <w:rsid w:val="00131558"/>
    <w:rsid w:val="001322CD"/>
    <w:rsid w:val="00132EF5"/>
    <w:rsid w:val="00133394"/>
    <w:rsid w:val="00134332"/>
    <w:rsid w:val="00136650"/>
    <w:rsid w:val="0013694D"/>
    <w:rsid w:val="00136F80"/>
    <w:rsid w:val="001371BB"/>
    <w:rsid w:val="001373D2"/>
    <w:rsid w:val="00137F4F"/>
    <w:rsid w:val="00140AFA"/>
    <w:rsid w:val="00141286"/>
    <w:rsid w:val="00141F40"/>
    <w:rsid w:val="00143DBF"/>
    <w:rsid w:val="00144A25"/>
    <w:rsid w:val="00145769"/>
    <w:rsid w:val="0014591C"/>
    <w:rsid w:val="001459A3"/>
    <w:rsid w:val="00146855"/>
    <w:rsid w:val="00147A2E"/>
    <w:rsid w:val="001511AC"/>
    <w:rsid w:val="00151EE4"/>
    <w:rsid w:val="001522EC"/>
    <w:rsid w:val="001539D8"/>
    <w:rsid w:val="00154D6B"/>
    <w:rsid w:val="00157C8D"/>
    <w:rsid w:val="0016049A"/>
    <w:rsid w:val="0016277F"/>
    <w:rsid w:val="00162F8B"/>
    <w:rsid w:val="001656A7"/>
    <w:rsid w:val="00165D83"/>
    <w:rsid w:val="0016756B"/>
    <w:rsid w:val="00170C8E"/>
    <w:rsid w:val="00170FAA"/>
    <w:rsid w:val="00171DA2"/>
    <w:rsid w:val="001726E4"/>
    <w:rsid w:val="00172A27"/>
    <w:rsid w:val="0017341C"/>
    <w:rsid w:val="001735D5"/>
    <w:rsid w:val="00173732"/>
    <w:rsid w:val="00173744"/>
    <w:rsid w:val="00173952"/>
    <w:rsid w:val="00174508"/>
    <w:rsid w:val="00175AE9"/>
    <w:rsid w:val="00175BE8"/>
    <w:rsid w:val="00176CD0"/>
    <w:rsid w:val="00177AEC"/>
    <w:rsid w:val="0018137B"/>
    <w:rsid w:val="0018213F"/>
    <w:rsid w:val="00183FA7"/>
    <w:rsid w:val="00183FA9"/>
    <w:rsid w:val="00184050"/>
    <w:rsid w:val="001865D0"/>
    <w:rsid w:val="00187089"/>
    <w:rsid w:val="00191744"/>
    <w:rsid w:val="00192DEE"/>
    <w:rsid w:val="00192FE3"/>
    <w:rsid w:val="00194814"/>
    <w:rsid w:val="00196470"/>
    <w:rsid w:val="0019713E"/>
    <w:rsid w:val="001A1307"/>
    <w:rsid w:val="001A4672"/>
    <w:rsid w:val="001A4B9A"/>
    <w:rsid w:val="001A5CDF"/>
    <w:rsid w:val="001A65E0"/>
    <w:rsid w:val="001B0233"/>
    <w:rsid w:val="001B2EC0"/>
    <w:rsid w:val="001B4B9C"/>
    <w:rsid w:val="001B740C"/>
    <w:rsid w:val="001B7F1D"/>
    <w:rsid w:val="001C142C"/>
    <w:rsid w:val="001C17D7"/>
    <w:rsid w:val="001C33A1"/>
    <w:rsid w:val="001C4237"/>
    <w:rsid w:val="001C4E35"/>
    <w:rsid w:val="001C5001"/>
    <w:rsid w:val="001C569B"/>
    <w:rsid w:val="001C625D"/>
    <w:rsid w:val="001C6649"/>
    <w:rsid w:val="001C788E"/>
    <w:rsid w:val="001D1545"/>
    <w:rsid w:val="001D4762"/>
    <w:rsid w:val="001D47CB"/>
    <w:rsid w:val="001D5A74"/>
    <w:rsid w:val="001D5B2B"/>
    <w:rsid w:val="001D6BC4"/>
    <w:rsid w:val="001D7C28"/>
    <w:rsid w:val="001E065D"/>
    <w:rsid w:val="001E1632"/>
    <w:rsid w:val="001E1C1C"/>
    <w:rsid w:val="001E2E40"/>
    <w:rsid w:val="001E30CF"/>
    <w:rsid w:val="001E5096"/>
    <w:rsid w:val="001E5D0A"/>
    <w:rsid w:val="001E5DFB"/>
    <w:rsid w:val="001E65A9"/>
    <w:rsid w:val="001E694E"/>
    <w:rsid w:val="001F1973"/>
    <w:rsid w:val="001F1989"/>
    <w:rsid w:val="001F202C"/>
    <w:rsid w:val="001F28BB"/>
    <w:rsid w:val="001F30C3"/>
    <w:rsid w:val="001F3E82"/>
    <w:rsid w:val="001F488E"/>
    <w:rsid w:val="001F5764"/>
    <w:rsid w:val="001F67D6"/>
    <w:rsid w:val="001F68B7"/>
    <w:rsid w:val="001F72E4"/>
    <w:rsid w:val="0020046A"/>
    <w:rsid w:val="00200F99"/>
    <w:rsid w:val="002029B5"/>
    <w:rsid w:val="00203168"/>
    <w:rsid w:val="00204AA6"/>
    <w:rsid w:val="00204E20"/>
    <w:rsid w:val="0020580A"/>
    <w:rsid w:val="00206A8F"/>
    <w:rsid w:val="00206EF5"/>
    <w:rsid w:val="00210424"/>
    <w:rsid w:val="00211F17"/>
    <w:rsid w:val="00212634"/>
    <w:rsid w:val="002130FE"/>
    <w:rsid w:val="00213F38"/>
    <w:rsid w:val="002152AC"/>
    <w:rsid w:val="00215834"/>
    <w:rsid w:val="00216437"/>
    <w:rsid w:val="00216BA3"/>
    <w:rsid w:val="00217989"/>
    <w:rsid w:val="00220EAF"/>
    <w:rsid w:val="0022181A"/>
    <w:rsid w:val="002239AD"/>
    <w:rsid w:val="002241B8"/>
    <w:rsid w:val="002244C4"/>
    <w:rsid w:val="00230198"/>
    <w:rsid w:val="00231049"/>
    <w:rsid w:val="00233188"/>
    <w:rsid w:val="00233A91"/>
    <w:rsid w:val="00234C8F"/>
    <w:rsid w:val="00235CB0"/>
    <w:rsid w:val="00236BB6"/>
    <w:rsid w:val="00236CC9"/>
    <w:rsid w:val="002378F9"/>
    <w:rsid w:val="00240586"/>
    <w:rsid w:val="00241926"/>
    <w:rsid w:val="002428B7"/>
    <w:rsid w:val="00242E5C"/>
    <w:rsid w:val="002441C4"/>
    <w:rsid w:val="00246833"/>
    <w:rsid w:val="002503DA"/>
    <w:rsid w:val="002504D0"/>
    <w:rsid w:val="002504D2"/>
    <w:rsid w:val="002513C5"/>
    <w:rsid w:val="00251E19"/>
    <w:rsid w:val="002535B8"/>
    <w:rsid w:val="00253E75"/>
    <w:rsid w:val="00254056"/>
    <w:rsid w:val="00254284"/>
    <w:rsid w:val="002553D7"/>
    <w:rsid w:val="00256750"/>
    <w:rsid w:val="00256C1D"/>
    <w:rsid w:val="002572AF"/>
    <w:rsid w:val="00260506"/>
    <w:rsid w:val="002618AA"/>
    <w:rsid w:val="00261966"/>
    <w:rsid w:val="002624BA"/>
    <w:rsid w:val="00262D9E"/>
    <w:rsid w:val="00264AA4"/>
    <w:rsid w:val="00265547"/>
    <w:rsid w:val="00267BEC"/>
    <w:rsid w:val="00270694"/>
    <w:rsid w:val="00270EF3"/>
    <w:rsid w:val="002731D3"/>
    <w:rsid w:val="002732EA"/>
    <w:rsid w:val="00273A2B"/>
    <w:rsid w:val="00275E6B"/>
    <w:rsid w:val="0027783C"/>
    <w:rsid w:val="00277A10"/>
    <w:rsid w:val="00280ED4"/>
    <w:rsid w:val="002811DB"/>
    <w:rsid w:val="002821FC"/>
    <w:rsid w:val="00282663"/>
    <w:rsid w:val="002836F2"/>
    <w:rsid w:val="00287832"/>
    <w:rsid w:val="00291056"/>
    <w:rsid w:val="00292D2B"/>
    <w:rsid w:val="00293D72"/>
    <w:rsid w:val="0029488A"/>
    <w:rsid w:val="002965CB"/>
    <w:rsid w:val="00296C0B"/>
    <w:rsid w:val="002974EB"/>
    <w:rsid w:val="002A0C1E"/>
    <w:rsid w:val="002A2B70"/>
    <w:rsid w:val="002A5815"/>
    <w:rsid w:val="002B0E1C"/>
    <w:rsid w:val="002B148D"/>
    <w:rsid w:val="002B1977"/>
    <w:rsid w:val="002B3819"/>
    <w:rsid w:val="002B4433"/>
    <w:rsid w:val="002B5196"/>
    <w:rsid w:val="002C0089"/>
    <w:rsid w:val="002C0A6B"/>
    <w:rsid w:val="002C11A7"/>
    <w:rsid w:val="002C1D2E"/>
    <w:rsid w:val="002C2096"/>
    <w:rsid w:val="002C2D59"/>
    <w:rsid w:val="002C3B16"/>
    <w:rsid w:val="002C4A6C"/>
    <w:rsid w:val="002C556A"/>
    <w:rsid w:val="002C5685"/>
    <w:rsid w:val="002C67E1"/>
    <w:rsid w:val="002C6869"/>
    <w:rsid w:val="002D081D"/>
    <w:rsid w:val="002D173D"/>
    <w:rsid w:val="002D20E8"/>
    <w:rsid w:val="002D2C29"/>
    <w:rsid w:val="002D57FD"/>
    <w:rsid w:val="002E0738"/>
    <w:rsid w:val="002E19E4"/>
    <w:rsid w:val="002E1C52"/>
    <w:rsid w:val="002E43E8"/>
    <w:rsid w:val="002E473D"/>
    <w:rsid w:val="002E521B"/>
    <w:rsid w:val="002F2E8D"/>
    <w:rsid w:val="002F38E6"/>
    <w:rsid w:val="002F4239"/>
    <w:rsid w:val="002F5B62"/>
    <w:rsid w:val="002F5F31"/>
    <w:rsid w:val="002F72FB"/>
    <w:rsid w:val="003030AA"/>
    <w:rsid w:val="0030362D"/>
    <w:rsid w:val="003041AB"/>
    <w:rsid w:val="0030494E"/>
    <w:rsid w:val="003049E8"/>
    <w:rsid w:val="0030513B"/>
    <w:rsid w:val="00305FB6"/>
    <w:rsid w:val="003072A4"/>
    <w:rsid w:val="0031016A"/>
    <w:rsid w:val="0031121E"/>
    <w:rsid w:val="00311A6C"/>
    <w:rsid w:val="00311B40"/>
    <w:rsid w:val="00311E9F"/>
    <w:rsid w:val="00314C04"/>
    <w:rsid w:val="0031537D"/>
    <w:rsid w:val="003161C8"/>
    <w:rsid w:val="0031633D"/>
    <w:rsid w:val="00316FA1"/>
    <w:rsid w:val="00317F0D"/>
    <w:rsid w:val="00320770"/>
    <w:rsid w:val="003213B6"/>
    <w:rsid w:val="00322EA9"/>
    <w:rsid w:val="003241A1"/>
    <w:rsid w:val="003241E9"/>
    <w:rsid w:val="00326448"/>
    <w:rsid w:val="00326CEE"/>
    <w:rsid w:val="00330EFD"/>
    <w:rsid w:val="00331EAF"/>
    <w:rsid w:val="00332142"/>
    <w:rsid w:val="00332D1D"/>
    <w:rsid w:val="003331CC"/>
    <w:rsid w:val="003332D3"/>
    <w:rsid w:val="003345D8"/>
    <w:rsid w:val="003349DE"/>
    <w:rsid w:val="00335B10"/>
    <w:rsid w:val="00337647"/>
    <w:rsid w:val="003403D5"/>
    <w:rsid w:val="00341FBE"/>
    <w:rsid w:val="00343592"/>
    <w:rsid w:val="003435C6"/>
    <w:rsid w:val="00343D40"/>
    <w:rsid w:val="0034483E"/>
    <w:rsid w:val="00344D49"/>
    <w:rsid w:val="003450C4"/>
    <w:rsid w:val="00346C2A"/>
    <w:rsid w:val="0034738B"/>
    <w:rsid w:val="0035008E"/>
    <w:rsid w:val="00353F09"/>
    <w:rsid w:val="0035409F"/>
    <w:rsid w:val="0035433C"/>
    <w:rsid w:val="00354F52"/>
    <w:rsid w:val="0035541C"/>
    <w:rsid w:val="00355FC1"/>
    <w:rsid w:val="003563AB"/>
    <w:rsid w:val="003578E5"/>
    <w:rsid w:val="00357DB8"/>
    <w:rsid w:val="003606B6"/>
    <w:rsid w:val="00360C31"/>
    <w:rsid w:val="0036280F"/>
    <w:rsid w:val="003629DA"/>
    <w:rsid w:val="00362BEB"/>
    <w:rsid w:val="00362C32"/>
    <w:rsid w:val="003643C9"/>
    <w:rsid w:val="0036790E"/>
    <w:rsid w:val="00370352"/>
    <w:rsid w:val="00372A75"/>
    <w:rsid w:val="003731CC"/>
    <w:rsid w:val="003751AE"/>
    <w:rsid w:val="00375607"/>
    <w:rsid w:val="00381291"/>
    <w:rsid w:val="003812FF"/>
    <w:rsid w:val="00381919"/>
    <w:rsid w:val="0038241A"/>
    <w:rsid w:val="00382F76"/>
    <w:rsid w:val="00384AF9"/>
    <w:rsid w:val="00385146"/>
    <w:rsid w:val="00385907"/>
    <w:rsid w:val="00385F6D"/>
    <w:rsid w:val="00387214"/>
    <w:rsid w:val="00390395"/>
    <w:rsid w:val="00390DF6"/>
    <w:rsid w:val="0039318B"/>
    <w:rsid w:val="003936E2"/>
    <w:rsid w:val="00393DCD"/>
    <w:rsid w:val="00393F97"/>
    <w:rsid w:val="00394C17"/>
    <w:rsid w:val="003961F3"/>
    <w:rsid w:val="00396DAE"/>
    <w:rsid w:val="003A1036"/>
    <w:rsid w:val="003A21BD"/>
    <w:rsid w:val="003A2F4F"/>
    <w:rsid w:val="003A54EE"/>
    <w:rsid w:val="003A7682"/>
    <w:rsid w:val="003B4B84"/>
    <w:rsid w:val="003B5EB2"/>
    <w:rsid w:val="003C1DFA"/>
    <w:rsid w:val="003C3CBB"/>
    <w:rsid w:val="003C4746"/>
    <w:rsid w:val="003C4FF6"/>
    <w:rsid w:val="003C57CF"/>
    <w:rsid w:val="003C62BF"/>
    <w:rsid w:val="003C66BA"/>
    <w:rsid w:val="003C6DD3"/>
    <w:rsid w:val="003D18D4"/>
    <w:rsid w:val="003D1EC9"/>
    <w:rsid w:val="003D1FBC"/>
    <w:rsid w:val="003D5249"/>
    <w:rsid w:val="003D55D9"/>
    <w:rsid w:val="003D6D72"/>
    <w:rsid w:val="003E0BC3"/>
    <w:rsid w:val="003E11BB"/>
    <w:rsid w:val="003E1726"/>
    <w:rsid w:val="003E32AA"/>
    <w:rsid w:val="003E41ED"/>
    <w:rsid w:val="003E66FB"/>
    <w:rsid w:val="003E6702"/>
    <w:rsid w:val="003E70EE"/>
    <w:rsid w:val="003F029F"/>
    <w:rsid w:val="003F0D9E"/>
    <w:rsid w:val="003F23F1"/>
    <w:rsid w:val="003F2857"/>
    <w:rsid w:val="003F5910"/>
    <w:rsid w:val="003F5EAA"/>
    <w:rsid w:val="003F7199"/>
    <w:rsid w:val="003F7DFA"/>
    <w:rsid w:val="0040302C"/>
    <w:rsid w:val="00403982"/>
    <w:rsid w:val="0040398B"/>
    <w:rsid w:val="00404251"/>
    <w:rsid w:val="00405241"/>
    <w:rsid w:val="004052CF"/>
    <w:rsid w:val="00406C38"/>
    <w:rsid w:val="004108FF"/>
    <w:rsid w:val="004116DA"/>
    <w:rsid w:val="004135F3"/>
    <w:rsid w:val="0041482C"/>
    <w:rsid w:val="004159B5"/>
    <w:rsid w:val="00416225"/>
    <w:rsid w:val="00416B3E"/>
    <w:rsid w:val="0041734D"/>
    <w:rsid w:val="00417FEF"/>
    <w:rsid w:val="004205CF"/>
    <w:rsid w:val="00420632"/>
    <w:rsid w:val="00420EA1"/>
    <w:rsid w:val="004219E1"/>
    <w:rsid w:val="00421AF0"/>
    <w:rsid w:val="004224B5"/>
    <w:rsid w:val="00422A39"/>
    <w:rsid w:val="00423ED4"/>
    <w:rsid w:val="00424676"/>
    <w:rsid w:val="00425698"/>
    <w:rsid w:val="0042761D"/>
    <w:rsid w:val="00431333"/>
    <w:rsid w:val="00431738"/>
    <w:rsid w:val="0043499D"/>
    <w:rsid w:val="0043755B"/>
    <w:rsid w:val="004414CE"/>
    <w:rsid w:val="0044254E"/>
    <w:rsid w:val="00442BB0"/>
    <w:rsid w:val="00442C77"/>
    <w:rsid w:val="00446458"/>
    <w:rsid w:val="00446C82"/>
    <w:rsid w:val="00447649"/>
    <w:rsid w:val="00450CE1"/>
    <w:rsid w:val="00450FBB"/>
    <w:rsid w:val="0045142A"/>
    <w:rsid w:val="00451AB0"/>
    <w:rsid w:val="00451EA1"/>
    <w:rsid w:val="00451EDD"/>
    <w:rsid w:val="0045250D"/>
    <w:rsid w:val="00452E6A"/>
    <w:rsid w:val="0045313A"/>
    <w:rsid w:val="00453E0F"/>
    <w:rsid w:val="004557EE"/>
    <w:rsid w:val="00455917"/>
    <w:rsid w:val="00455BEE"/>
    <w:rsid w:val="00455F73"/>
    <w:rsid w:val="0045619B"/>
    <w:rsid w:val="004561D2"/>
    <w:rsid w:val="0045729A"/>
    <w:rsid w:val="004573B2"/>
    <w:rsid w:val="0045740E"/>
    <w:rsid w:val="00460BCA"/>
    <w:rsid w:val="0046394E"/>
    <w:rsid w:val="00466178"/>
    <w:rsid w:val="0046672A"/>
    <w:rsid w:val="00467BC8"/>
    <w:rsid w:val="00471AF2"/>
    <w:rsid w:val="00471C1B"/>
    <w:rsid w:val="00472327"/>
    <w:rsid w:val="00473100"/>
    <w:rsid w:val="0047340F"/>
    <w:rsid w:val="004742AB"/>
    <w:rsid w:val="0047475E"/>
    <w:rsid w:val="004753FE"/>
    <w:rsid w:val="0047540A"/>
    <w:rsid w:val="004775EE"/>
    <w:rsid w:val="004814EA"/>
    <w:rsid w:val="00481BDF"/>
    <w:rsid w:val="00481ED2"/>
    <w:rsid w:val="00482CA9"/>
    <w:rsid w:val="0048317C"/>
    <w:rsid w:val="00483712"/>
    <w:rsid w:val="004839C4"/>
    <w:rsid w:val="00483DA8"/>
    <w:rsid w:val="004849EA"/>
    <w:rsid w:val="00486010"/>
    <w:rsid w:val="00486031"/>
    <w:rsid w:val="004871A5"/>
    <w:rsid w:val="004871C3"/>
    <w:rsid w:val="00490B98"/>
    <w:rsid w:val="004910DB"/>
    <w:rsid w:val="00493619"/>
    <w:rsid w:val="00493D2D"/>
    <w:rsid w:val="00493FDC"/>
    <w:rsid w:val="0049524C"/>
    <w:rsid w:val="00496136"/>
    <w:rsid w:val="00497902"/>
    <w:rsid w:val="004A148E"/>
    <w:rsid w:val="004A28D9"/>
    <w:rsid w:val="004A2D44"/>
    <w:rsid w:val="004A452D"/>
    <w:rsid w:val="004A4774"/>
    <w:rsid w:val="004A4D84"/>
    <w:rsid w:val="004A4F74"/>
    <w:rsid w:val="004A52CE"/>
    <w:rsid w:val="004A5ECA"/>
    <w:rsid w:val="004A7E27"/>
    <w:rsid w:val="004B0086"/>
    <w:rsid w:val="004B01E5"/>
    <w:rsid w:val="004B0ADA"/>
    <w:rsid w:val="004B2896"/>
    <w:rsid w:val="004B2ED9"/>
    <w:rsid w:val="004B45EB"/>
    <w:rsid w:val="004B58E1"/>
    <w:rsid w:val="004C047A"/>
    <w:rsid w:val="004C0618"/>
    <w:rsid w:val="004C1086"/>
    <w:rsid w:val="004C1F26"/>
    <w:rsid w:val="004C3247"/>
    <w:rsid w:val="004D0027"/>
    <w:rsid w:val="004D0DC3"/>
    <w:rsid w:val="004D0EF6"/>
    <w:rsid w:val="004D162B"/>
    <w:rsid w:val="004D1893"/>
    <w:rsid w:val="004D24A6"/>
    <w:rsid w:val="004D2BBC"/>
    <w:rsid w:val="004D37CD"/>
    <w:rsid w:val="004E0398"/>
    <w:rsid w:val="004E2A19"/>
    <w:rsid w:val="004E2BFF"/>
    <w:rsid w:val="004E3EE1"/>
    <w:rsid w:val="004E3F4B"/>
    <w:rsid w:val="004E45DA"/>
    <w:rsid w:val="004E46C3"/>
    <w:rsid w:val="004E4C6A"/>
    <w:rsid w:val="004E549C"/>
    <w:rsid w:val="004E5A0A"/>
    <w:rsid w:val="004E68F2"/>
    <w:rsid w:val="004E783F"/>
    <w:rsid w:val="004E7B60"/>
    <w:rsid w:val="004F13E6"/>
    <w:rsid w:val="004F24C2"/>
    <w:rsid w:val="004F4CDC"/>
    <w:rsid w:val="004F5771"/>
    <w:rsid w:val="004F59A8"/>
    <w:rsid w:val="004F5BF3"/>
    <w:rsid w:val="004F6A2E"/>
    <w:rsid w:val="005008E7"/>
    <w:rsid w:val="00501597"/>
    <w:rsid w:val="00501AEB"/>
    <w:rsid w:val="005030C9"/>
    <w:rsid w:val="00503B11"/>
    <w:rsid w:val="00504C64"/>
    <w:rsid w:val="00505587"/>
    <w:rsid w:val="0050792D"/>
    <w:rsid w:val="005103B4"/>
    <w:rsid w:val="005105F6"/>
    <w:rsid w:val="00511CB4"/>
    <w:rsid w:val="0051264C"/>
    <w:rsid w:val="00512CB9"/>
    <w:rsid w:val="00512F78"/>
    <w:rsid w:val="0051306F"/>
    <w:rsid w:val="00517AF6"/>
    <w:rsid w:val="005205AE"/>
    <w:rsid w:val="0052160A"/>
    <w:rsid w:val="00522F46"/>
    <w:rsid w:val="00524359"/>
    <w:rsid w:val="00531A11"/>
    <w:rsid w:val="00532AC1"/>
    <w:rsid w:val="005343C7"/>
    <w:rsid w:val="00535531"/>
    <w:rsid w:val="005365D0"/>
    <w:rsid w:val="0053759F"/>
    <w:rsid w:val="005376D9"/>
    <w:rsid w:val="00540EF6"/>
    <w:rsid w:val="0054105C"/>
    <w:rsid w:val="005426B7"/>
    <w:rsid w:val="00542A5B"/>
    <w:rsid w:val="00543BBE"/>
    <w:rsid w:val="00545019"/>
    <w:rsid w:val="005453CD"/>
    <w:rsid w:val="005467EA"/>
    <w:rsid w:val="00546C90"/>
    <w:rsid w:val="005510DF"/>
    <w:rsid w:val="0055146F"/>
    <w:rsid w:val="00553C37"/>
    <w:rsid w:val="0055725B"/>
    <w:rsid w:val="005573DE"/>
    <w:rsid w:val="00557EBF"/>
    <w:rsid w:val="00562C78"/>
    <w:rsid w:val="00564216"/>
    <w:rsid w:val="00564C65"/>
    <w:rsid w:val="00565339"/>
    <w:rsid w:val="005657F7"/>
    <w:rsid w:val="0056737C"/>
    <w:rsid w:val="00571D29"/>
    <w:rsid w:val="00571D89"/>
    <w:rsid w:val="00573230"/>
    <w:rsid w:val="00574C55"/>
    <w:rsid w:val="0057590E"/>
    <w:rsid w:val="00576748"/>
    <w:rsid w:val="00582E64"/>
    <w:rsid w:val="0058371B"/>
    <w:rsid w:val="00584572"/>
    <w:rsid w:val="00584719"/>
    <w:rsid w:val="00584CE2"/>
    <w:rsid w:val="005852BF"/>
    <w:rsid w:val="00585313"/>
    <w:rsid w:val="005866B7"/>
    <w:rsid w:val="00586740"/>
    <w:rsid w:val="00586925"/>
    <w:rsid w:val="00587EA9"/>
    <w:rsid w:val="00594004"/>
    <w:rsid w:val="00594AEC"/>
    <w:rsid w:val="00596893"/>
    <w:rsid w:val="005971F5"/>
    <w:rsid w:val="005975DC"/>
    <w:rsid w:val="005A421C"/>
    <w:rsid w:val="005A571F"/>
    <w:rsid w:val="005A71C4"/>
    <w:rsid w:val="005B12E6"/>
    <w:rsid w:val="005B2A4F"/>
    <w:rsid w:val="005B2C55"/>
    <w:rsid w:val="005B3437"/>
    <w:rsid w:val="005B40EF"/>
    <w:rsid w:val="005C0A65"/>
    <w:rsid w:val="005C0F02"/>
    <w:rsid w:val="005C2DAF"/>
    <w:rsid w:val="005C5A24"/>
    <w:rsid w:val="005C7BDB"/>
    <w:rsid w:val="005D034F"/>
    <w:rsid w:val="005D251A"/>
    <w:rsid w:val="005D2702"/>
    <w:rsid w:val="005D374B"/>
    <w:rsid w:val="005D41EC"/>
    <w:rsid w:val="005D64C1"/>
    <w:rsid w:val="005E1AE7"/>
    <w:rsid w:val="005E2732"/>
    <w:rsid w:val="005E3744"/>
    <w:rsid w:val="005E3C11"/>
    <w:rsid w:val="005E3C25"/>
    <w:rsid w:val="005E41DE"/>
    <w:rsid w:val="005F167D"/>
    <w:rsid w:val="005F1960"/>
    <w:rsid w:val="005F29CF"/>
    <w:rsid w:val="005F3013"/>
    <w:rsid w:val="005F41D4"/>
    <w:rsid w:val="005F4B38"/>
    <w:rsid w:val="005F5C35"/>
    <w:rsid w:val="005F764B"/>
    <w:rsid w:val="00600308"/>
    <w:rsid w:val="00600ECF"/>
    <w:rsid w:val="00601273"/>
    <w:rsid w:val="00601E20"/>
    <w:rsid w:val="006021E4"/>
    <w:rsid w:val="00602903"/>
    <w:rsid w:val="00604A69"/>
    <w:rsid w:val="0060636A"/>
    <w:rsid w:val="00606B92"/>
    <w:rsid w:val="006122A8"/>
    <w:rsid w:val="00613257"/>
    <w:rsid w:val="006160FB"/>
    <w:rsid w:val="006163FD"/>
    <w:rsid w:val="00617D8F"/>
    <w:rsid w:val="006203E3"/>
    <w:rsid w:val="006208E7"/>
    <w:rsid w:val="0062347A"/>
    <w:rsid w:val="00623733"/>
    <w:rsid w:val="00626BF9"/>
    <w:rsid w:val="00626D59"/>
    <w:rsid w:val="0062727B"/>
    <w:rsid w:val="00631900"/>
    <w:rsid w:val="00633AAF"/>
    <w:rsid w:val="006348D7"/>
    <w:rsid w:val="0063551B"/>
    <w:rsid w:val="006366ED"/>
    <w:rsid w:val="00636C89"/>
    <w:rsid w:val="00640467"/>
    <w:rsid w:val="0064063B"/>
    <w:rsid w:val="00641B62"/>
    <w:rsid w:val="00641D17"/>
    <w:rsid w:val="00641F19"/>
    <w:rsid w:val="00643C9F"/>
    <w:rsid w:val="00643DFE"/>
    <w:rsid w:val="00644BBB"/>
    <w:rsid w:val="006456BC"/>
    <w:rsid w:val="00646716"/>
    <w:rsid w:val="006532F2"/>
    <w:rsid w:val="00653A8F"/>
    <w:rsid w:val="0065555C"/>
    <w:rsid w:val="00657B69"/>
    <w:rsid w:val="006608F1"/>
    <w:rsid w:val="00663EBF"/>
    <w:rsid w:val="0066419A"/>
    <w:rsid w:val="00664611"/>
    <w:rsid w:val="006651DF"/>
    <w:rsid w:val="0066691B"/>
    <w:rsid w:val="00667FC0"/>
    <w:rsid w:val="006700CA"/>
    <w:rsid w:val="006701DD"/>
    <w:rsid w:val="006702E6"/>
    <w:rsid w:val="006716A4"/>
    <w:rsid w:val="00672CB5"/>
    <w:rsid w:val="00673031"/>
    <w:rsid w:val="00674039"/>
    <w:rsid w:val="00676067"/>
    <w:rsid w:val="006761BE"/>
    <w:rsid w:val="00676411"/>
    <w:rsid w:val="00676D88"/>
    <w:rsid w:val="00677B50"/>
    <w:rsid w:val="00681527"/>
    <w:rsid w:val="00682804"/>
    <w:rsid w:val="006833F2"/>
    <w:rsid w:val="00684D7A"/>
    <w:rsid w:val="00686605"/>
    <w:rsid w:val="00687055"/>
    <w:rsid w:val="00690155"/>
    <w:rsid w:val="0069017F"/>
    <w:rsid w:val="006909A4"/>
    <w:rsid w:val="00690C97"/>
    <w:rsid w:val="00692DEA"/>
    <w:rsid w:val="006A04A2"/>
    <w:rsid w:val="006A0B87"/>
    <w:rsid w:val="006A1F25"/>
    <w:rsid w:val="006A24FD"/>
    <w:rsid w:val="006A3395"/>
    <w:rsid w:val="006A3CD2"/>
    <w:rsid w:val="006A4A81"/>
    <w:rsid w:val="006A4DCB"/>
    <w:rsid w:val="006A5852"/>
    <w:rsid w:val="006A64CA"/>
    <w:rsid w:val="006A6C5F"/>
    <w:rsid w:val="006A7106"/>
    <w:rsid w:val="006A726C"/>
    <w:rsid w:val="006A78F4"/>
    <w:rsid w:val="006A7FF9"/>
    <w:rsid w:val="006B0A80"/>
    <w:rsid w:val="006B0C37"/>
    <w:rsid w:val="006B27BC"/>
    <w:rsid w:val="006B32D9"/>
    <w:rsid w:val="006B3C43"/>
    <w:rsid w:val="006B4299"/>
    <w:rsid w:val="006B4DD9"/>
    <w:rsid w:val="006B5E3D"/>
    <w:rsid w:val="006B6939"/>
    <w:rsid w:val="006B7CCD"/>
    <w:rsid w:val="006C0D0C"/>
    <w:rsid w:val="006C2628"/>
    <w:rsid w:val="006C2CA7"/>
    <w:rsid w:val="006C46A5"/>
    <w:rsid w:val="006C535C"/>
    <w:rsid w:val="006C5E2C"/>
    <w:rsid w:val="006C6025"/>
    <w:rsid w:val="006C6E2A"/>
    <w:rsid w:val="006C7E9F"/>
    <w:rsid w:val="006D007F"/>
    <w:rsid w:val="006D00A2"/>
    <w:rsid w:val="006D139A"/>
    <w:rsid w:val="006D3621"/>
    <w:rsid w:val="006D39AF"/>
    <w:rsid w:val="006D3E2E"/>
    <w:rsid w:val="006D3F87"/>
    <w:rsid w:val="006D5FFC"/>
    <w:rsid w:val="006D6151"/>
    <w:rsid w:val="006D6ECC"/>
    <w:rsid w:val="006D6F58"/>
    <w:rsid w:val="006D7782"/>
    <w:rsid w:val="006E0137"/>
    <w:rsid w:val="006E2116"/>
    <w:rsid w:val="006E4C80"/>
    <w:rsid w:val="006E67FD"/>
    <w:rsid w:val="006F246D"/>
    <w:rsid w:val="006F2AFF"/>
    <w:rsid w:val="006F36A7"/>
    <w:rsid w:val="006F4579"/>
    <w:rsid w:val="006F4815"/>
    <w:rsid w:val="006F5373"/>
    <w:rsid w:val="006F568D"/>
    <w:rsid w:val="006F6077"/>
    <w:rsid w:val="006F6548"/>
    <w:rsid w:val="007002AE"/>
    <w:rsid w:val="00702A4E"/>
    <w:rsid w:val="0070451A"/>
    <w:rsid w:val="00707FFC"/>
    <w:rsid w:val="0071507A"/>
    <w:rsid w:val="00715740"/>
    <w:rsid w:val="007169C9"/>
    <w:rsid w:val="00716B18"/>
    <w:rsid w:val="00717AFA"/>
    <w:rsid w:val="00717EDF"/>
    <w:rsid w:val="0072368D"/>
    <w:rsid w:val="00724E59"/>
    <w:rsid w:val="0072521C"/>
    <w:rsid w:val="007262A5"/>
    <w:rsid w:val="007266FA"/>
    <w:rsid w:val="00730178"/>
    <w:rsid w:val="0073098D"/>
    <w:rsid w:val="0073389B"/>
    <w:rsid w:val="00735285"/>
    <w:rsid w:val="00735A47"/>
    <w:rsid w:val="00736BD9"/>
    <w:rsid w:val="00740FB6"/>
    <w:rsid w:val="00741A4B"/>
    <w:rsid w:val="00743BFB"/>
    <w:rsid w:val="00743CDD"/>
    <w:rsid w:val="00744F9F"/>
    <w:rsid w:val="00746C7D"/>
    <w:rsid w:val="00752FD8"/>
    <w:rsid w:val="00753AC3"/>
    <w:rsid w:val="00754415"/>
    <w:rsid w:val="007561BC"/>
    <w:rsid w:val="007562C0"/>
    <w:rsid w:val="0075649D"/>
    <w:rsid w:val="00756B22"/>
    <w:rsid w:val="0076054A"/>
    <w:rsid w:val="007631D6"/>
    <w:rsid w:val="00765425"/>
    <w:rsid w:val="00766987"/>
    <w:rsid w:val="00766F71"/>
    <w:rsid w:val="007707E5"/>
    <w:rsid w:val="00770E3E"/>
    <w:rsid w:val="00771A85"/>
    <w:rsid w:val="007735D2"/>
    <w:rsid w:val="00773DB2"/>
    <w:rsid w:val="00773ED7"/>
    <w:rsid w:val="007762A0"/>
    <w:rsid w:val="00777DC9"/>
    <w:rsid w:val="007800E3"/>
    <w:rsid w:val="00781C00"/>
    <w:rsid w:val="007825BD"/>
    <w:rsid w:val="00782D2E"/>
    <w:rsid w:val="00783839"/>
    <w:rsid w:val="00783C60"/>
    <w:rsid w:val="00784E05"/>
    <w:rsid w:val="00785124"/>
    <w:rsid w:val="00786CAC"/>
    <w:rsid w:val="00790249"/>
    <w:rsid w:val="00790EE8"/>
    <w:rsid w:val="007912A9"/>
    <w:rsid w:val="00792E6D"/>
    <w:rsid w:val="00794430"/>
    <w:rsid w:val="00794930"/>
    <w:rsid w:val="00796330"/>
    <w:rsid w:val="00797C15"/>
    <w:rsid w:val="00797CED"/>
    <w:rsid w:val="007A1432"/>
    <w:rsid w:val="007A144C"/>
    <w:rsid w:val="007A15CC"/>
    <w:rsid w:val="007A2254"/>
    <w:rsid w:val="007A238B"/>
    <w:rsid w:val="007A371D"/>
    <w:rsid w:val="007A48B6"/>
    <w:rsid w:val="007A4DD9"/>
    <w:rsid w:val="007A52A7"/>
    <w:rsid w:val="007A6487"/>
    <w:rsid w:val="007B056B"/>
    <w:rsid w:val="007B12B5"/>
    <w:rsid w:val="007B23A6"/>
    <w:rsid w:val="007B4B07"/>
    <w:rsid w:val="007B51F7"/>
    <w:rsid w:val="007B556D"/>
    <w:rsid w:val="007B5787"/>
    <w:rsid w:val="007B60DB"/>
    <w:rsid w:val="007B70C7"/>
    <w:rsid w:val="007C104E"/>
    <w:rsid w:val="007C1396"/>
    <w:rsid w:val="007C390C"/>
    <w:rsid w:val="007C6F36"/>
    <w:rsid w:val="007C7385"/>
    <w:rsid w:val="007C7C8D"/>
    <w:rsid w:val="007D08E0"/>
    <w:rsid w:val="007D21F8"/>
    <w:rsid w:val="007D22FD"/>
    <w:rsid w:val="007D35A4"/>
    <w:rsid w:val="007D3F11"/>
    <w:rsid w:val="007D4FD8"/>
    <w:rsid w:val="007D511D"/>
    <w:rsid w:val="007D6BCE"/>
    <w:rsid w:val="007D735A"/>
    <w:rsid w:val="007D7EAD"/>
    <w:rsid w:val="007E185D"/>
    <w:rsid w:val="007E3839"/>
    <w:rsid w:val="007E4A24"/>
    <w:rsid w:val="007E677E"/>
    <w:rsid w:val="007E787F"/>
    <w:rsid w:val="007E7CF7"/>
    <w:rsid w:val="007F0A62"/>
    <w:rsid w:val="007F0CFB"/>
    <w:rsid w:val="007F11E6"/>
    <w:rsid w:val="007F1EE2"/>
    <w:rsid w:val="007F53A2"/>
    <w:rsid w:val="007F7EB0"/>
    <w:rsid w:val="008020EF"/>
    <w:rsid w:val="00803C3D"/>
    <w:rsid w:val="00803EA7"/>
    <w:rsid w:val="008048A1"/>
    <w:rsid w:val="0080520D"/>
    <w:rsid w:val="008054D3"/>
    <w:rsid w:val="00807588"/>
    <w:rsid w:val="008107FD"/>
    <w:rsid w:val="008123A8"/>
    <w:rsid w:val="00815748"/>
    <w:rsid w:val="008170A5"/>
    <w:rsid w:val="00817C39"/>
    <w:rsid w:val="00820D26"/>
    <w:rsid w:val="00820EDB"/>
    <w:rsid w:val="00821E44"/>
    <w:rsid w:val="0082384E"/>
    <w:rsid w:val="00824582"/>
    <w:rsid w:val="008248B8"/>
    <w:rsid w:val="00826E0D"/>
    <w:rsid w:val="0082755B"/>
    <w:rsid w:val="00830B3B"/>
    <w:rsid w:val="00830CFE"/>
    <w:rsid w:val="00834BFC"/>
    <w:rsid w:val="00837DB4"/>
    <w:rsid w:val="00842808"/>
    <w:rsid w:val="00842992"/>
    <w:rsid w:val="00842E04"/>
    <w:rsid w:val="008435D2"/>
    <w:rsid w:val="00850068"/>
    <w:rsid w:val="00850980"/>
    <w:rsid w:val="00850EA7"/>
    <w:rsid w:val="008519B1"/>
    <w:rsid w:val="00852A9D"/>
    <w:rsid w:val="008547E4"/>
    <w:rsid w:val="00854A51"/>
    <w:rsid w:val="0085512A"/>
    <w:rsid w:val="00856A77"/>
    <w:rsid w:val="00856D0C"/>
    <w:rsid w:val="008574E1"/>
    <w:rsid w:val="00860297"/>
    <w:rsid w:val="00866100"/>
    <w:rsid w:val="00866CEC"/>
    <w:rsid w:val="00866F94"/>
    <w:rsid w:val="0086736B"/>
    <w:rsid w:val="00867A2C"/>
    <w:rsid w:val="00872A20"/>
    <w:rsid w:val="00876107"/>
    <w:rsid w:val="00880675"/>
    <w:rsid w:val="008826EE"/>
    <w:rsid w:val="00883CB4"/>
    <w:rsid w:val="00883DAC"/>
    <w:rsid w:val="00884336"/>
    <w:rsid w:val="00884ED7"/>
    <w:rsid w:val="00885410"/>
    <w:rsid w:val="00886A09"/>
    <w:rsid w:val="008877E6"/>
    <w:rsid w:val="00891BC9"/>
    <w:rsid w:val="00892CD5"/>
    <w:rsid w:val="00895F85"/>
    <w:rsid w:val="00897E7F"/>
    <w:rsid w:val="008A1774"/>
    <w:rsid w:val="008A1F90"/>
    <w:rsid w:val="008A2954"/>
    <w:rsid w:val="008A31C2"/>
    <w:rsid w:val="008A389E"/>
    <w:rsid w:val="008A4054"/>
    <w:rsid w:val="008A7B0E"/>
    <w:rsid w:val="008B1078"/>
    <w:rsid w:val="008B308F"/>
    <w:rsid w:val="008B3314"/>
    <w:rsid w:val="008B37A7"/>
    <w:rsid w:val="008B569B"/>
    <w:rsid w:val="008B5FF5"/>
    <w:rsid w:val="008B7BC8"/>
    <w:rsid w:val="008C1617"/>
    <w:rsid w:val="008C2AED"/>
    <w:rsid w:val="008C3887"/>
    <w:rsid w:val="008C4BE0"/>
    <w:rsid w:val="008C502A"/>
    <w:rsid w:val="008C5B81"/>
    <w:rsid w:val="008C6752"/>
    <w:rsid w:val="008D06EC"/>
    <w:rsid w:val="008D0EE0"/>
    <w:rsid w:val="008D35B4"/>
    <w:rsid w:val="008D5D60"/>
    <w:rsid w:val="008D6049"/>
    <w:rsid w:val="008D68A2"/>
    <w:rsid w:val="008E2442"/>
    <w:rsid w:val="008E54C6"/>
    <w:rsid w:val="008E627E"/>
    <w:rsid w:val="008E7358"/>
    <w:rsid w:val="008E7637"/>
    <w:rsid w:val="008F0FDA"/>
    <w:rsid w:val="008F183E"/>
    <w:rsid w:val="008F26DF"/>
    <w:rsid w:val="008F399A"/>
    <w:rsid w:val="008F5E17"/>
    <w:rsid w:val="008F6380"/>
    <w:rsid w:val="008F7723"/>
    <w:rsid w:val="008F7FFB"/>
    <w:rsid w:val="00900A3F"/>
    <w:rsid w:val="00900B41"/>
    <w:rsid w:val="00900C0A"/>
    <w:rsid w:val="0090144B"/>
    <w:rsid w:val="00901A5A"/>
    <w:rsid w:val="009020DE"/>
    <w:rsid w:val="00904943"/>
    <w:rsid w:val="00904CF3"/>
    <w:rsid w:val="00905D56"/>
    <w:rsid w:val="00907CBB"/>
    <w:rsid w:val="00911664"/>
    <w:rsid w:val="00914581"/>
    <w:rsid w:val="0091614C"/>
    <w:rsid w:val="009169EA"/>
    <w:rsid w:val="00920517"/>
    <w:rsid w:val="00920A68"/>
    <w:rsid w:val="0092139E"/>
    <w:rsid w:val="009239E4"/>
    <w:rsid w:val="00923B8C"/>
    <w:rsid w:val="00924048"/>
    <w:rsid w:val="00924757"/>
    <w:rsid w:val="00925EA7"/>
    <w:rsid w:val="00926C09"/>
    <w:rsid w:val="0093572E"/>
    <w:rsid w:val="0093750D"/>
    <w:rsid w:val="009403DB"/>
    <w:rsid w:val="00941353"/>
    <w:rsid w:val="009414F1"/>
    <w:rsid w:val="0094165B"/>
    <w:rsid w:val="00941894"/>
    <w:rsid w:val="00944504"/>
    <w:rsid w:val="009447EA"/>
    <w:rsid w:val="0094547A"/>
    <w:rsid w:val="00947B77"/>
    <w:rsid w:val="0095047E"/>
    <w:rsid w:val="0095059F"/>
    <w:rsid w:val="00950B48"/>
    <w:rsid w:val="00951477"/>
    <w:rsid w:val="0095158D"/>
    <w:rsid w:val="009552F2"/>
    <w:rsid w:val="00956173"/>
    <w:rsid w:val="00956C2B"/>
    <w:rsid w:val="00957021"/>
    <w:rsid w:val="009613C1"/>
    <w:rsid w:val="00961944"/>
    <w:rsid w:val="00962115"/>
    <w:rsid w:val="009632B9"/>
    <w:rsid w:val="00964708"/>
    <w:rsid w:val="0096488F"/>
    <w:rsid w:val="0096501A"/>
    <w:rsid w:val="00965521"/>
    <w:rsid w:val="009710DD"/>
    <w:rsid w:val="009710E5"/>
    <w:rsid w:val="009719FA"/>
    <w:rsid w:val="00971D99"/>
    <w:rsid w:val="00972A56"/>
    <w:rsid w:val="00975622"/>
    <w:rsid w:val="00980FEB"/>
    <w:rsid w:val="0098172F"/>
    <w:rsid w:val="00982242"/>
    <w:rsid w:val="009824D2"/>
    <w:rsid w:val="00982BA1"/>
    <w:rsid w:val="00983A88"/>
    <w:rsid w:val="00984CD5"/>
    <w:rsid w:val="00984E40"/>
    <w:rsid w:val="009854A2"/>
    <w:rsid w:val="00985950"/>
    <w:rsid w:val="0098694D"/>
    <w:rsid w:val="009871A1"/>
    <w:rsid w:val="00987596"/>
    <w:rsid w:val="00991DE0"/>
    <w:rsid w:val="00992214"/>
    <w:rsid w:val="00992485"/>
    <w:rsid w:val="009927EA"/>
    <w:rsid w:val="009947AC"/>
    <w:rsid w:val="00995821"/>
    <w:rsid w:val="00997A62"/>
    <w:rsid w:val="009A1332"/>
    <w:rsid w:val="009A3D70"/>
    <w:rsid w:val="009A5399"/>
    <w:rsid w:val="009A5E44"/>
    <w:rsid w:val="009A729D"/>
    <w:rsid w:val="009A7D4B"/>
    <w:rsid w:val="009B3C65"/>
    <w:rsid w:val="009C04F1"/>
    <w:rsid w:val="009C3085"/>
    <w:rsid w:val="009C36DD"/>
    <w:rsid w:val="009C3FF7"/>
    <w:rsid w:val="009C4EEE"/>
    <w:rsid w:val="009C5D2E"/>
    <w:rsid w:val="009D057B"/>
    <w:rsid w:val="009D0971"/>
    <w:rsid w:val="009D17EE"/>
    <w:rsid w:val="009D1D00"/>
    <w:rsid w:val="009D1E69"/>
    <w:rsid w:val="009D24B2"/>
    <w:rsid w:val="009D320D"/>
    <w:rsid w:val="009D32B5"/>
    <w:rsid w:val="009D331B"/>
    <w:rsid w:val="009D4229"/>
    <w:rsid w:val="009D5675"/>
    <w:rsid w:val="009D5FE7"/>
    <w:rsid w:val="009D65B9"/>
    <w:rsid w:val="009D6A6E"/>
    <w:rsid w:val="009D6D71"/>
    <w:rsid w:val="009E0CDF"/>
    <w:rsid w:val="009E154F"/>
    <w:rsid w:val="009E27C8"/>
    <w:rsid w:val="009E2A60"/>
    <w:rsid w:val="009E3D40"/>
    <w:rsid w:val="009E5614"/>
    <w:rsid w:val="009E6A93"/>
    <w:rsid w:val="009F0AC5"/>
    <w:rsid w:val="009F0BBE"/>
    <w:rsid w:val="009F110F"/>
    <w:rsid w:val="009F1BA0"/>
    <w:rsid w:val="009F3404"/>
    <w:rsid w:val="009F432B"/>
    <w:rsid w:val="009F4A21"/>
    <w:rsid w:val="009F5350"/>
    <w:rsid w:val="009F5874"/>
    <w:rsid w:val="009F5A1D"/>
    <w:rsid w:val="009F621F"/>
    <w:rsid w:val="009F6976"/>
    <w:rsid w:val="00A005BB"/>
    <w:rsid w:val="00A02365"/>
    <w:rsid w:val="00A039BB"/>
    <w:rsid w:val="00A040CF"/>
    <w:rsid w:val="00A0483D"/>
    <w:rsid w:val="00A04CDC"/>
    <w:rsid w:val="00A05E6E"/>
    <w:rsid w:val="00A06DEC"/>
    <w:rsid w:val="00A12E0E"/>
    <w:rsid w:val="00A138E9"/>
    <w:rsid w:val="00A13F66"/>
    <w:rsid w:val="00A15A29"/>
    <w:rsid w:val="00A17032"/>
    <w:rsid w:val="00A17B4F"/>
    <w:rsid w:val="00A17E22"/>
    <w:rsid w:val="00A20A82"/>
    <w:rsid w:val="00A2135D"/>
    <w:rsid w:val="00A21FF0"/>
    <w:rsid w:val="00A22433"/>
    <w:rsid w:val="00A22CC7"/>
    <w:rsid w:val="00A2369B"/>
    <w:rsid w:val="00A23CBF"/>
    <w:rsid w:val="00A2477B"/>
    <w:rsid w:val="00A274C4"/>
    <w:rsid w:val="00A27786"/>
    <w:rsid w:val="00A27967"/>
    <w:rsid w:val="00A32D7C"/>
    <w:rsid w:val="00A32EF0"/>
    <w:rsid w:val="00A35458"/>
    <w:rsid w:val="00A36465"/>
    <w:rsid w:val="00A365F0"/>
    <w:rsid w:val="00A36A68"/>
    <w:rsid w:val="00A37C4C"/>
    <w:rsid w:val="00A41ACD"/>
    <w:rsid w:val="00A420B6"/>
    <w:rsid w:val="00A45708"/>
    <w:rsid w:val="00A459CC"/>
    <w:rsid w:val="00A46919"/>
    <w:rsid w:val="00A50AAF"/>
    <w:rsid w:val="00A50CFC"/>
    <w:rsid w:val="00A51012"/>
    <w:rsid w:val="00A510B8"/>
    <w:rsid w:val="00A52439"/>
    <w:rsid w:val="00A525FC"/>
    <w:rsid w:val="00A5262D"/>
    <w:rsid w:val="00A5677D"/>
    <w:rsid w:val="00A56860"/>
    <w:rsid w:val="00A60986"/>
    <w:rsid w:val="00A60DE8"/>
    <w:rsid w:val="00A60E8B"/>
    <w:rsid w:val="00A61EFE"/>
    <w:rsid w:val="00A63100"/>
    <w:rsid w:val="00A64366"/>
    <w:rsid w:val="00A64B08"/>
    <w:rsid w:val="00A65085"/>
    <w:rsid w:val="00A65F60"/>
    <w:rsid w:val="00A666B1"/>
    <w:rsid w:val="00A728BB"/>
    <w:rsid w:val="00A72F89"/>
    <w:rsid w:val="00A75E39"/>
    <w:rsid w:val="00A76738"/>
    <w:rsid w:val="00A814EC"/>
    <w:rsid w:val="00A81849"/>
    <w:rsid w:val="00A818B7"/>
    <w:rsid w:val="00A83B11"/>
    <w:rsid w:val="00A84B67"/>
    <w:rsid w:val="00A87D34"/>
    <w:rsid w:val="00A901AD"/>
    <w:rsid w:val="00A9091D"/>
    <w:rsid w:val="00A91640"/>
    <w:rsid w:val="00A92D01"/>
    <w:rsid w:val="00A94C8E"/>
    <w:rsid w:val="00A94CF1"/>
    <w:rsid w:val="00A9672D"/>
    <w:rsid w:val="00A97C92"/>
    <w:rsid w:val="00AA29E1"/>
    <w:rsid w:val="00AA2F21"/>
    <w:rsid w:val="00AA41BA"/>
    <w:rsid w:val="00AA41D7"/>
    <w:rsid w:val="00AA4C91"/>
    <w:rsid w:val="00AA57D6"/>
    <w:rsid w:val="00AA5845"/>
    <w:rsid w:val="00AA6428"/>
    <w:rsid w:val="00AA6463"/>
    <w:rsid w:val="00AB0538"/>
    <w:rsid w:val="00AB4987"/>
    <w:rsid w:val="00AB4F8B"/>
    <w:rsid w:val="00AB73FB"/>
    <w:rsid w:val="00AC0974"/>
    <w:rsid w:val="00AC0C2C"/>
    <w:rsid w:val="00AC258F"/>
    <w:rsid w:val="00AC2D91"/>
    <w:rsid w:val="00AD0158"/>
    <w:rsid w:val="00AD0593"/>
    <w:rsid w:val="00AD0E11"/>
    <w:rsid w:val="00AD11A4"/>
    <w:rsid w:val="00AD1556"/>
    <w:rsid w:val="00AD1562"/>
    <w:rsid w:val="00AD2495"/>
    <w:rsid w:val="00AD253C"/>
    <w:rsid w:val="00AD2E1F"/>
    <w:rsid w:val="00AD3443"/>
    <w:rsid w:val="00AD346A"/>
    <w:rsid w:val="00AD653A"/>
    <w:rsid w:val="00AD744D"/>
    <w:rsid w:val="00AE1600"/>
    <w:rsid w:val="00AE161E"/>
    <w:rsid w:val="00AE2233"/>
    <w:rsid w:val="00AE3620"/>
    <w:rsid w:val="00AE4E87"/>
    <w:rsid w:val="00AE55FC"/>
    <w:rsid w:val="00AF1204"/>
    <w:rsid w:val="00AF16BD"/>
    <w:rsid w:val="00AF1923"/>
    <w:rsid w:val="00AF371D"/>
    <w:rsid w:val="00AF3CE1"/>
    <w:rsid w:val="00AF4594"/>
    <w:rsid w:val="00AF4928"/>
    <w:rsid w:val="00AF4A60"/>
    <w:rsid w:val="00AF4B6F"/>
    <w:rsid w:val="00AF4C00"/>
    <w:rsid w:val="00AF50E7"/>
    <w:rsid w:val="00AF7244"/>
    <w:rsid w:val="00AF74DA"/>
    <w:rsid w:val="00B002BF"/>
    <w:rsid w:val="00B025DF"/>
    <w:rsid w:val="00B02748"/>
    <w:rsid w:val="00B033D4"/>
    <w:rsid w:val="00B04C3F"/>
    <w:rsid w:val="00B11261"/>
    <w:rsid w:val="00B118EC"/>
    <w:rsid w:val="00B11D50"/>
    <w:rsid w:val="00B122DC"/>
    <w:rsid w:val="00B12374"/>
    <w:rsid w:val="00B13085"/>
    <w:rsid w:val="00B14156"/>
    <w:rsid w:val="00B15F7D"/>
    <w:rsid w:val="00B17D18"/>
    <w:rsid w:val="00B223FE"/>
    <w:rsid w:val="00B226B2"/>
    <w:rsid w:val="00B22B06"/>
    <w:rsid w:val="00B22C89"/>
    <w:rsid w:val="00B2587A"/>
    <w:rsid w:val="00B26107"/>
    <w:rsid w:val="00B26E12"/>
    <w:rsid w:val="00B27D64"/>
    <w:rsid w:val="00B317FA"/>
    <w:rsid w:val="00B321CE"/>
    <w:rsid w:val="00B32996"/>
    <w:rsid w:val="00B3378F"/>
    <w:rsid w:val="00B34F30"/>
    <w:rsid w:val="00B35D1A"/>
    <w:rsid w:val="00B35DED"/>
    <w:rsid w:val="00B36BE1"/>
    <w:rsid w:val="00B37CEA"/>
    <w:rsid w:val="00B406EB"/>
    <w:rsid w:val="00B415FE"/>
    <w:rsid w:val="00B4203D"/>
    <w:rsid w:val="00B42098"/>
    <w:rsid w:val="00B42C4B"/>
    <w:rsid w:val="00B42FC4"/>
    <w:rsid w:val="00B44530"/>
    <w:rsid w:val="00B44B0B"/>
    <w:rsid w:val="00B47132"/>
    <w:rsid w:val="00B4727F"/>
    <w:rsid w:val="00B50D6F"/>
    <w:rsid w:val="00B52F6A"/>
    <w:rsid w:val="00B5425C"/>
    <w:rsid w:val="00B55E74"/>
    <w:rsid w:val="00B57BB9"/>
    <w:rsid w:val="00B57C78"/>
    <w:rsid w:val="00B613A8"/>
    <w:rsid w:val="00B6222A"/>
    <w:rsid w:val="00B6558A"/>
    <w:rsid w:val="00B65856"/>
    <w:rsid w:val="00B66C2C"/>
    <w:rsid w:val="00B66C2D"/>
    <w:rsid w:val="00B7024F"/>
    <w:rsid w:val="00B70AC9"/>
    <w:rsid w:val="00B7319D"/>
    <w:rsid w:val="00B73AB9"/>
    <w:rsid w:val="00B803CD"/>
    <w:rsid w:val="00B80943"/>
    <w:rsid w:val="00B8191C"/>
    <w:rsid w:val="00B82888"/>
    <w:rsid w:val="00B837B4"/>
    <w:rsid w:val="00B8529B"/>
    <w:rsid w:val="00B85B5E"/>
    <w:rsid w:val="00B8645D"/>
    <w:rsid w:val="00B8659E"/>
    <w:rsid w:val="00B86774"/>
    <w:rsid w:val="00B86B96"/>
    <w:rsid w:val="00B872A0"/>
    <w:rsid w:val="00B878A5"/>
    <w:rsid w:val="00B91DA0"/>
    <w:rsid w:val="00B94311"/>
    <w:rsid w:val="00B94D26"/>
    <w:rsid w:val="00B950CF"/>
    <w:rsid w:val="00B9524E"/>
    <w:rsid w:val="00B970B6"/>
    <w:rsid w:val="00B97B3A"/>
    <w:rsid w:val="00BA111A"/>
    <w:rsid w:val="00BA78FE"/>
    <w:rsid w:val="00BA7B56"/>
    <w:rsid w:val="00BB0CF2"/>
    <w:rsid w:val="00BB159C"/>
    <w:rsid w:val="00BB1D9F"/>
    <w:rsid w:val="00BB212B"/>
    <w:rsid w:val="00BB3891"/>
    <w:rsid w:val="00BB4C41"/>
    <w:rsid w:val="00BB52FC"/>
    <w:rsid w:val="00BB6451"/>
    <w:rsid w:val="00BB66EF"/>
    <w:rsid w:val="00BC15C7"/>
    <w:rsid w:val="00BC30B2"/>
    <w:rsid w:val="00BC55BC"/>
    <w:rsid w:val="00BC596F"/>
    <w:rsid w:val="00BD082F"/>
    <w:rsid w:val="00BD0A95"/>
    <w:rsid w:val="00BD30A8"/>
    <w:rsid w:val="00BD4949"/>
    <w:rsid w:val="00BD5B7F"/>
    <w:rsid w:val="00BD676C"/>
    <w:rsid w:val="00BD7038"/>
    <w:rsid w:val="00BE07BE"/>
    <w:rsid w:val="00BE30EB"/>
    <w:rsid w:val="00BE7ABB"/>
    <w:rsid w:val="00BE7B07"/>
    <w:rsid w:val="00BF04BD"/>
    <w:rsid w:val="00BF08BE"/>
    <w:rsid w:val="00BF14CE"/>
    <w:rsid w:val="00BF2627"/>
    <w:rsid w:val="00BF39A8"/>
    <w:rsid w:val="00BF3DEB"/>
    <w:rsid w:val="00BF58B7"/>
    <w:rsid w:val="00BF5A0C"/>
    <w:rsid w:val="00BF60DD"/>
    <w:rsid w:val="00BF7EC1"/>
    <w:rsid w:val="00C00708"/>
    <w:rsid w:val="00C02813"/>
    <w:rsid w:val="00C02DC9"/>
    <w:rsid w:val="00C032BC"/>
    <w:rsid w:val="00C050C8"/>
    <w:rsid w:val="00C0691D"/>
    <w:rsid w:val="00C1059F"/>
    <w:rsid w:val="00C11110"/>
    <w:rsid w:val="00C11997"/>
    <w:rsid w:val="00C13138"/>
    <w:rsid w:val="00C1451F"/>
    <w:rsid w:val="00C14E86"/>
    <w:rsid w:val="00C1601A"/>
    <w:rsid w:val="00C225EA"/>
    <w:rsid w:val="00C24904"/>
    <w:rsid w:val="00C252C7"/>
    <w:rsid w:val="00C25478"/>
    <w:rsid w:val="00C25488"/>
    <w:rsid w:val="00C27AF8"/>
    <w:rsid w:val="00C34008"/>
    <w:rsid w:val="00C34374"/>
    <w:rsid w:val="00C355E4"/>
    <w:rsid w:val="00C36A24"/>
    <w:rsid w:val="00C36A30"/>
    <w:rsid w:val="00C40852"/>
    <w:rsid w:val="00C44BCA"/>
    <w:rsid w:val="00C45079"/>
    <w:rsid w:val="00C45DC2"/>
    <w:rsid w:val="00C46023"/>
    <w:rsid w:val="00C46EFB"/>
    <w:rsid w:val="00C47B51"/>
    <w:rsid w:val="00C51B31"/>
    <w:rsid w:val="00C53306"/>
    <w:rsid w:val="00C542A7"/>
    <w:rsid w:val="00C5497C"/>
    <w:rsid w:val="00C574DC"/>
    <w:rsid w:val="00C600CB"/>
    <w:rsid w:val="00C60FC9"/>
    <w:rsid w:val="00C62FE1"/>
    <w:rsid w:val="00C632A7"/>
    <w:rsid w:val="00C63A98"/>
    <w:rsid w:val="00C66087"/>
    <w:rsid w:val="00C67F7B"/>
    <w:rsid w:val="00C70440"/>
    <w:rsid w:val="00C716A8"/>
    <w:rsid w:val="00C73136"/>
    <w:rsid w:val="00C73A37"/>
    <w:rsid w:val="00C74DC9"/>
    <w:rsid w:val="00C75503"/>
    <w:rsid w:val="00C764A8"/>
    <w:rsid w:val="00C76D05"/>
    <w:rsid w:val="00C81FFD"/>
    <w:rsid w:val="00C825DD"/>
    <w:rsid w:val="00C82970"/>
    <w:rsid w:val="00C82EF5"/>
    <w:rsid w:val="00C84074"/>
    <w:rsid w:val="00C85869"/>
    <w:rsid w:val="00C860E2"/>
    <w:rsid w:val="00C87A00"/>
    <w:rsid w:val="00C87C67"/>
    <w:rsid w:val="00C9271E"/>
    <w:rsid w:val="00C9272C"/>
    <w:rsid w:val="00C92C3A"/>
    <w:rsid w:val="00C9334A"/>
    <w:rsid w:val="00C93DF4"/>
    <w:rsid w:val="00C951D7"/>
    <w:rsid w:val="00C95555"/>
    <w:rsid w:val="00C96093"/>
    <w:rsid w:val="00C97D58"/>
    <w:rsid w:val="00CA022F"/>
    <w:rsid w:val="00CA222B"/>
    <w:rsid w:val="00CA36A2"/>
    <w:rsid w:val="00CA494F"/>
    <w:rsid w:val="00CA655A"/>
    <w:rsid w:val="00CA75D9"/>
    <w:rsid w:val="00CA780F"/>
    <w:rsid w:val="00CA7FCC"/>
    <w:rsid w:val="00CB0610"/>
    <w:rsid w:val="00CB2238"/>
    <w:rsid w:val="00CB362E"/>
    <w:rsid w:val="00CB4A54"/>
    <w:rsid w:val="00CB52F8"/>
    <w:rsid w:val="00CB606A"/>
    <w:rsid w:val="00CB63A4"/>
    <w:rsid w:val="00CC0542"/>
    <w:rsid w:val="00CC1DB6"/>
    <w:rsid w:val="00CC239D"/>
    <w:rsid w:val="00CC595E"/>
    <w:rsid w:val="00CC7C3F"/>
    <w:rsid w:val="00CD1BE0"/>
    <w:rsid w:val="00CD3716"/>
    <w:rsid w:val="00CD3C1A"/>
    <w:rsid w:val="00CD6468"/>
    <w:rsid w:val="00CE2DFD"/>
    <w:rsid w:val="00CE42C7"/>
    <w:rsid w:val="00CE430A"/>
    <w:rsid w:val="00CE4E85"/>
    <w:rsid w:val="00CE67D9"/>
    <w:rsid w:val="00CE69EA"/>
    <w:rsid w:val="00CF0390"/>
    <w:rsid w:val="00CF26F3"/>
    <w:rsid w:val="00CF3C7C"/>
    <w:rsid w:val="00CF413D"/>
    <w:rsid w:val="00D00F85"/>
    <w:rsid w:val="00D0178F"/>
    <w:rsid w:val="00D029C6"/>
    <w:rsid w:val="00D04607"/>
    <w:rsid w:val="00D04C67"/>
    <w:rsid w:val="00D068BD"/>
    <w:rsid w:val="00D10238"/>
    <w:rsid w:val="00D1043E"/>
    <w:rsid w:val="00D14531"/>
    <w:rsid w:val="00D15970"/>
    <w:rsid w:val="00D15C11"/>
    <w:rsid w:val="00D172BB"/>
    <w:rsid w:val="00D201DC"/>
    <w:rsid w:val="00D20A78"/>
    <w:rsid w:val="00D21175"/>
    <w:rsid w:val="00D21AF5"/>
    <w:rsid w:val="00D23259"/>
    <w:rsid w:val="00D23869"/>
    <w:rsid w:val="00D238DE"/>
    <w:rsid w:val="00D24B49"/>
    <w:rsid w:val="00D24F7D"/>
    <w:rsid w:val="00D2553D"/>
    <w:rsid w:val="00D25CF2"/>
    <w:rsid w:val="00D31235"/>
    <w:rsid w:val="00D3212F"/>
    <w:rsid w:val="00D34590"/>
    <w:rsid w:val="00D36FFD"/>
    <w:rsid w:val="00D370B2"/>
    <w:rsid w:val="00D37301"/>
    <w:rsid w:val="00D40B47"/>
    <w:rsid w:val="00D40E0D"/>
    <w:rsid w:val="00D420B2"/>
    <w:rsid w:val="00D422CF"/>
    <w:rsid w:val="00D449AE"/>
    <w:rsid w:val="00D45405"/>
    <w:rsid w:val="00D4735B"/>
    <w:rsid w:val="00D5243C"/>
    <w:rsid w:val="00D52AF4"/>
    <w:rsid w:val="00D5393C"/>
    <w:rsid w:val="00D55CC2"/>
    <w:rsid w:val="00D5648F"/>
    <w:rsid w:val="00D5655C"/>
    <w:rsid w:val="00D56C8A"/>
    <w:rsid w:val="00D62EB4"/>
    <w:rsid w:val="00D63274"/>
    <w:rsid w:val="00D66A93"/>
    <w:rsid w:val="00D672D3"/>
    <w:rsid w:val="00D7050A"/>
    <w:rsid w:val="00D72B33"/>
    <w:rsid w:val="00D72CFC"/>
    <w:rsid w:val="00D7353D"/>
    <w:rsid w:val="00D753D7"/>
    <w:rsid w:val="00D757C2"/>
    <w:rsid w:val="00D75F90"/>
    <w:rsid w:val="00D761B5"/>
    <w:rsid w:val="00D76360"/>
    <w:rsid w:val="00D77EA3"/>
    <w:rsid w:val="00D828F3"/>
    <w:rsid w:val="00D82B46"/>
    <w:rsid w:val="00D82D96"/>
    <w:rsid w:val="00D83728"/>
    <w:rsid w:val="00D837E0"/>
    <w:rsid w:val="00D85735"/>
    <w:rsid w:val="00D87122"/>
    <w:rsid w:val="00D8749E"/>
    <w:rsid w:val="00D87644"/>
    <w:rsid w:val="00D9191C"/>
    <w:rsid w:val="00D9350B"/>
    <w:rsid w:val="00D947F5"/>
    <w:rsid w:val="00D96DC3"/>
    <w:rsid w:val="00D97465"/>
    <w:rsid w:val="00D9774D"/>
    <w:rsid w:val="00D97E26"/>
    <w:rsid w:val="00DA17CB"/>
    <w:rsid w:val="00DA2E53"/>
    <w:rsid w:val="00DA3629"/>
    <w:rsid w:val="00DA4A1C"/>
    <w:rsid w:val="00DA59A9"/>
    <w:rsid w:val="00DA5EDA"/>
    <w:rsid w:val="00DA659B"/>
    <w:rsid w:val="00DA6620"/>
    <w:rsid w:val="00DA7D0F"/>
    <w:rsid w:val="00DB0537"/>
    <w:rsid w:val="00DB0C7C"/>
    <w:rsid w:val="00DB172F"/>
    <w:rsid w:val="00DB27F7"/>
    <w:rsid w:val="00DB2A63"/>
    <w:rsid w:val="00DB2C0A"/>
    <w:rsid w:val="00DB3084"/>
    <w:rsid w:val="00DB34BA"/>
    <w:rsid w:val="00DB3763"/>
    <w:rsid w:val="00DB4F5D"/>
    <w:rsid w:val="00DB66B5"/>
    <w:rsid w:val="00DB77DD"/>
    <w:rsid w:val="00DC0481"/>
    <w:rsid w:val="00DC05D6"/>
    <w:rsid w:val="00DC165A"/>
    <w:rsid w:val="00DC2A47"/>
    <w:rsid w:val="00DC2BDA"/>
    <w:rsid w:val="00DC5125"/>
    <w:rsid w:val="00DC572E"/>
    <w:rsid w:val="00DC5DDB"/>
    <w:rsid w:val="00DC6999"/>
    <w:rsid w:val="00DC6E3F"/>
    <w:rsid w:val="00DD0275"/>
    <w:rsid w:val="00DD09DB"/>
    <w:rsid w:val="00DD3B01"/>
    <w:rsid w:val="00DD5624"/>
    <w:rsid w:val="00DD5D14"/>
    <w:rsid w:val="00DD6693"/>
    <w:rsid w:val="00DD6B6A"/>
    <w:rsid w:val="00DD76BA"/>
    <w:rsid w:val="00DE04F9"/>
    <w:rsid w:val="00DE164D"/>
    <w:rsid w:val="00DE3892"/>
    <w:rsid w:val="00DE5242"/>
    <w:rsid w:val="00DE57A1"/>
    <w:rsid w:val="00DE68B1"/>
    <w:rsid w:val="00DF1919"/>
    <w:rsid w:val="00DF1C0E"/>
    <w:rsid w:val="00DF3720"/>
    <w:rsid w:val="00DF39A5"/>
    <w:rsid w:val="00DF4146"/>
    <w:rsid w:val="00DF4531"/>
    <w:rsid w:val="00DF47E6"/>
    <w:rsid w:val="00DF5E91"/>
    <w:rsid w:val="00DF7947"/>
    <w:rsid w:val="00E00E29"/>
    <w:rsid w:val="00E00EB6"/>
    <w:rsid w:val="00E011D0"/>
    <w:rsid w:val="00E015AC"/>
    <w:rsid w:val="00E03FB0"/>
    <w:rsid w:val="00E040B3"/>
    <w:rsid w:val="00E06382"/>
    <w:rsid w:val="00E12642"/>
    <w:rsid w:val="00E14384"/>
    <w:rsid w:val="00E1721A"/>
    <w:rsid w:val="00E174F6"/>
    <w:rsid w:val="00E2186F"/>
    <w:rsid w:val="00E218DA"/>
    <w:rsid w:val="00E22A51"/>
    <w:rsid w:val="00E23D39"/>
    <w:rsid w:val="00E23F56"/>
    <w:rsid w:val="00E240B2"/>
    <w:rsid w:val="00E25197"/>
    <w:rsid w:val="00E25EDC"/>
    <w:rsid w:val="00E27A78"/>
    <w:rsid w:val="00E27EE9"/>
    <w:rsid w:val="00E30657"/>
    <w:rsid w:val="00E32111"/>
    <w:rsid w:val="00E3222D"/>
    <w:rsid w:val="00E32D91"/>
    <w:rsid w:val="00E32E3B"/>
    <w:rsid w:val="00E34078"/>
    <w:rsid w:val="00E34F5E"/>
    <w:rsid w:val="00E354FA"/>
    <w:rsid w:val="00E35519"/>
    <w:rsid w:val="00E35C7A"/>
    <w:rsid w:val="00E361F3"/>
    <w:rsid w:val="00E366BA"/>
    <w:rsid w:val="00E36D42"/>
    <w:rsid w:val="00E419F5"/>
    <w:rsid w:val="00E43058"/>
    <w:rsid w:val="00E432FB"/>
    <w:rsid w:val="00E43810"/>
    <w:rsid w:val="00E43ABD"/>
    <w:rsid w:val="00E446E8"/>
    <w:rsid w:val="00E44E4B"/>
    <w:rsid w:val="00E456BA"/>
    <w:rsid w:val="00E46368"/>
    <w:rsid w:val="00E504C7"/>
    <w:rsid w:val="00E522AB"/>
    <w:rsid w:val="00E5312B"/>
    <w:rsid w:val="00E549C7"/>
    <w:rsid w:val="00E5543F"/>
    <w:rsid w:val="00E55865"/>
    <w:rsid w:val="00E563D2"/>
    <w:rsid w:val="00E57109"/>
    <w:rsid w:val="00E5763A"/>
    <w:rsid w:val="00E60358"/>
    <w:rsid w:val="00E6095C"/>
    <w:rsid w:val="00E636C3"/>
    <w:rsid w:val="00E647A7"/>
    <w:rsid w:val="00E66C15"/>
    <w:rsid w:val="00E70F31"/>
    <w:rsid w:val="00E71AE3"/>
    <w:rsid w:val="00E71D64"/>
    <w:rsid w:val="00E728B4"/>
    <w:rsid w:val="00E7563F"/>
    <w:rsid w:val="00E80639"/>
    <w:rsid w:val="00E817B4"/>
    <w:rsid w:val="00E82CCD"/>
    <w:rsid w:val="00E83236"/>
    <w:rsid w:val="00E86028"/>
    <w:rsid w:val="00E87044"/>
    <w:rsid w:val="00E87A33"/>
    <w:rsid w:val="00E9004E"/>
    <w:rsid w:val="00E90533"/>
    <w:rsid w:val="00E90C02"/>
    <w:rsid w:val="00E922D6"/>
    <w:rsid w:val="00E923C8"/>
    <w:rsid w:val="00E92545"/>
    <w:rsid w:val="00E925B0"/>
    <w:rsid w:val="00E926D9"/>
    <w:rsid w:val="00E92CC3"/>
    <w:rsid w:val="00E936A5"/>
    <w:rsid w:val="00E93C0C"/>
    <w:rsid w:val="00E95180"/>
    <w:rsid w:val="00E951FB"/>
    <w:rsid w:val="00E96CB3"/>
    <w:rsid w:val="00E97891"/>
    <w:rsid w:val="00EA10FD"/>
    <w:rsid w:val="00EA1BEF"/>
    <w:rsid w:val="00EA3193"/>
    <w:rsid w:val="00EA36BB"/>
    <w:rsid w:val="00EA36F0"/>
    <w:rsid w:val="00EB19CA"/>
    <w:rsid w:val="00EB1C28"/>
    <w:rsid w:val="00EB2C88"/>
    <w:rsid w:val="00EB4664"/>
    <w:rsid w:val="00EB777C"/>
    <w:rsid w:val="00EC093D"/>
    <w:rsid w:val="00EC0B83"/>
    <w:rsid w:val="00EC15E4"/>
    <w:rsid w:val="00EC1889"/>
    <w:rsid w:val="00EC2B44"/>
    <w:rsid w:val="00EC33DC"/>
    <w:rsid w:val="00EC4BB1"/>
    <w:rsid w:val="00EC627A"/>
    <w:rsid w:val="00EC6BCF"/>
    <w:rsid w:val="00ED071D"/>
    <w:rsid w:val="00ED13A3"/>
    <w:rsid w:val="00ED29DF"/>
    <w:rsid w:val="00ED4865"/>
    <w:rsid w:val="00ED4A4A"/>
    <w:rsid w:val="00ED5EFF"/>
    <w:rsid w:val="00ED6FB4"/>
    <w:rsid w:val="00ED73DD"/>
    <w:rsid w:val="00ED7FB6"/>
    <w:rsid w:val="00EE00D6"/>
    <w:rsid w:val="00EE1E23"/>
    <w:rsid w:val="00EE2D15"/>
    <w:rsid w:val="00EE40EA"/>
    <w:rsid w:val="00EE439D"/>
    <w:rsid w:val="00EE706C"/>
    <w:rsid w:val="00EE7410"/>
    <w:rsid w:val="00EE7FC1"/>
    <w:rsid w:val="00EE7FF9"/>
    <w:rsid w:val="00EF0712"/>
    <w:rsid w:val="00EF3333"/>
    <w:rsid w:val="00EF3F11"/>
    <w:rsid w:val="00EF523C"/>
    <w:rsid w:val="00EF600A"/>
    <w:rsid w:val="00F01217"/>
    <w:rsid w:val="00F04909"/>
    <w:rsid w:val="00F04922"/>
    <w:rsid w:val="00F06487"/>
    <w:rsid w:val="00F06605"/>
    <w:rsid w:val="00F1030C"/>
    <w:rsid w:val="00F12CEE"/>
    <w:rsid w:val="00F13785"/>
    <w:rsid w:val="00F139EE"/>
    <w:rsid w:val="00F17035"/>
    <w:rsid w:val="00F201AD"/>
    <w:rsid w:val="00F2043B"/>
    <w:rsid w:val="00F22A38"/>
    <w:rsid w:val="00F23C05"/>
    <w:rsid w:val="00F23CDC"/>
    <w:rsid w:val="00F26680"/>
    <w:rsid w:val="00F30284"/>
    <w:rsid w:val="00F305DE"/>
    <w:rsid w:val="00F31682"/>
    <w:rsid w:val="00F31A4C"/>
    <w:rsid w:val="00F33AA6"/>
    <w:rsid w:val="00F356EF"/>
    <w:rsid w:val="00F35A37"/>
    <w:rsid w:val="00F36400"/>
    <w:rsid w:val="00F37196"/>
    <w:rsid w:val="00F379A3"/>
    <w:rsid w:val="00F40042"/>
    <w:rsid w:val="00F40343"/>
    <w:rsid w:val="00F405A4"/>
    <w:rsid w:val="00F40CFF"/>
    <w:rsid w:val="00F42BB3"/>
    <w:rsid w:val="00F43D8B"/>
    <w:rsid w:val="00F43E46"/>
    <w:rsid w:val="00F44193"/>
    <w:rsid w:val="00F45196"/>
    <w:rsid w:val="00F45D17"/>
    <w:rsid w:val="00F46350"/>
    <w:rsid w:val="00F46559"/>
    <w:rsid w:val="00F46DA0"/>
    <w:rsid w:val="00F47D48"/>
    <w:rsid w:val="00F47DE2"/>
    <w:rsid w:val="00F52D26"/>
    <w:rsid w:val="00F53786"/>
    <w:rsid w:val="00F5590D"/>
    <w:rsid w:val="00F57548"/>
    <w:rsid w:val="00F57F77"/>
    <w:rsid w:val="00F6214E"/>
    <w:rsid w:val="00F6297A"/>
    <w:rsid w:val="00F654FB"/>
    <w:rsid w:val="00F662F9"/>
    <w:rsid w:val="00F6777F"/>
    <w:rsid w:val="00F70077"/>
    <w:rsid w:val="00F7024D"/>
    <w:rsid w:val="00F70ABE"/>
    <w:rsid w:val="00F70D93"/>
    <w:rsid w:val="00F72369"/>
    <w:rsid w:val="00F731F2"/>
    <w:rsid w:val="00F73619"/>
    <w:rsid w:val="00F7413E"/>
    <w:rsid w:val="00F75719"/>
    <w:rsid w:val="00F76DA0"/>
    <w:rsid w:val="00F773A2"/>
    <w:rsid w:val="00F8236C"/>
    <w:rsid w:val="00F83772"/>
    <w:rsid w:val="00F84B61"/>
    <w:rsid w:val="00F87A7E"/>
    <w:rsid w:val="00F87F79"/>
    <w:rsid w:val="00F9036D"/>
    <w:rsid w:val="00F90985"/>
    <w:rsid w:val="00F91BA9"/>
    <w:rsid w:val="00F9582B"/>
    <w:rsid w:val="00FA0695"/>
    <w:rsid w:val="00FA1335"/>
    <w:rsid w:val="00FA17F5"/>
    <w:rsid w:val="00FA18EE"/>
    <w:rsid w:val="00FA2A36"/>
    <w:rsid w:val="00FA2AD2"/>
    <w:rsid w:val="00FA4E01"/>
    <w:rsid w:val="00FA530C"/>
    <w:rsid w:val="00FA54BF"/>
    <w:rsid w:val="00FA5B82"/>
    <w:rsid w:val="00FA7F34"/>
    <w:rsid w:val="00FB0B46"/>
    <w:rsid w:val="00FB1944"/>
    <w:rsid w:val="00FB23EE"/>
    <w:rsid w:val="00FB2677"/>
    <w:rsid w:val="00FB29B2"/>
    <w:rsid w:val="00FB2C15"/>
    <w:rsid w:val="00FB304F"/>
    <w:rsid w:val="00FB3411"/>
    <w:rsid w:val="00FB4AED"/>
    <w:rsid w:val="00FB625B"/>
    <w:rsid w:val="00FB6275"/>
    <w:rsid w:val="00FB6AFE"/>
    <w:rsid w:val="00FC1343"/>
    <w:rsid w:val="00FC5769"/>
    <w:rsid w:val="00FC6190"/>
    <w:rsid w:val="00FC6F07"/>
    <w:rsid w:val="00FD0567"/>
    <w:rsid w:val="00FD2039"/>
    <w:rsid w:val="00FD25AC"/>
    <w:rsid w:val="00FD3753"/>
    <w:rsid w:val="00FD4990"/>
    <w:rsid w:val="00FD5317"/>
    <w:rsid w:val="00FE0144"/>
    <w:rsid w:val="00FE09A1"/>
    <w:rsid w:val="00FE102B"/>
    <w:rsid w:val="00FE1432"/>
    <w:rsid w:val="00FE2407"/>
    <w:rsid w:val="00FE2A4B"/>
    <w:rsid w:val="00FE2EAF"/>
    <w:rsid w:val="00FE39A1"/>
    <w:rsid w:val="00FE4933"/>
    <w:rsid w:val="00FE5554"/>
    <w:rsid w:val="00FE670B"/>
    <w:rsid w:val="00FF1692"/>
    <w:rsid w:val="00FF1A2F"/>
    <w:rsid w:val="00FF1ADA"/>
    <w:rsid w:val="00FF1DD8"/>
    <w:rsid w:val="00FF2D06"/>
    <w:rsid w:val="00FF3660"/>
    <w:rsid w:val="00FF36F7"/>
    <w:rsid w:val="00FF3AC6"/>
    <w:rsid w:val="00FF43FA"/>
    <w:rsid w:val="00FF5155"/>
    <w:rsid w:val="00FF63C2"/>
    <w:rsid w:val="010D56F6"/>
    <w:rsid w:val="016109F9"/>
    <w:rsid w:val="01674F12"/>
    <w:rsid w:val="022D5222"/>
    <w:rsid w:val="02AD2317"/>
    <w:rsid w:val="02C26676"/>
    <w:rsid w:val="02EF53FF"/>
    <w:rsid w:val="04670F3E"/>
    <w:rsid w:val="056445BF"/>
    <w:rsid w:val="05C513B3"/>
    <w:rsid w:val="065E02D4"/>
    <w:rsid w:val="06751294"/>
    <w:rsid w:val="06844736"/>
    <w:rsid w:val="068F66EE"/>
    <w:rsid w:val="072C4EB9"/>
    <w:rsid w:val="07F76D0F"/>
    <w:rsid w:val="08061E31"/>
    <w:rsid w:val="092B41DA"/>
    <w:rsid w:val="09417AAA"/>
    <w:rsid w:val="0A0657CE"/>
    <w:rsid w:val="0A96361D"/>
    <w:rsid w:val="0ABB2AAC"/>
    <w:rsid w:val="0ACE0CE7"/>
    <w:rsid w:val="0B813B6C"/>
    <w:rsid w:val="0BA45BD5"/>
    <w:rsid w:val="0C504CE9"/>
    <w:rsid w:val="0CF31EFD"/>
    <w:rsid w:val="0D3C296E"/>
    <w:rsid w:val="0D3E11BD"/>
    <w:rsid w:val="0D5151A2"/>
    <w:rsid w:val="0DBF6C6F"/>
    <w:rsid w:val="0DD9188C"/>
    <w:rsid w:val="0E192FC0"/>
    <w:rsid w:val="0E581025"/>
    <w:rsid w:val="0F4B6CF6"/>
    <w:rsid w:val="0F9B6A7C"/>
    <w:rsid w:val="0FB37906"/>
    <w:rsid w:val="100C32DF"/>
    <w:rsid w:val="10144369"/>
    <w:rsid w:val="11780129"/>
    <w:rsid w:val="11D752DC"/>
    <w:rsid w:val="12B85A6A"/>
    <w:rsid w:val="12F94FEA"/>
    <w:rsid w:val="138A0588"/>
    <w:rsid w:val="142928B3"/>
    <w:rsid w:val="1451472D"/>
    <w:rsid w:val="14FD187B"/>
    <w:rsid w:val="152264A0"/>
    <w:rsid w:val="15470661"/>
    <w:rsid w:val="15580BD1"/>
    <w:rsid w:val="15F97456"/>
    <w:rsid w:val="15FE19F1"/>
    <w:rsid w:val="16274A1C"/>
    <w:rsid w:val="166D63C4"/>
    <w:rsid w:val="16EF0D7B"/>
    <w:rsid w:val="177C2B39"/>
    <w:rsid w:val="185571E6"/>
    <w:rsid w:val="18A412A6"/>
    <w:rsid w:val="18B11BAE"/>
    <w:rsid w:val="18B218DC"/>
    <w:rsid w:val="194E53D0"/>
    <w:rsid w:val="1A297349"/>
    <w:rsid w:val="1A441638"/>
    <w:rsid w:val="1A7D59E4"/>
    <w:rsid w:val="1ABD21F7"/>
    <w:rsid w:val="1B867718"/>
    <w:rsid w:val="1BD2436F"/>
    <w:rsid w:val="1BF13E80"/>
    <w:rsid w:val="1C26480E"/>
    <w:rsid w:val="1C660FE6"/>
    <w:rsid w:val="1CDB35F9"/>
    <w:rsid w:val="1D0A0C45"/>
    <w:rsid w:val="1D110E1F"/>
    <w:rsid w:val="1D2742B4"/>
    <w:rsid w:val="1DEA460B"/>
    <w:rsid w:val="1E451FF1"/>
    <w:rsid w:val="1EE61B62"/>
    <w:rsid w:val="1F5549D2"/>
    <w:rsid w:val="1F5835EA"/>
    <w:rsid w:val="1F627C8E"/>
    <w:rsid w:val="1F692668"/>
    <w:rsid w:val="1F8033A4"/>
    <w:rsid w:val="2003101C"/>
    <w:rsid w:val="21A1484E"/>
    <w:rsid w:val="21AF21C4"/>
    <w:rsid w:val="21DE4F22"/>
    <w:rsid w:val="21E90FA6"/>
    <w:rsid w:val="23314876"/>
    <w:rsid w:val="239561C2"/>
    <w:rsid w:val="24831999"/>
    <w:rsid w:val="256E1B9A"/>
    <w:rsid w:val="25A96290"/>
    <w:rsid w:val="25AA4ACE"/>
    <w:rsid w:val="25DA196D"/>
    <w:rsid w:val="2640262B"/>
    <w:rsid w:val="26F01E6B"/>
    <w:rsid w:val="27105D19"/>
    <w:rsid w:val="27AC39BE"/>
    <w:rsid w:val="281449FD"/>
    <w:rsid w:val="282A4288"/>
    <w:rsid w:val="285A62E8"/>
    <w:rsid w:val="29A43147"/>
    <w:rsid w:val="2A297DB1"/>
    <w:rsid w:val="2A993132"/>
    <w:rsid w:val="2B3577F1"/>
    <w:rsid w:val="2B58020F"/>
    <w:rsid w:val="2BEA0143"/>
    <w:rsid w:val="2BF77149"/>
    <w:rsid w:val="2C102BD3"/>
    <w:rsid w:val="2C201900"/>
    <w:rsid w:val="2C397157"/>
    <w:rsid w:val="2C56385E"/>
    <w:rsid w:val="2C8479E7"/>
    <w:rsid w:val="2CB502E5"/>
    <w:rsid w:val="2CF3687A"/>
    <w:rsid w:val="2D2B23E0"/>
    <w:rsid w:val="2D2F58F3"/>
    <w:rsid w:val="2D784FE7"/>
    <w:rsid w:val="2DC542C1"/>
    <w:rsid w:val="2DF03F53"/>
    <w:rsid w:val="2E684801"/>
    <w:rsid w:val="2EA52367"/>
    <w:rsid w:val="2EAC3436"/>
    <w:rsid w:val="2F12370E"/>
    <w:rsid w:val="2F7E1B39"/>
    <w:rsid w:val="2FA2190A"/>
    <w:rsid w:val="2FF70596"/>
    <w:rsid w:val="2FFF0CE3"/>
    <w:rsid w:val="30AB4443"/>
    <w:rsid w:val="30B310C4"/>
    <w:rsid w:val="31085C5D"/>
    <w:rsid w:val="315F7A52"/>
    <w:rsid w:val="31D26B3C"/>
    <w:rsid w:val="329B602E"/>
    <w:rsid w:val="32B5511A"/>
    <w:rsid w:val="32C11286"/>
    <w:rsid w:val="3310087E"/>
    <w:rsid w:val="33780B8B"/>
    <w:rsid w:val="33B647EC"/>
    <w:rsid w:val="34357298"/>
    <w:rsid w:val="344F3FD1"/>
    <w:rsid w:val="34F7370A"/>
    <w:rsid w:val="35343BB6"/>
    <w:rsid w:val="358B320D"/>
    <w:rsid w:val="35DD0E14"/>
    <w:rsid w:val="35F619D9"/>
    <w:rsid w:val="363139B1"/>
    <w:rsid w:val="371511D1"/>
    <w:rsid w:val="379154B7"/>
    <w:rsid w:val="37916109"/>
    <w:rsid w:val="37A51DD4"/>
    <w:rsid w:val="37EA06CE"/>
    <w:rsid w:val="384A488E"/>
    <w:rsid w:val="38DC2FFA"/>
    <w:rsid w:val="39A60313"/>
    <w:rsid w:val="3A4203D5"/>
    <w:rsid w:val="3A497825"/>
    <w:rsid w:val="3A6825C4"/>
    <w:rsid w:val="3AA91409"/>
    <w:rsid w:val="3AFE3F5D"/>
    <w:rsid w:val="3B767359"/>
    <w:rsid w:val="3CFC7B37"/>
    <w:rsid w:val="3D3F2C80"/>
    <w:rsid w:val="3FBA59B4"/>
    <w:rsid w:val="3FE93AD3"/>
    <w:rsid w:val="402708E0"/>
    <w:rsid w:val="403F3A2B"/>
    <w:rsid w:val="404729CE"/>
    <w:rsid w:val="406148FC"/>
    <w:rsid w:val="40912B20"/>
    <w:rsid w:val="418D2F4E"/>
    <w:rsid w:val="41997F9B"/>
    <w:rsid w:val="41BB6CFE"/>
    <w:rsid w:val="41D06A70"/>
    <w:rsid w:val="41EE707F"/>
    <w:rsid w:val="42A86197"/>
    <w:rsid w:val="42B4704E"/>
    <w:rsid w:val="42E967CD"/>
    <w:rsid w:val="43644072"/>
    <w:rsid w:val="43DD0440"/>
    <w:rsid w:val="456E2424"/>
    <w:rsid w:val="45743597"/>
    <w:rsid w:val="45983FEF"/>
    <w:rsid w:val="459A5B2F"/>
    <w:rsid w:val="47115E78"/>
    <w:rsid w:val="473446B8"/>
    <w:rsid w:val="474E4474"/>
    <w:rsid w:val="47AD7126"/>
    <w:rsid w:val="47AE4EA9"/>
    <w:rsid w:val="484159A3"/>
    <w:rsid w:val="488D2220"/>
    <w:rsid w:val="49141183"/>
    <w:rsid w:val="4924768C"/>
    <w:rsid w:val="49737345"/>
    <w:rsid w:val="49A7374A"/>
    <w:rsid w:val="49F3182A"/>
    <w:rsid w:val="4A3C0BDB"/>
    <w:rsid w:val="4A964CD5"/>
    <w:rsid w:val="4AAB2150"/>
    <w:rsid w:val="4B0B25E4"/>
    <w:rsid w:val="4B0E095E"/>
    <w:rsid w:val="4C012C52"/>
    <w:rsid w:val="4C5E7A00"/>
    <w:rsid w:val="4C7D6862"/>
    <w:rsid w:val="4C882AB7"/>
    <w:rsid w:val="4CAA289B"/>
    <w:rsid w:val="4CD40A76"/>
    <w:rsid w:val="4D233424"/>
    <w:rsid w:val="4D2F451A"/>
    <w:rsid w:val="4D38495C"/>
    <w:rsid w:val="4D9A7C68"/>
    <w:rsid w:val="4E1A224C"/>
    <w:rsid w:val="4EB737CC"/>
    <w:rsid w:val="4EC54366"/>
    <w:rsid w:val="4F643BFF"/>
    <w:rsid w:val="4F715BB4"/>
    <w:rsid w:val="4FB775CF"/>
    <w:rsid w:val="4FEC0D32"/>
    <w:rsid w:val="50292D76"/>
    <w:rsid w:val="50A53401"/>
    <w:rsid w:val="50AE2508"/>
    <w:rsid w:val="50BF03A1"/>
    <w:rsid w:val="51407BEE"/>
    <w:rsid w:val="514F1D64"/>
    <w:rsid w:val="51565696"/>
    <w:rsid w:val="51A972AE"/>
    <w:rsid w:val="52B60C4B"/>
    <w:rsid w:val="52BF6E9E"/>
    <w:rsid w:val="536A3CCC"/>
    <w:rsid w:val="54007FA4"/>
    <w:rsid w:val="54021074"/>
    <w:rsid w:val="5459343F"/>
    <w:rsid w:val="54F60102"/>
    <w:rsid w:val="555938F5"/>
    <w:rsid w:val="55B74AE4"/>
    <w:rsid w:val="55CA3608"/>
    <w:rsid w:val="55CC631C"/>
    <w:rsid w:val="55EB6583"/>
    <w:rsid w:val="566C3905"/>
    <w:rsid w:val="57545E6F"/>
    <w:rsid w:val="57AD1029"/>
    <w:rsid w:val="583F7AB7"/>
    <w:rsid w:val="584123BD"/>
    <w:rsid w:val="59E26435"/>
    <w:rsid w:val="59ED03CE"/>
    <w:rsid w:val="5B321DD4"/>
    <w:rsid w:val="5B6713F1"/>
    <w:rsid w:val="5B6C356E"/>
    <w:rsid w:val="5BAB7D34"/>
    <w:rsid w:val="5CBC3BF9"/>
    <w:rsid w:val="5CCD5006"/>
    <w:rsid w:val="5D113415"/>
    <w:rsid w:val="5D1751E8"/>
    <w:rsid w:val="5D1F36BC"/>
    <w:rsid w:val="5D735B58"/>
    <w:rsid w:val="5E152749"/>
    <w:rsid w:val="5E254563"/>
    <w:rsid w:val="5E290B09"/>
    <w:rsid w:val="5EA9402D"/>
    <w:rsid w:val="5EE3524F"/>
    <w:rsid w:val="5F14325A"/>
    <w:rsid w:val="5FA81B24"/>
    <w:rsid w:val="5FE76120"/>
    <w:rsid w:val="60462BFF"/>
    <w:rsid w:val="6086490A"/>
    <w:rsid w:val="60DF382F"/>
    <w:rsid w:val="610D750D"/>
    <w:rsid w:val="613E28F2"/>
    <w:rsid w:val="61565891"/>
    <w:rsid w:val="6187276C"/>
    <w:rsid w:val="623321C6"/>
    <w:rsid w:val="62D17D7B"/>
    <w:rsid w:val="62F963EF"/>
    <w:rsid w:val="636A2114"/>
    <w:rsid w:val="63CF0C0D"/>
    <w:rsid w:val="6419158E"/>
    <w:rsid w:val="65172882"/>
    <w:rsid w:val="656D1BFB"/>
    <w:rsid w:val="659706E2"/>
    <w:rsid w:val="65A272A8"/>
    <w:rsid w:val="664C29E9"/>
    <w:rsid w:val="668E216A"/>
    <w:rsid w:val="673254C1"/>
    <w:rsid w:val="673463BA"/>
    <w:rsid w:val="67A55AE7"/>
    <w:rsid w:val="682D527B"/>
    <w:rsid w:val="68527198"/>
    <w:rsid w:val="68A92114"/>
    <w:rsid w:val="69257F0E"/>
    <w:rsid w:val="6A0170EF"/>
    <w:rsid w:val="6A6754DF"/>
    <w:rsid w:val="6AA92655"/>
    <w:rsid w:val="6B495448"/>
    <w:rsid w:val="6BA36E2D"/>
    <w:rsid w:val="6C341007"/>
    <w:rsid w:val="6CEA596C"/>
    <w:rsid w:val="6D041821"/>
    <w:rsid w:val="6E067DCF"/>
    <w:rsid w:val="6EA47519"/>
    <w:rsid w:val="6EBA47E0"/>
    <w:rsid w:val="6F2F54F3"/>
    <w:rsid w:val="6FAA4DB2"/>
    <w:rsid w:val="703A154F"/>
    <w:rsid w:val="70877975"/>
    <w:rsid w:val="7188626A"/>
    <w:rsid w:val="71C15D09"/>
    <w:rsid w:val="72143F5A"/>
    <w:rsid w:val="72650DB9"/>
    <w:rsid w:val="73184F1F"/>
    <w:rsid w:val="73AA7E3C"/>
    <w:rsid w:val="75477BF5"/>
    <w:rsid w:val="75DF44C6"/>
    <w:rsid w:val="766E3476"/>
    <w:rsid w:val="769E612B"/>
    <w:rsid w:val="770C5601"/>
    <w:rsid w:val="775E441A"/>
    <w:rsid w:val="7797093F"/>
    <w:rsid w:val="77AD6AC4"/>
    <w:rsid w:val="783E5513"/>
    <w:rsid w:val="7885559A"/>
    <w:rsid w:val="791D6100"/>
    <w:rsid w:val="794D79B1"/>
    <w:rsid w:val="7A241E3D"/>
    <w:rsid w:val="7A241F39"/>
    <w:rsid w:val="7A7E1E9F"/>
    <w:rsid w:val="7B0060A6"/>
    <w:rsid w:val="7B8234D4"/>
    <w:rsid w:val="7C547298"/>
    <w:rsid w:val="7C581EFA"/>
    <w:rsid w:val="7D0B101B"/>
    <w:rsid w:val="7D3B1B5E"/>
    <w:rsid w:val="7DA97969"/>
    <w:rsid w:val="7DD310E6"/>
    <w:rsid w:val="7DE543BA"/>
    <w:rsid w:val="7DE832FA"/>
    <w:rsid w:val="7E00552C"/>
    <w:rsid w:val="7E227052"/>
    <w:rsid w:val="7E762F24"/>
    <w:rsid w:val="7FDB0D0A"/>
    <w:rsid w:val="7FE977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iPriority="39" w:semiHidden="0" w:name="toc 1"/>
    <w:lsdException w:qFormat="1" w:uiPriority="39"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iPriority="0" w:semiHidden="0" w:name="Normal Indent"/>
    <w:lsdException w:qFormat="1" w:unhideWhenUsed="0" w:uiPriority="0" w:semiHidden="0" w:name="footnote text"/>
    <w:lsdException w:qFormat="1" w:uiPriority="0" w:semiHidden="0" w:name="annotation text"/>
    <w:lsdException w:qFormat="1" w:uiPriority="99" w:semiHidden="0" w:name="header"/>
    <w:lsdException w:qFormat="1" w:uiPriority="99" w:semiHidden="0" w:name="footer"/>
    <w:lsdException w:qFormat="1" w:unhideWhenUsed="0" w:uiPriority="0" w:name="index heading"/>
    <w:lsdException w:qFormat="1" w:unhideWhenUsed="0" w:uiPriority="35" w:semiHidden="0" w:name="caption"/>
    <w:lsdException w:qFormat="1" w:unhideWhenUsed="0" w:uiPriority="0" w:name="table of figures"/>
    <w:lsdException w:uiPriority="99" w:name="envelope address"/>
    <w:lsdException w:uiPriority="99" w:name="envelope return"/>
    <w:lsdException w:qFormat="1" w:unhideWhenUsed="0" w:uiPriority="0" w:semiHidden="0" w:name="footnote reference"/>
    <w:lsdException w:qFormat="1" w:uiPriority="0"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qFormat="1" w:unhideWhenUsed="0" w:uiPriority="0" w:semiHidden="0" w:name="Signature"/>
    <w:lsdException w:qFormat="1" w:uiPriority="1" w:name="Default Paragraph Font"/>
    <w:lsdException w:qFormat="1" w:uiPriority="0" w:semiHidden="0" w:name="Body Text"/>
    <w:lsdException w:qFormat="1"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iPriority="0" w:semiHidden="0" w:name="Date"/>
    <w:lsdException w:qFormat="1"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iPriority="0" w:semiHidden="0" w:name="Plain Text"/>
    <w:lsdException w:uiPriority="99" w:name="E-mail Signature"/>
    <w:lsdException w:qFormat="1" w:uiPriority="99" w:semiHidden="0" w:name="Normal (Web)"/>
    <w:lsdException w:qFormat="1"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1"/>
      <w:lang w:val="en-US" w:eastAsia="zh-CN" w:bidi="ar-SA"/>
    </w:rPr>
  </w:style>
  <w:style w:type="paragraph" w:styleId="2">
    <w:name w:val="heading 1"/>
    <w:basedOn w:val="1"/>
    <w:next w:val="1"/>
    <w:link w:val="89"/>
    <w:qFormat/>
    <w:uiPriority w:val="0"/>
    <w:pPr>
      <w:keepNext/>
      <w:keepLines/>
      <w:numPr>
        <w:ilvl w:val="0"/>
        <w:numId w:val="1"/>
      </w:numPr>
      <w:adjustRightInd w:val="0"/>
      <w:snapToGrid w:val="0"/>
      <w:spacing w:line="360" w:lineRule="auto"/>
      <w:outlineLvl w:val="0"/>
    </w:pPr>
    <w:rPr>
      <w:rFonts w:ascii="Times New Roman" w:hAnsi="Times New Roman" w:eastAsia="黑体"/>
      <w:bCs/>
      <w:kern w:val="44"/>
      <w:sz w:val="24"/>
      <w:szCs w:val="44"/>
    </w:rPr>
  </w:style>
  <w:style w:type="paragraph" w:styleId="3">
    <w:name w:val="heading 2"/>
    <w:basedOn w:val="1"/>
    <w:next w:val="1"/>
    <w:link w:val="90"/>
    <w:qFormat/>
    <w:uiPriority w:val="0"/>
    <w:pPr>
      <w:keepNext/>
      <w:keepLines/>
      <w:numPr>
        <w:ilvl w:val="1"/>
        <w:numId w:val="1"/>
      </w:numPr>
      <w:adjustRightInd w:val="0"/>
      <w:snapToGrid w:val="0"/>
      <w:spacing w:line="360" w:lineRule="auto"/>
      <w:outlineLvl w:val="1"/>
    </w:pPr>
    <w:rPr>
      <w:rFonts w:eastAsia="黑体"/>
      <w:bCs/>
      <w:kern w:val="0"/>
      <w:sz w:val="24"/>
      <w:szCs w:val="32"/>
    </w:rPr>
  </w:style>
  <w:style w:type="paragraph" w:styleId="4">
    <w:name w:val="heading 3"/>
    <w:basedOn w:val="1"/>
    <w:next w:val="1"/>
    <w:link w:val="91"/>
    <w:qFormat/>
    <w:uiPriority w:val="0"/>
    <w:pPr>
      <w:keepNext/>
      <w:keepLines/>
      <w:numPr>
        <w:ilvl w:val="2"/>
        <w:numId w:val="1"/>
      </w:numPr>
      <w:adjustRightInd w:val="0"/>
      <w:snapToGrid w:val="0"/>
      <w:spacing w:line="360" w:lineRule="auto"/>
      <w:outlineLvl w:val="2"/>
    </w:pPr>
    <w:rPr>
      <w:rFonts w:ascii="Times New Roman" w:hAnsi="Times New Roman"/>
      <w:b/>
      <w:bCs/>
      <w:kern w:val="0"/>
      <w:sz w:val="24"/>
      <w:szCs w:val="32"/>
    </w:rPr>
  </w:style>
  <w:style w:type="paragraph" w:styleId="5">
    <w:name w:val="heading 4"/>
    <w:basedOn w:val="1"/>
    <w:next w:val="6"/>
    <w:link w:val="92"/>
    <w:unhideWhenUsed/>
    <w:qFormat/>
    <w:uiPriority w:val="9"/>
    <w:pPr>
      <w:keepNext/>
      <w:keepLines/>
      <w:numPr>
        <w:ilvl w:val="3"/>
        <w:numId w:val="1"/>
      </w:numPr>
      <w:adjustRightInd w:val="0"/>
      <w:snapToGrid w:val="0"/>
      <w:spacing w:line="360" w:lineRule="auto"/>
      <w:outlineLvl w:val="3"/>
    </w:pPr>
    <w:rPr>
      <w:rFonts w:ascii="Times New Roman" w:hAnsi="Times New Roman" w:eastAsiaTheme="majorEastAsia"/>
      <w:b/>
      <w:bCs/>
      <w:color w:val="000000" w:themeColor="text1"/>
      <w:sz w:val="24"/>
      <w:szCs w:val="24"/>
      <w14:textFill>
        <w14:solidFill>
          <w14:schemeClr w14:val="tx1"/>
        </w14:solidFill>
      </w14:textFill>
    </w:rPr>
  </w:style>
  <w:style w:type="paragraph" w:styleId="9">
    <w:name w:val="heading 5"/>
    <w:basedOn w:val="1"/>
    <w:next w:val="1"/>
    <w:link w:val="93"/>
    <w:unhideWhenUsed/>
    <w:qFormat/>
    <w:uiPriority w:val="0"/>
    <w:pPr>
      <w:keepNext/>
      <w:keepLines/>
      <w:numPr>
        <w:ilvl w:val="4"/>
        <w:numId w:val="1"/>
      </w:numPr>
      <w:spacing w:before="280" w:after="290" w:line="376" w:lineRule="auto"/>
      <w:outlineLvl w:val="4"/>
    </w:pPr>
    <w:rPr>
      <w:b/>
      <w:bCs/>
      <w:sz w:val="28"/>
      <w:szCs w:val="28"/>
    </w:rPr>
  </w:style>
  <w:style w:type="paragraph" w:styleId="10">
    <w:name w:val="heading 6"/>
    <w:basedOn w:val="1"/>
    <w:next w:val="1"/>
    <w:link w:val="94"/>
    <w:unhideWhenUsed/>
    <w:qFormat/>
    <w:uiPriority w:val="0"/>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11">
    <w:name w:val="heading 7"/>
    <w:basedOn w:val="1"/>
    <w:next w:val="1"/>
    <w:link w:val="95"/>
    <w:unhideWhenUsed/>
    <w:qFormat/>
    <w:uiPriority w:val="0"/>
    <w:pPr>
      <w:keepNext/>
      <w:keepLines/>
      <w:numPr>
        <w:ilvl w:val="6"/>
        <w:numId w:val="1"/>
      </w:numPr>
      <w:spacing w:before="240" w:after="64" w:line="320" w:lineRule="auto"/>
      <w:outlineLvl w:val="6"/>
    </w:pPr>
    <w:rPr>
      <w:b/>
      <w:bCs/>
      <w:sz w:val="24"/>
      <w:szCs w:val="24"/>
    </w:rPr>
  </w:style>
  <w:style w:type="paragraph" w:styleId="12">
    <w:name w:val="heading 8"/>
    <w:basedOn w:val="1"/>
    <w:next w:val="1"/>
    <w:link w:val="96"/>
    <w:unhideWhenUsed/>
    <w:qFormat/>
    <w:uiPriority w:val="0"/>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3">
    <w:name w:val="heading 9"/>
    <w:basedOn w:val="1"/>
    <w:next w:val="1"/>
    <w:link w:val="97"/>
    <w:unhideWhenUsed/>
    <w:qFormat/>
    <w:uiPriority w:val="0"/>
    <w:pPr>
      <w:keepNext/>
      <w:keepLines/>
      <w:numPr>
        <w:ilvl w:val="8"/>
        <w:numId w:val="1"/>
      </w:numPr>
      <w:spacing w:before="240" w:after="64" w:line="320" w:lineRule="auto"/>
      <w:outlineLvl w:val="8"/>
    </w:pPr>
    <w:rPr>
      <w:rFonts w:asciiTheme="majorHAnsi" w:hAnsiTheme="majorHAnsi" w:eastAsiaTheme="majorEastAsia" w:cstheme="majorBidi"/>
    </w:rPr>
  </w:style>
  <w:style w:type="character" w:default="1" w:styleId="74">
    <w:name w:val="Default Paragraph Font"/>
    <w:semiHidden/>
    <w:unhideWhenUsed/>
    <w:qFormat/>
    <w:uiPriority w:val="1"/>
  </w:style>
  <w:style w:type="table" w:default="1" w:styleId="71">
    <w:name w:val="Normal Table"/>
    <w:semiHidden/>
    <w:unhideWhenUsed/>
    <w:qFormat/>
    <w:uiPriority w:val="99"/>
    <w:tblPr>
      <w:tblCellMar>
        <w:top w:w="0" w:type="dxa"/>
        <w:left w:w="108" w:type="dxa"/>
        <w:bottom w:w="0" w:type="dxa"/>
        <w:right w:w="108" w:type="dxa"/>
      </w:tblCellMar>
    </w:tblPr>
  </w:style>
  <w:style w:type="paragraph" w:styleId="6">
    <w:name w:val="Body Text First Indent"/>
    <w:basedOn w:val="7"/>
    <w:link w:val="121"/>
    <w:unhideWhenUsed/>
    <w:qFormat/>
    <w:uiPriority w:val="0"/>
    <w:pPr>
      <w:adjustRightInd w:val="0"/>
      <w:snapToGrid w:val="0"/>
      <w:spacing w:after="0" w:line="360" w:lineRule="auto"/>
      <w:ind w:firstLine="200" w:firstLineChars="200"/>
    </w:pPr>
    <w:rPr>
      <w:rFonts w:ascii="Times New Roman" w:hAnsi="Times New Roman" w:cstheme="minorBidi"/>
      <w:sz w:val="24"/>
      <w:szCs w:val="22"/>
    </w:rPr>
  </w:style>
  <w:style w:type="paragraph" w:styleId="7">
    <w:name w:val="Body Text"/>
    <w:basedOn w:val="1"/>
    <w:next w:val="8"/>
    <w:link w:val="104"/>
    <w:unhideWhenUsed/>
    <w:qFormat/>
    <w:uiPriority w:val="0"/>
    <w:pPr>
      <w:spacing w:after="120"/>
    </w:pPr>
  </w:style>
  <w:style w:type="paragraph" w:customStyle="1" w:styleId="8">
    <w:name w:val="xl27"/>
    <w:basedOn w:val="1"/>
    <w:qFormat/>
    <w:uiPriority w:val="0"/>
    <w:pPr>
      <w:widowControl/>
      <w:spacing w:before="100" w:beforeAutospacing="1" w:after="100" w:afterAutospacing="1"/>
      <w:jc w:val="center"/>
      <w:textAlignment w:val="top"/>
    </w:pPr>
    <w:rPr>
      <w:rFonts w:ascii="宋体" w:hAnsi="宋体"/>
      <w:kern w:val="0"/>
    </w:rPr>
  </w:style>
  <w:style w:type="paragraph" w:styleId="14">
    <w:name w:val="List 3"/>
    <w:basedOn w:val="1"/>
    <w:qFormat/>
    <w:uiPriority w:val="0"/>
    <w:pPr>
      <w:ind w:left="100" w:leftChars="400" w:hanging="200" w:hangingChars="200"/>
    </w:pPr>
    <w:rPr>
      <w:rFonts w:ascii="Times New Roman" w:hAnsi="Times New Roman"/>
      <w:szCs w:val="24"/>
    </w:rPr>
  </w:style>
  <w:style w:type="paragraph" w:styleId="15">
    <w:name w:val="toc 7"/>
    <w:basedOn w:val="1"/>
    <w:next w:val="1"/>
    <w:unhideWhenUsed/>
    <w:qFormat/>
    <w:uiPriority w:val="0"/>
    <w:pPr>
      <w:ind w:left="2520" w:leftChars="1200"/>
    </w:pPr>
    <w:rPr>
      <w:rFonts w:asciiTheme="minorHAnsi" w:hAnsiTheme="minorHAnsi" w:eastAsiaTheme="minorEastAsia" w:cstheme="minorBidi"/>
      <w:szCs w:val="22"/>
    </w:rPr>
  </w:style>
  <w:style w:type="paragraph" w:styleId="16">
    <w:name w:val="index 8"/>
    <w:basedOn w:val="1"/>
    <w:next w:val="1"/>
    <w:semiHidden/>
    <w:qFormat/>
    <w:uiPriority w:val="0"/>
    <w:pPr>
      <w:spacing w:line="420" w:lineRule="exact"/>
      <w:ind w:left="1400" w:leftChars="1400"/>
    </w:pPr>
    <w:rPr>
      <w:rFonts w:ascii="Times New Roman" w:hAnsi="Times New Roman"/>
      <w:sz w:val="24"/>
      <w:szCs w:val="20"/>
    </w:rPr>
  </w:style>
  <w:style w:type="paragraph" w:styleId="17">
    <w:name w:val="List Number"/>
    <w:basedOn w:val="1"/>
    <w:qFormat/>
    <w:uiPriority w:val="0"/>
    <w:pPr>
      <w:tabs>
        <w:tab w:val="left" w:pos="360"/>
      </w:tabs>
      <w:ind w:left="360" w:hanging="360" w:hangingChars="200"/>
    </w:pPr>
    <w:rPr>
      <w:szCs w:val="22"/>
    </w:rPr>
  </w:style>
  <w:style w:type="paragraph" w:styleId="18">
    <w:name w:val="Normal Indent"/>
    <w:basedOn w:val="1"/>
    <w:link w:val="98"/>
    <w:unhideWhenUsed/>
    <w:qFormat/>
    <w:uiPriority w:val="0"/>
    <w:pPr>
      <w:ind w:firstLine="420" w:firstLineChars="200"/>
    </w:pPr>
  </w:style>
  <w:style w:type="paragraph" w:styleId="19">
    <w:name w:val="caption"/>
    <w:basedOn w:val="1"/>
    <w:next w:val="1"/>
    <w:link w:val="99"/>
    <w:qFormat/>
    <w:uiPriority w:val="35"/>
    <w:pPr>
      <w:adjustRightInd w:val="0"/>
      <w:snapToGrid w:val="0"/>
      <w:spacing w:line="20" w:lineRule="atLeast"/>
      <w:ind w:firstLine="510"/>
      <w:jc w:val="left"/>
      <w:textAlignment w:val="baseline"/>
    </w:pPr>
    <w:rPr>
      <w:rFonts w:eastAsia="楷体_GB2312" w:asciiTheme="minorHAnsi" w:hAnsiTheme="minorHAnsi" w:cstheme="minorBidi"/>
      <w:spacing w:val="8"/>
      <w:kern w:val="24"/>
      <w:sz w:val="15"/>
      <w:szCs w:val="22"/>
    </w:rPr>
  </w:style>
  <w:style w:type="paragraph" w:styleId="20">
    <w:name w:val="index 5"/>
    <w:basedOn w:val="1"/>
    <w:next w:val="1"/>
    <w:semiHidden/>
    <w:qFormat/>
    <w:uiPriority w:val="0"/>
    <w:pPr>
      <w:spacing w:line="420" w:lineRule="exact"/>
      <w:ind w:left="800" w:leftChars="800"/>
    </w:pPr>
    <w:rPr>
      <w:rFonts w:ascii="Times New Roman" w:hAnsi="Times New Roman"/>
      <w:sz w:val="24"/>
      <w:szCs w:val="20"/>
    </w:rPr>
  </w:style>
  <w:style w:type="paragraph" w:styleId="21">
    <w:name w:val="List Bullet"/>
    <w:basedOn w:val="1"/>
    <w:qFormat/>
    <w:uiPriority w:val="0"/>
    <w:pPr>
      <w:numPr>
        <w:ilvl w:val="0"/>
        <w:numId w:val="2"/>
      </w:numPr>
      <w:spacing w:line="490" w:lineRule="exact"/>
    </w:pPr>
    <w:rPr>
      <w:rFonts w:ascii="Times New Roman" w:hAnsi="Times New Roman" w:eastAsia="仿宋_GB2312"/>
      <w:sz w:val="28"/>
      <w:szCs w:val="20"/>
    </w:rPr>
  </w:style>
  <w:style w:type="paragraph" w:styleId="22">
    <w:name w:val="Document Map"/>
    <w:basedOn w:val="1"/>
    <w:link w:val="100"/>
    <w:semiHidden/>
    <w:qFormat/>
    <w:uiPriority w:val="0"/>
    <w:pPr>
      <w:shd w:val="clear" w:color="auto" w:fill="000080"/>
    </w:pPr>
    <w:rPr>
      <w:rFonts w:ascii="Times New Roman" w:hAnsi="Times New Roman"/>
      <w:szCs w:val="24"/>
    </w:rPr>
  </w:style>
  <w:style w:type="paragraph" w:styleId="23">
    <w:name w:val="annotation text"/>
    <w:basedOn w:val="1"/>
    <w:link w:val="101"/>
    <w:unhideWhenUsed/>
    <w:qFormat/>
    <w:uiPriority w:val="0"/>
    <w:pPr>
      <w:jc w:val="left"/>
    </w:pPr>
  </w:style>
  <w:style w:type="paragraph" w:styleId="24">
    <w:name w:val="index 6"/>
    <w:basedOn w:val="1"/>
    <w:next w:val="1"/>
    <w:semiHidden/>
    <w:qFormat/>
    <w:uiPriority w:val="0"/>
    <w:pPr>
      <w:spacing w:line="420" w:lineRule="exact"/>
      <w:ind w:left="1000" w:leftChars="1000"/>
    </w:pPr>
    <w:rPr>
      <w:rFonts w:ascii="Times New Roman" w:hAnsi="Times New Roman"/>
      <w:sz w:val="24"/>
      <w:szCs w:val="20"/>
    </w:rPr>
  </w:style>
  <w:style w:type="paragraph" w:styleId="25">
    <w:name w:val="Salutation"/>
    <w:basedOn w:val="1"/>
    <w:next w:val="1"/>
    <w:link w:val="102"/>
    <w:qFormat/>
    <w:uiPriority w:val="0"/>
    <w:rPr>
      <w:rFonts w:ascii="Times New Roman" w:hAnsi="Times New Roman"/>
      <w:szCs w:val="24"/>
    </w:rPr>
  </w:style>
  <w:style w:type="paragraph" w:styleId="26">
    <w:name w:val="Body Text 3"/>
    <w:basedOn w:val="1"/>
    <w:link w:val="103"/>
    <w:qFormat/>
    <w:uiPriority w:val="0"/>
    <w:pPr>
      <w:spacing w:after="120"/>
    </w:pPr>
    <w:rPr>
      <w:rFonts w:ascii="Times New Roman" w:hAnsi="Times New Roman"/>
      <w:kern w:val="0"/>
      <w:sz w:val="16"/>
      <w:szCs w:val="16"/>
    </w:rPr>
  </w:style>
  <w:style w:type="paragraph" w:styleId="27">
    <w:name w:val="List Bullet 3"/>
    <w:basedOn w:val="1"/>
    <w:qFormat/>
    <w:uiPriority w:val="0"/>
    <w:pPr>
      <w:tabs>
        <w:tab w:val="left" w:pos="907"/>
      </w:tabs>
      <w:ind w:left="907" w:hanging="397"/>
    </w:pPr>
    <w:rPr>
      <w:rFonts w:ascii="Times New Roman" w:hAnsi="Times New Roman"/>
      <w:szCs w:val="24"/>
    </w:rPr>
  </w:style>
  <w:style w:type="paragraph" w:styleId="28">
    <w:name w:val="Body Text Indent"/>
    <w:basedOn w:val="1"/>
    <w:link w:val="105"/>
    <w:unhideWhenUsed/>
    <w:qFormat/>
    <w:uiPriority w:val="99"/>
    <w:pPr>
      <w:spacing w:before="100" w:beforeAutospacing="1"/>
      <w:ind w:left="420" w:leftChars="200"/>
    </w:pPr>
    <w:rPr>
      <w:rFonts w:ascii="Times New Roman" w:hAnsi="Times New Roman"/>
    </w:rPr>
  </w:style>
  <w:style w:type="paragraph" w:styleId="29">
    <w:name w:val="List 2"/>
    <w:basedOn w:val="1"/>
    <w:qFormat/>
    <w:uiPriority w:val="0"/>
    <w:pPr>
      <w:ind w:left="100" w:leftChars="200" w:hanging="200" w:hangingChars="200"/>
    </w:pPr>
    <w:rPr>
      <w:rFonts w:ascii="Times New Roman" w:hAnsi="Times New Roman"/>
      <w:szCs w:val="24"/>
    </w:rPr>
  </w:style>
  <w:style w:type="paragraph" w:styleId="30">
    <w:name w:val="List Continue"/>
    <w:basedOn w:val="1"/>
    <w:qFormat/>
    <w:uiPriority w:val="0"/>
    <w:pPr>
      <w:spacing w:after="120"/>
      <w:ind w:left="420" w:leftChars="200"/>
    </w:pPr>
    <w:rPr>
      <w:rFonts w:ascii="Times New Roman" w:hAnsi="Times New Roman"/>
      <w:szCs w:val="24"/>
    </w:rPr>
  </w:style>
  <w:style w:type="paragraph" w:styleId="31">
    <w:name w:val="Block Text"/>
    <w:basedOn w:val="1"/>
    <w:qFormat/>
    <w:uiPriority w:val="0"/>
    <w:pPr>
      <w:spacing w:after="120"/>
      <w:ind w:left="1440" w:leftChars="700" w:right="1440" w:rightChars="700"/>
    </w:pPr>
    <w:rPr>
      <w:rFonts w:ascii="Times New Roman" w:hAnsi="Times New Roman"/>
      <w:szCs w:val="24"/>
    </w:rPr>
  </w:style>
  <w:style w:type="paragraph" w:styleId="32">
    <w:name w:val="List Bullet 2"/>
    <w:basedOn w:val="1"/>
    <w:qFormat/>
    <w:uiPriority w:val="0"/>
    <w:pPr>
      <w:tabs>
        <w:tab w:val="left" w:pos="780"/>
      </w:tabs>
      <w:ind w:left="780" w:leftChars="200" w:hanging="360" w:hangingChars="200"/>
    </w:pPr>
    <w:rPr>
      <w:rFonts w:ascii="Times New Roman" w:hAnsi="Times New Roman"/>
      <w:szCs w:val="24"/>
    </w:rPr>
  </w:style>
  <w:style w:type="paragraph" w:styleId="33">
    <w:name w:val="index 4"/>
    <w:basedOn w:val="1"/>
    <w:next w:val="1"/>
    <w:semiHidden/>
    <w:qFormat/>
    <w:uiPriority w:val="0"/>
    <w:pPr>
      <w:spacing w:line="420" w:lineRule="exact"/>
      <w:ind w:left="600" w:leftChars="600"/>
    </w:pPr>
    <w:rPr>
      <w:rFonts w:ascii="Times New Roman" w:hAnsi="Times New Roman"/>
      <w:sz w:val="24"/>
      <w:szCs w:val="20"/>
    </w:rPr>
  </w:style>
  <w:style w:type="paragraph" w:styleId="34">
    <w:name w:val="toc 5"/>
    <w:basedOn w:val="1"/>
    <w:next w:val="1"/>
    <w:unhideWhenUsed/>
    <w:qFormat/>
    <w:uiPriority w:val="0"/>
    <w:pPr>
      <w:ind w:left="1680" w:leftChars="800"/>
    </w:pPr>
    <w:rPr>
      <w:rFonts w:ascii="Times New Roman" w:hAnsi="Times New Roman"/>
      <w:szCs w:val="24"/>
    </w:rPr>
  </w:style>
  <w:style w:type="paragraph" w:styleId="35">
    <w:name w:val="toc 3"/>
    <w:basedOn w:val="1"/>
    <w:next w:val="1"/>
    <w:unhideWhenUsed/>
    <w:qFormat/>
    <w:uiPriority w:val="0"/>
    <w:pPr>
      <w:widowControl/>
      <w:spacing w:after="100" w:line="276" w:lineRule="auto"/>
      <w:ind w:left="440"/>
      <w:jc w:val="left"/>
    </w:pPr>
    <w:rPr>
      <w:kern w:val="0"/>
      <w:sz w:val="22"/>
      <w:szCs w:val="22"/>
    </w:rPr>
  </w:style>
  <w:style w:type="paragraph" w:styleId="36">
    <w:name w:val="Plain Text"/>
    <w:basedOn w:val="1"/>
    <w:link w:val="106"/>
    <w:unhideWhenUsed/>
    <w:qFormat/>
    <w:uiPriority w:val="0"/>
    <w:rPr>
      <w:rFonts w:ascii="宋体" w:hAnsi="Courier New" w:cs="宋体"/>
    </w:rPr>
  </w:style>
  <w:style w:type="paragraph" w:styleId="37">
    <w:name w:val="toc 8"/>
    <w:basedOn w:val="1"/>
    <w:next w:val="1"/>
    <w:unhideWhenUsed/>
    <w:qFormat/>
    <w:uiPriority w:val="0"/>
    <w:pPr>
      <w:ind w:left="2940" w:leftChars="1400"/>
    </w:pPr>
    <w:rPr>
      <w:rFonts w:asciiTheme="minorHAnsi" w:hAnsiTheme="minorHAnsi" w:eastAsiaTheme="minorEastAsia" w:cstheme="minorBidi"/>
      <w:szCs w:val="22"/>
    </w:rPr>
  </w:style>
  <w:style w:type="paragraph" w:styleId="38">
    <w:name w:val="index 3"/>
    <w:basedOn w:val="1"/>
    <w:next w:val="1"/>
    <w:semiHidden/>
    <w:qFormat/>
    <w:uiPriority w:val="0"/>
    <w:pPr>
      <w:spacing w:line="420" w:lineRule="exact"/>
      <w:ind w:left="400" w:leftChars="400"/>
    </w:pPr>
    <w:rPr>
      <w:rFonts w:ascii="Times New Roman" w:hAnsi="Times New Roman"/>
      <w:sz w:val="24"/>
      <w:szCs w:val="20"/>
    </w:rPr>
  </w:style>
  <w:style w:type="paragraph" w:styleId="39">
    <w:name w:val="Date"/>
    <w:basedOn w:val="1"/>
    <w:next w:val="1"/>
    <w:link w:val="107"/>
    <w:unhideWhenUsed/>
    <w:qFormat/>
    <w:uiPriority w:val="0"/>
    <w:pPr>
      <w:ind w:left="100" w:leftChars="2500"/>
    </w:pPr>
  </w:style>
  <w:style w:type="paragraph" w:styleId="40">
    <w:name w:val="Body Text Indent 2"/>
    <w:basedOn w:val="1"/>
    <w:link w:val="108"/>
    <w:unhideWhenUsed/>
    <w:qFormat/>
    <w:uiPriority w:val="0"/>
    <w:pPr>
      <w:spacing w:after="120" w:line="480" w:lineRule="auto"/>
      <w:ind w:left="420" w:leftChars="200"/>
    </w:pPr>
  </w:style>
  <w:style w:type="paragraph" w:styleId="41">
    <w:name w:val="Balloon Text"/>
    <w:basedOn w:val="1"/>
    <w:link w:val="109"/>
    <w:unhideWhenUsed/>
    <w:qFormat/>
    <w:uiPriority w:val="0"/>
    <w:rPr>
      <w:sz w:val="18"/>
      <w:szCs w:val="18"/>
    </w:rPr>
  </w:style>
  <w:style w:type="paragraph" w:styleId="42">
    <w:name w:val="footer"/>
    <w:basedOn w:val="1"/>
    <w:link w:val="110"/>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3">
    <w:name w:val="header"/>
    <w:basedOn w:val="1"/>
    <w:link w:val="111"/>
    <w:unhideWhenUsed/>
    <w:qFormat/>
    <w:uiPriority w:val="99"/>
    <w:pPr>
      <w:pBdr>
        <w:bottom w:val="single" w:color="auto" w:sz="6" w:space="1"/>
      </w:pBdr>
      <w:tabs>
        <w:tab w:val="center" w:pos="4153"/>
        <w:tab w:val="right" w:pos="8306"/>
      </w:tabs>
      <w:adjustRightInd w:val="0"/>
      <w:snapToGrid w:val="0"/>
      <w:jc w:val="center"/>
    </w:pPr>
    <w:rPr>
      <w:rFonts w:asciiTheme="minorHAnsi" w:hAnsiTheme="minorHAnsi" w:eastAsiaTheme="minorEastAsia" w:cstheme="minorBidi"/>
      <w:sz w:val="18"/>
      <w:szCs w:val="18"/>
    </w:rPr>
  </w:style>
  <w:style w:type="paragraph" w:styleId="44">
    <w:name w:val="Signature"/>
    <w:basedOn w:val="1"/>
    <w:link w:val="112"/>
    <w:qFormat/>
    <w:uiPriority w:val="0"/>
    <w:pPr>
      <w:ind w:left="100" w:leftChars="2100"/>
    </w:pPr>
    <w:rPr>
      <w:rFonts w:ascii="Times New Roman" w:hAnsi="Times New Roman"/>
      <w:kern w:val="0"/>
      <w:sz w:val="20"/>
      <w:szCs w:val="24"/>
    </w:rPr>
  </w:style>
  <w:style w:type="paragraph" w:styleId="45">
    <w:name w:val="toc 1"/>
    <w:basedOn w:val="1"/>
    <w:next w:val="1"/>
    <w:link w:val="113"/>
    <w:unhideWhenUsed/>
    <w:qFormat/>
    <w:uiPriority w:val="39"/>
    <w:pPr>
      <w:spacing w:before="120" w:after="120"/>
      <w:jc w:val="left"/>
    </w:pPr>
    <w:rPr>
      <w:rFonts w:eastAsiaTheme="minorEastAsia" w:cstheme="minorBidi"/>
      <w:b/>
      <w:bCs/>
      <w:caps/>
    </w:rPr>
  </w:style>
  <w:style w:type="paragraph" w:styleId="46">
    <w:name w:val="List Continue 4"/>
    <w:basedOn w:val="1"/>
    <w:qFormat/>
    <w:uiPriority w:val="0"/>
    <w:pPr>
      <w:spacing w:after="120"/>
      <w:ind w:left="1680" w:leftChars="800"/>
    </w:pPr>
    <w:rPr>
      <w:rFonts w:ascii="Times New Roman" w:hAnsi="Times New Roman"/>
      <w:szCs w:val="24"/>
    </w:rPr>
  </w:style>
  <w:style w:type="paragraph" w:styleId="47">
    <w:name w:val="toc 4"/>
    <w:basedOn w:val="1"/>
    <w:next w:val="1"/>
    <w:unhideWhenUsed/>
    <w:qFormat/>
    <w:uiPriority w:val="0"/>
    <w:pPr>
      <w:ind w:left="1260" w:leftChars="600"/>
    </w:pPr>
    <w:rPr>
      <w:rFonts w:ascii="Times New Roman" w:hAnsi="Times New Roman"/>
      <w:szCs w:val="24"/>
    </w:rPr>
  </w:style>
  <w:style w:type="paragraph" w:styleId="48">
    <w:name w:val="index heading"/>
    <w:basedOn w:val="1"/>
    <w:next w:val="49"/>
    <w:semiHidden/>
    <w:qFormat/>
    <w:uiPriority w:val="0"/>
    <w:rPr>
      <w:rFonts w:ascii="Times New Roman" w:hAnsi="Times New Roman"/>
      <w:szCs w:val="24"/>
    </w:rPr>
  </w:style>
  <w:style w:type="paragraph" w:styleId="49">
    <w:name w:val="index 1"/>
    <w:basedOn w:val="1"/>
    <w:next w:val="1"/>
    <w:semiHidden/>
    <w:unhideWhenUsed/>
    <w:qFormat/>
    <w:uiPriority w:val="0"/>
  </w:style>
  <w:style w:type="paragraph" w:styleId="50">
    <w:name w:val="Subtitle"/>
    <w:basedOn w:val="1"/>
    <w:link w:val="114"/>
    <w:qFormat/>
    <w:uiPriority w:val="0"/>
    <w:pPr>
      <w:spacing w:before="240" w:after="60" w:line="312" w:lineRule="auto"/>
      <w:jc w:val="center"/>
      <w:outlineLvl w:val="1"/>
    </w:pPr>
    <w:rPr>
      <w:rFonts w:ascii="Arial" w:hAnsi="Arial"/>
      <w:b/>
      <w:bCs/>
      <w:kern w:val="28"/>
      <w:sz w:val="32"/>
      <w:szCs w:val="32"/>
    </w:rPr>
  </w:style>
  <w:style w:type="paragraph" w:styleId="51">
    <w:name w:val="List"/>
    <w:basedOn w:val="1"/>
    <w:unhideWhenUsed/>
    <w:qFormat/>
    <w:uiPriority w:val="0"/>
    <w:pPr>
      <w:ind w:left="200" w:hanging="200" w:hangingChars="200"/>
      <w:contextualSpacing/>
    </w:pPr>
  </w:style>
  <w:style w:type="paragraph" w:styleId="52">
    <w:name w:val="footnote text"/>
    <w:basedOn w:val="1"/>
    <w:link w:val="115"/>
    <w:qFormat/>
    <w:uiPriority w:val="0"/>
    <w:pPr>
      <w:snapToGrid w:val="0"/>
      <w:spacing w:afterLines="20" w:line="400" w:lineRule="exact"/>
      <w:ind w:firstLine="480" w:firstLineChars="200"/>
      <w:jc w:val="left"/>
    </w:pPr>
    <w:rPr>
      <w:rFonts w:ascii="Times New Roman" w:hAnsi="Times New Roman"/>
      <w:kern w:val="0"/>
      <w:sz w:val="18"/>
      <w:szCs w:val="18"/>
    </w:rPr>
  </w:style>
  <w:style w:type="paragraph" w:styleId="53">
    <w:name w:val="toc 6"/>
    <w:basedOn w:val="1"/>
    <w:next w:val="1"/>
    <w:unhideWhenUsed/>
    <w:qFormat/>
    <w:uiPriority w:val="0"/>
    <w:pPr>
      <w:ind w:left="2100" w:leftChars="1000"/>
    </w:pPr>
    <w:rPr>
      <w:rFonts w:asciiTheme="minorHAnsi" w:hAnsiTheme="minorHAnsi" w:eastAsiaTheme="minorEastAsia" w:cstheme="minorBidi"/>
      <w:szCs w:val="22"/>
    </w:rPr>
  </w:style>
  <w:style w:type="paragraph" w:styleId="54">
    <w:name w:val="List 5"/>
    <w:basedOn w:val="1"/>
    <w:qFormat/>
    <w:uiPriority w:val="0"/>
    <w:pPr>
      <w:ind w:left="100" w:leftChars="800" w:hanging="200" w:hangingChars="200"/>
    </w:pPr>
    <w:rPr>
      <w:rFonts w:ascii="Times New Roman" w:hAnsi="Times New Roman"/>
      <w:sz w:val="28"/>
      <w:szCs w:val="20"/>
    </w:rPr>
  </w:style>
  <w:style w:type="paragraph" w:styleId="55">
    <w:name w:val="Body Text Indent 3"/>
    <w:basedOn w:val="1"/>
    <w:link w:val="116"/>
    <w:qFormat/>
    <w:uiPriority w:val="0"/>
    <w:pPr>
      <w:spacing w:after="120"/>
      <w:ind w:left="420" w:leftChars="200"/>
    </w:pPr>
    <w:rPr>
      <w:rFonts w:ascii="Times New Roman" w:hAnsi="Times New Roman"/>
      <w:sz w:val="16"/>
      <w:szCs w:val="16"/>
    </w:rPr>
  </w:style>
  <w:style w:type="paragraph" w:styleId="56">
    <w:name w:val="index 7"/>
    <w:basedOn w:val="1"/>
    <w:next w:val="1"/>
    <w:semiHidden/>
    <w:qFormat/>
    <w:uiPriority w:val="0"/>
    <w:pPr>
      <w:spacing w:line="420" w:lineRule="exact"/>
      <w:ind w:left="1200" w:leftChars="1200"/>
    </w:pPr>
    <w:rPr>
      <w:rFonts w:ascii="Times New Roman" w:hAnsi="Times New Roman"/>
      <w:sz w:val="24"/>
      <w:szCs w:val="20"/>
    </w:rPr>
  </w:style>
  <w:style w:type="paragraph" w:styleId="57">
    <w:name w:val="index 9"/>
    <w:basedOn w:val="1"/>
    <w:next w:val="1"/>
    <w:semiHidden/>
    <w:qFormat/>
    <w:uiPriority w:val="0"/>
    <w:pPr>
      <w:spacing w:line="420" w:lineRule="exact"/>
      <w:ind w:left="1600" w:leftChars="1600"/>
    </w:pPr>
    <w:rPr>
      <w:rFonts w:ascii="Times New Roman" w:hAnsi="Times New Roman"/>
      <w:sz w:val="24"/>
      <w:szCs w:val="20"/>
    </w:rPr>
  </w:style>
  <w:style w:type="paragraph" w:styleId="58">
    <w:name w:val="table of figures"/>
    <w:basedOn w:val="1"/>
    <w:next w:val="1"/>
    <w:semiHidden/>
    <w:qFormat/>
    <w:uiPriority w:val="0"/>
    <w:pPr>
      <w:spacing w:before="30" w:line="400" w:lineRule="exact"/>
      <w:ind w:left="200"/>
      <w:jc w:val="center"/>
    </w:pPr>
    <w:rPr>
      <w:rFonts w:ascii="Times New Roman" w:hAnsi="Times New Roman"/>
      <w:b/>
      <w:szCs w:val="20"/>
    </w:rPr>
  </w:style>
  <w:style w:type="paragraph" w:styleId="59">
    <w:name w:val="toc 2"/>
    <w:basedOn w:val="1"/>
    <w:next w:val="1"/>
    <w:unhideWhenUsed/>
    <w:qFormat/>
    <w:uiPriority w:val="39"/>
    <w:pPr>
      <w:ind w:left="210"/>
      <w:jc w:val="left"/>
    </w:pPr>
    <w:rPr>
      <w:smallCaps/>
    </w:rPr>
  </w:style>
  <w:style w:type="paragraph" w:styleId="60">
    <w:name w:val="toc 9"/>
    <w:basedOn w:val="1"/>
    <w:next w:val="1"/>
    <w:unhideWhenUsed/>
    <w:qFormat/>
    <w:uiPriority w:val="0"/>
    <w:pPr>
      <w:ind w:left="3360" w:leftChars="1600"/>
    </w:pPr>
    <w:rPr>
      <w:rFonts w:asciiTheme="minorHAnsi" w:hAnsiTheme="minorHAnsi" w:eastAsiaTheme="minorEastAsia" w:cstheme="minorBidi"/>
      <w:szCs w:val="22"/>
    </w:rPr>
  </w:style>
  <w:style w:type="paragraph" w:styleId="61">
    <w:name w:val="Body Text 2"/>
    <w:basedOn w:val="1"/>
    <w:link w:val="117"/>
    <w:qFormat/>
    <w:uiPriority w:val="0"/>
    <w:pPr>
      <w:adjustRightInd w:val="0"/>
      <w:spacing w:line="240" w:lineRule="exact"/>
      <w:textAlignment w:val="baseline"/>
    </w:pPr>
    <w:rPr>
      <w:rFonts w:ascii="Times New Roman" w:hAnsi="Times New Roman"/>
      <w:kern w:val="0"/>
      <w:sz w:val="24"/>
      <w:szCs w:val="20"/>
    </w:rPr>
  </w:style>
  <w:style w:type="paragraph" w:styleId="62">
    <w:name w:val="List 4"/>
    <w:basedOn w:val="1"/>
    <w:qFormat/>
    <w:uiPriority w:val="0"/>
    <w:pPr>
      <w:ind w:left="100" w:leftChars="600" w:hanging="200" w:hangingChars="200"/>
    </w:pPr>
    <w:rPr>
      <w:rFonts w:ascii="Times New Roman" w:hAnsi="Times New Roman"/>
      <w:kern w:val="0"/>
      <w:sz w:val="24"/>
      <w:szCs w:val="24"/>
    </w:rPr>
  </w:style>
  <w:style w:type="paragraph" w:styleId="63">
    <w:name w:val="List Continue 2"/>
    <w:basedOn w:val="1"/>
    <w:qFormat/>
    <w:uiPriority w:val="0"/>
    <w:pPr>
      <w:spacing w:after="120"/>
      <w:ind w:left="840" w:leftChars="400"/>
    </w:pPr>
    <w:rPr>
      <w:rFonts w:ascii="Times New Roman" w:hAnsi="Times New Roman"/>
      <w:szCs w:val="24"/>
    </w:rPr>
  </w:style>
  <w:style w:type="paragraph" w:styleId="64">
    <w:name w:val="HTML Preformatted"/>
    <w:basedOn w:val="1"/>
    <w:link w:val="118"/>
    <w:qFormat/>
    <w:uiPriority w:val="0"/>
    <w:rPr>
      <w:rFonts w:ascii="Courier New" w:hAnsi="Courier New" w:cs="Courier New"/>
      <w:szCs w:val="24"/>
    </w:rPr>
  </w:style>
  <w:style w:type="paragraph" w:styleId="65">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66">
    <w:name w:val="List Continue 3"/>
    <w:basedOn w:val="1"/>
    <w:qFormat/>
    <w:uiPriority w:val="0"/>
    <w:pPr>
      <w:spacing w:after="120"/>
      <w:ind w:left="1260" w:leftChars="600"/>
    </w:pPr>
    <w:rPr>
      <w:rFonts w:ascii="Times New Roman" w:hAnsi="Times New Roman"/>
      <w:sz w:val="28"/>
      <w:szCs w:val="20"/>
    </w:rPr>
  </w:style>
  <w:style w:type="paragraph" w:styleId="67">
    <w:name w:val="index 2"/>
    <w:basedOn w:val="1"/>
    <w:next w:val="1"/>
    <w:semiHidden/>
    <w:qFormat/>
    <w:uiPriority w:val="0"/>
    <w:pPr>
      <w:spacing w:line="420" w:lineRule="exact"/>
      <w:ind w:left="200" w:leftChars="200"/>
    </w:pPr>
    <w:rPr>
      <w:rFonts w:ascii="Times New Roman" w:hAnsi="Times New Roman"/>
      <w:sz w:val="24"/>
      <w:szCs w:val="20"/>
    </w:rPr>
  </w:style>
  <w:style w:type="paragraph" w:styleId="68">
    <w:name w:val="Title"/>
    <w:basedOn w:val="1"/>
    <w:next w:val="1"/>
    <w:link w:val="119"/>
    <w:qFormat/>
    <w:uiPriority w:val="0"/>
    <w:pPr>
      <w:spacing w:before="240" w:after="60"/>
      <w:jc w:val="center"/>
      <w:outlineLvl w:val="0"/>
    </w:pPr>
    <w:rPr>
      <w:rFonts w:ascii="Arial" w:hAnsi="Arial"/>
      <w:b/>
      <w:bCs/>
      <w:kern w:val="0"/>
      <w:sz w:val="32"/>
      <w:szCs w:val="32"/>
    </w:rPr>
  </w:style>
  <w:style w:type="paragraph" w:styleId="69">
    <w:name w:val="annotation subject"/>
    <w:basedOn w:val="23"/>
    <w:next w:val="23"/>
    <w:link w:val="120"/>
    <w:semiHidden/>
    <w:unhideWhenUsed/>
    <w:qFormat/>
    <w:uiPriority w:val="0"/>
    <w:rPr>
      <w:b/>
      <w:bCs/>
    </w:rPr>
  </w:style>
  <w:style w:type="paragraph" w:styleId="70">
    <w:name w:val="Body Text First Indent 2"/>
    <w:basedOn w:val="28"/>
    <w:link w:val="122"/>
    <w:qFormat/>
    <w:uiPriority w:val="0"/>
    <w:pPr>
      <w:spacing w:before="0" w:beforeAutospacing="0" w:after="120"/>
      <w:ind w:firstLine="420" w:firstLineChars="200"/>
    </w:pPr>
    <w:rPr>
      <w:szCs w:val="24"/>
    </w:rPr>
  </w:style>
  <w:style w:type="table" w:styleId="72">
    <w:name w:val="Table Grid"/>
    <w:basedOn w:val="7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3">
    <w:name w:val="Table Elegant"/>
    <w:basedOn w:val="71"/>
    <w:qFormat/>
    <w:uiPriority w:val="0"/>
    <w:pPr>
      <w:widowControl w:val="0"/>
      <w:adjustRightInd w:val="0"/>
      <w:snapToGrid w:val="0"/>
      <w:spacing w:line="480" w:lineRule="auto"/>
      <w:ind w:firstLine="454"/>
      <w:jc w:val="center"/>
      <w:textAlignment w:val="baseline"/>
    </w:pPr>
    <w:rPr>
      <w:rFonts w:ascii="Calibri" w:hAnsi="Calibri"/>
    </w:rPr>
    <w:tblPr>
      <w:jc w:val="center"/>
      <w:tblBorders>
        <w:top w:val="thinThickSmallGap" w:color="auto" w:sz="12" w:space="0"/>
        <w:bottom w:val="thinThickSmallGap" w:color="auto" w:sz="12" w:space="0"/>
        <w:insideH w:val="single" w:color="auto" w:sz="6" w:space="0"/>
        <w:insideV w:val="single" w:color="auto" w:sz="6" w:space="0"/>
      </w:tblBorders>
    </w:tblPr>
    <w:trPr>
      <w:jc w:val="center"/>
    </w:trPr>
    <w:tcPr>
      <w:shd w:val="clear" w:color="auto" w:fill="auto"/>
      <w:vAlign w:val="center"/>
    </w:tcPr>
    <w:tblStylePr w:type="firstRow">
      <w:rPr>
        <w:caps/>
        <w:color w:val="auto"/>
      </w:rPr>
      <w:tblPr/>
      <w:tcPr>
        <w:tcBorders>
          <w:tl2br w:val="nil"/>
          <w:tr2bl w:val="nil"/>
        </w:tcBorders>
      </w:tcPr>
    </w:tblStylePr>
  </w:style>
  <w:style w:type="character" w:styleId="75">
    <w:name w:val="Strong"/>
    <w:qFormat/>
    <w:uiPriority w:val="22"/>
  </w:style>
  <w:style w:type="character" w:styleId="76">
    <w:name w:val="page number"/>
    <w:basedOn w:val="74"/>
    <w:qFormat/>
    <w:uiPriority w:val="99"/>
  </w:style>
  <w:style w:type="character" w:styleId="77">
    <w:name w:val="FollowedHyperlink"/>
    <w:basedOn w:val="74"/>
    <w:unhideWhenUsed/>
    <w:qFormat/>
    <w:uiPriority w:val="0"/>
    <w:rPr>
      <w:color w:val="800080"/>
      <w:u w:val="single"/>
    </w:rPr>
  </w:style>
  <w:style w:type="character" w:styleId="78">
    <w:name w:val="Emphasis"/>
    <w:basedOn w:val="74"/>
    <w:qFormat/>
    <w:uiPriority w:val="20"/>
    <w:rPr>
      <w:i/>
      <w:iCs/>
    </w:rPr>
  </w:style>
  <w:style w:type="character" w:styleId="79">
    <w:name w:val="HTML Definition"/>
    <w:qFormat/>
    <w:uiPriority w:val="0"/>
  </w:style>
  <w:style w:type="character" w:styleId="80">
    <w:name w:val="HTML Acronym"/>
    <w:basedOn w:val="74"/>
    <w:semiHidden/>
    <w:unhideWhenUsed/>
    <w:qFormat/>
    <w:uiPriority w:val="99"/>
  </w:style>
  <w:style w:type="character" w:styleId="81">
    <w:name w:val="HTML Variable"/>
    <w:qFormat/>
    <w:uiPriority w:val="0"/>
  </w:style>
  <w:style w:type="character" w:styleId="82">
    <w:name w:val="Hyperlink"/>
    <w:unhideWhenUsed/>
    <w:qFormat/>
    <w:uiPriority w:val="99"/>
    <w:rPr>
      <w:color w:val="0000FF"/>
      <w:u w:val="single"/>
    </w:rPr>
  </w:style>
  <w:style w:type="character" w:styleId="83">
    <w:name w:val="HTML Code"/>
    <w:qFormat/>
    <w:uiPriority w:val="0"/>
    <w:rPr>
      <w:rFonts w:ascii="monospace" w:hAnsi="monospace" w:eastAsia="monospace" w:cs="monospace"/>
      <w:sz w:val="21"/>
      <w:szCs w:val="21"/>
    </w:rPr>
  </w:style>
  <w:style w:type="character" w:styleId="84">
    <w:name w:val="annotation reference"/>
    <w:basedOn w:val="74"/>
    <w:unhideWhenUsed/>
    <w:qFormat/>
    <w:uiPriority w:val="0"/>
    <w:rPr>
      <w:sz w:val="21"/>
      <w:szCs w:val="21"/>
    </w:rPr>
  </w:style>
  <w:style w:type="character" w:styleId="85">
    <w:name w:val="HTML Cite"/>
    <w:qFormat/>
    <w:uiPriority w:val="0"/>
  </w:style>
  <w:style w:type="character" w:styleId="86">
    <w:name w:val="footnote reference"/>
    <w:qFormat/>
    <w:uiPriority w:val="0"/>
    <w:rPr>
      <w:vertAlign w:val="superscript"/>
    </w:rPr>
  </w:style>
  <w:style w:type="character" w:styleId="87">
    <w:name w:val="HTML Keyboard"/>
    <w:qFormat/>
    <w:uiPriority w:val="0"/>
    <w:rPr>
      <w:rFonts w:hint="default" w:ascii="monospace" w:hAnsi="monospace" w:eastAsia="monospace" w:cs="monospace"/>
      <w:sz w:val="21"/>
      <w:szCs w:val="21"/>
    </w:rPr>
  </w:style>
  <w:style w:type="character" w:styleId="88">
    <w:name w:val="HTML Sample"/>
    <w:qFormat/>
    <w:uiPriority w:val="0"/>
    <w:rPr>
      <w:rFonts w:hint="default" w:ascii="monospace" w:hAnsi="monospace" w:eastAsia="monospace" w:cs="monospace"/>
      <w:sz w:val="21"/>
      <w:szCs w:val="21"/>
    </w:rPr>
  </w:style>
  <w:style w:type="character" w:customStyle="1" w:styleId="89">
    <w:name w:val="标题 1 Char"/>
    <w:basedOn w:val="74"/>
    <w:link w:val="2"/>
    <w:qFormat/>
    <w:uiPriority w:val="0"/>
    <w:rPr>
      <w:rFonts w:ascii="Times New Roman" w:hAnsi="Times New Roman" w:eastAsia="黑体" w:cs="Times New Roman"/>
      <w:bCs/>
      <w:kern w:val="44"/>
      <w:sz w:val="24"/>
      <w:szCs w:val="44"/>
    </w:rPr>
  </w:style>
  <w:style w:type="character" w:customStyle="1" w:styleId="90">
    <w:name w:val="标题 2 Char"/>
    <w:basedOn w:val="74"/>
    <w:link w:val="3"/>
    <w:qFormat/>
    <w:uiPriority w:val="99"/>
    <w:rPr>
      <w:rFonts w:ascii="Calibri" w:hAnsi="Calibri" w:eastAsia="黑体" w:cs="Times New Roman"/>
      <w:bCs/>
      <w:sz w:val="24"/>
      <w:szCs w:val="32"/>
    </w:rPr>
  </w:style>
  <w:style w:type="character" w:customStyle="1" w:styleId="91">
    <w:name w:val="标题 3 Char"/>
    <w:basedOn w:val="74"/>
    <w:link w:val="4"/>
    <w:qFormat/>
    <w:uiPriority w:val="99"/>
    <w:rPr>
      <w:rFonts w:ascii="Times New Roman" w:hAnsi="Times New Roman" w:eastAsia="宋体" w:cs="Times New Roman"/>
      <w:b/>
      <w:bCs/>
      <w:sz w:val="24"/>
      <w:szCs w:val="32"/>
    </w:rPr>
  </w:style>
  <w:style w:type="character" w:customStyle="1" w:styleId="92">
    <w:name w:val="标题 4 Char"/>
    <w:basedOn w:val="74"/>
    <w:link w:val="5"/>
    <w:qFormat/>
    <w:uiPriority w:val="0"/>
    <w:rPr>
      <w:rFonts w:ascii="Times New Roman" w:hAnsi="Times New Roman" w:cs="Times New Roman" w:eastAsiaTheme="majorEastAsia"/>
      <w:b/>
      <w:bCs/>
      <w:color w:val="000000" w:themeColor="text1"/>
      <w:kern w:val="2"/>
      <w:sz w:val="24"/>
      <w:szCs w:val="24"/>
      <w14:textFill>
        <w14:solidFill>
          <w14:schemeClr w14:val="tx1"/>
        </w14:solidFill>
      </w14:textFill>
    </w:rPr>
  </w:style>
  <w:style w:type="character" w:customStyle="1" w:styleId="93">
    <w:name w:val="标题 5 Char"/>
    <w:basedOn w:val="74"/>
    <w:link w:val="9"/>
    <w:qFormat/>
    <w:uiPriority w:val="0"/>
    <w:rPr>
      <w:rFonts w:ascii="Calibri" w:hAnsi="Calibri" w:eastAsia="宋体" w:cs="Times New Roman"/>
      <w:b/>
      <w:bCs/>
      <w:kern w:val="2"/>
      <w:sz w:val="28"/>
      <w:szCs w:val="28"/>
    </w:rPr>
  </w:style>
  <w:style w:type="character" w:customStyle="1" w:styleId="94">
    <w:name w:val="标题 6 Char"/>
    <w:basedOn w:val="74"/>
    <w:link w:val="10"/>
    <w:qFormat/>
    <w:uiPriority w:val="0"/>
    <w:rPr>
      <w:rFonts w:asciiTheme="majorHAnsi" w:hAnsiTheme="majorHAnsi" w:eastAsiaTheme="majorEastAsia" w:cstheme="majorBidi"/>
      <w:b/>
      <w:bCs/>
      <w:kern w:val="2"/>
      <w:sz w:val="24"/>
      <w:szCs w:val="24"/>
    </w:rPr>
  </w:style>
  <w:style w:type="character" w:customStyle="1" w:styleId="95">
    <w:name w:val="标题 7 Char"/>
    <w:basedOn w:val="74"/>
    <w:link w:val="11"/>
    <w:qFormat/>
    <w:uiPriority w:val="0"/>
    <w:rPr>
      <w:rFonts w:ascii="Calibri" w:hAnsi="Calibri" w:eastAsia="宋体" w:cs="Times New Roman"/>
      <w:b/>
      <w:bCs/>
      <w:kern w:val="2"/>
      <w:sz w:val="24"/>
      <w:szCs w:val="24"/>
    </w:rPr>
  </w:style>
  <w:style w:type="character" w:customStyle="1" w:styleId="96">
    <w:name w:val="标题 8 Char"/>
    <w:basedOn w:val="74"/>
    <w:link w:val="12"/>
    <w:qFormat/>
    <w:uiPriority w:val="0"/>
    <w:rPr>
      <w:rFonts w:asciiTheme="majorHAnsi" w:hAnsiTheme="majorHAnsi" w:eastAsiaTheme="majorEastAsia" w:cstheme="majorBidi"/>
      <w:kern w:val="2"/>
      <w:sz w:val="24"/>
      <w:szCs w:val="24"/>
    </w:rPr>
  </w:style>
  <w:style w:type="character" w:customStyle="1" w:styleId="97">
    <w:name w:val="标题 9 Char"/>
    <w:basedOn w:val="74"/>
    <w:link w:val="13"/>
    <w:qFormat/>
    <w:uiPriority w:val="0"/>
    <w:rPr>
      <w:rFonts w:asciiTheme="majorHAnsi" w:hAnsiTheme="majorHAnsi" w:eastAsiaTheme="majorEastAsia" w:cstheme="majorBidi"/>
      <w:kern w:val="2"/>
      <w:sz w:val="21"/>
      <w:szCs w:val="21"/>
    </w:rPr>
  </w:style>
  <w:style w:type="character" w:customStyle="1" w:styleId="98">
    <w:name w:val="正文缩进 Char"/>
    <w:link w:val="18"/>
    <w:qFormat/>
    <w:uiPriority w:val="0"/>
    <w:rPr>
      <w:rFonts w:ascii="Calibri" w:hAnsi="Calibri" w:eastAsia="宋体" w:cs="Times New Roman"/>
      <w:szCs w:val="21"/>
    </w:rPr>
  </w:style>
  <w:style w:type="character" w:customStyle="1" w:styleId="99">
    <w:name w:val="题注 Char"/>
    <w:link w:val="19"/>
    <w:qFormat/>
    <w:uiPriority w:val="35"/>
    <w:rPr>
      <w:rFonts w:eastAsia="楷体_GB2312"/>
      <w:spacing w:val="8"/>
      <w:kern w:val="24"/>
      <w:sz w:val="15"/>
    </w:rPr>
  </w:style>
  <w:style w:type="character" w:customStyle="1" w:styleId="100">
    <w:name w:val="文档结构图 Char"/>
    <w:basedOn w:val="74"/>
    <w:link w:val="22"/>
    <w:semiHidden/>
    <w:qFormat/>
    <w:uiPriority w:val="0"/>
    <w:rPr>
      <w:rFonts w:ascii="Times New Roman" w:hAnsi="Times New Roman" w:eastAsia="宋体" w:cs="Times New Roman"/>
      <w:szCs w:val="24"/>
      <w:shd w:val="clear" w:color="auto" w:fill="000080"/>
    </w:rPr>
  </w:style>
  <w:style w:type="character" w:customStyle="1" w:styleId="101">
    <w:name w:val="批注文字 Char"/>
    <w:basedOn w:val="74"/>
    <w:link w:val="23"/>
    <w:qFormat/>
    <w:uiPriority w:val="0"/>
    <w:rPr>
      <w:rFonts w:ascii="Calibri" w:hAnsi="Calibri" w:eastAsia="宋体" w:cs="Times New Roman"/>
      <w:szCs w:val="21"/>
    </w:rPr>
  </w:style>
  <w:style w:type="character" w:customStyle="1" w:styleId="102">
    <w:name w:val="称呼 Char"/>
    <w:basedOn w:val="74"/>
    <w:link w:val="25"/>
    <w:qFormat/>
    <w:uiPriority w:val="0"/>
    <w:rPr>
      <w:rFonts w:ascii="Times New Roman" w:hAnsi="Times New Roman" w:eastAsia="宋体" w:cs="Times New Roman"/>
      <w:szCs w:val="24"/>
    </w:rPr>
  </w:style>
  <w:style w:type="character" w:customStyle="1" w:styleId="103">
    <w:name w:val="正文文本 3 Char"/>
    <w:basedOn w:val="74"/>
    <w:link w:val="26"/>
    <w:qFormat/>
    <w:uiPriority w:val="0"/>
    <w:rPr>
      <w:sz w:val="16"/>
      <w:szCs w:val="16"/>
    </w:rPr>
  </w:style>
  <w:style w:type="character" w:customStyle="1" w:styleId="104">
    <w:name w:val="正文文本 Char"/>
    <w:basedOn w:val="74"/>
    <w:link w:val="7"/>
    <w:qFormat/>
    <w:uiPriority w:val="0"/>
    <w:rPr>
      <w:rFonts w:ascii="Calibri" w:hAnsi="Calibri" w:eastAsia="宋体" w:cs="Times New Roman"/>
      <w:szCs w:val="21"/>
    </w:rPr>
  </w:style>
  <w:style w:type="character" w:customStyle="1" w:styleId="105">
    <w:name w:val="正文文本缩进 Char"/>
    <w:basedOn w:val="74"/>
    <w:link w:val="28"/>
    <w:qFormat/>
    <w:uiPriority w:val="99"/>
    <w:rPr>
      <w:rFonts w:ascii="Times New Roman" w:hAnsi="Times New Roman" w:eastAsia="宋体" w:cs="Times New Roman"/>
      <w:szCs w:val="21"/>
    </w:rPr>
  </w:style>
  <w:style w:type="character" w:customStyle="1" w:styleId="106">
    <w:name w:val="纯文本 Char"/>
    <w:basedOn w:val="74"/>
    <w:link w:val="36"/>
    <w:qFormat/>
    <w:uiPriority w:val="0"/>
    <w:rPr>
      <w:rFonts w:ascii="宋体" w:hAnsi="Courier New" w:eastAsia="宋体" w:cs="宋体"/>
      <w:szCs w:val="21"/>
    </w:rPr>
  </w:style>
  <w:style w:type="character" w:customStyle="1" w:styleId="107">
    <w:name w:val="日期 Char"/>
    <w:basedOn w:val="74"/>
    <w:link w:val="39"/>
    <w:qFormat/>
    <w:uiPriority w:val="0"/>
    <w:rPr>
      <w:rFonts w:ascii="Calibri" w:hAnsi="Calibri" w:eastAsia="宋体" w:cs="Times New Roman"/>
      <w:szCs w:val="21"/>
    </w:rPr>
  </w:style>
  <w:style w:type="character" w:customStyle="1" w:styleId="108">
    <w:name w:val="正文文本缩进 2 Char"/>
    <w:basedOn w:val="74"/>
    <w:link w:val="40"/>
    <w:qFormat/>
    <w:uiPriority w:val="0"/>
    <w:rPr>
      <w:rFonts w:ascii="Calibri" w:hAnsi="Calibri" w:eastAsia="宋体" w:cs="Times New Roman"/>
      <w:szCs w:val="21"/>
    </w:rPr>
  </w:style>
  <w:style w:type="character" w:customStyle="1" w:styleId="109">
    <w:name w:val="批注框文本 Char"/>
    <w:basedOn w:val="74"/>
    <w:link w:val="41"/>
    <w:qFormat/>
    <w:uiPriority w:val="0"/>
    <w:rPr>
      <w:rFonts w:ascii="Calibri" w:hAnsi="Calibri" w:eastAsia="宋体" w:cs="Times New Roman"/>
      <w:sz w:val="18"/>
      <w:szCs w:val="18"/>
    </w:rPr>
  </w:style>
  <w:style w:type="character" w:customStyle="1" w:styleId="110">
    <w:name w:val="页脚 Char"/>
    <w:link w:val="42"/>
    <w:qFormat/>
    <w:uiPriority w:val="99"/>
    <w:rPr>
      <w:sz w:val="18"/>
      <w:szCs w:val="18"/>
    </w:rPr>
  </w:style>
  <w:style w:type="character" w:customStyle="1" w:styleId="111">
    <w:name w:val="页眉 Char"/>
    <w:link w:val="43"/>
    <w:qFormat/>
    <w:uiPriority w:val="99"/>
    <w:rPr>
      <w:sz w:val="18"/>
      <w:szCs w:val="18"/>
    </w:rPr>
  </w:style>
  <w:style w:type="character" w:customStyle="1" w:styleId="112">
    <w:name w:val="签名 Char"/>
    <w:basedOn w:val="74"/>
    <w:link w:val="44"/>
    <w:qFormat/>
    <w:uiPriority w:val="0"/>
    <w:rPr>
      <w:szCs w:val="24"/>
    </w:rPr>
  </w:style>
  <w:style w:type="character" w:customStyle="1" w:styleId="113">
    <w:name w:val="目录 1 Char"/>
    <w:link w:val="45"/>
    <w:qFormat/>
    <w:uiPriority w:val="39"/>
    <w:rPr>
      <w:rFonts w:ascii="Calibri" w:hAnsi="Calibri"/>
      <w:b/>
      <w:bCs/>
      <w:caps/>
      <w:szCs w:val="21"/>
    </w:rPr>
  </w:style>
  <w:style w:type="character" w:customStyle="1" w:styleId="114">
    <w:name w:val="副标题 Char"/>
    <w:basedOn w:val="74"/>
    <w:link w:val="50"/>
    <w:qFormat/>
    <w:uiPriority w:val="0"/>
    <w:rPr>
      <w:rFonts w:ascii="Arial" w:hAnsi="Arial"/>
      <w:b/>
      <w:bCs/>
      <w:kern w:val="28"/>
      <w:sz w:val="32"/>
      <w:szCs w:val="32"/>
    </w:rPr>
  </w:style>
  <w:style w:type="character" w:customStyle="1" w:styleId="115">
    <w:name w:val="脚注文本 Char"/>
    <w:basedOn w:val="74"/>
    <w:link w:val="52"/>
    <w:qFormat/>
    <w:uiPriority w:val="0"/>
    <w:rPr>
      <w:sz w:val="18"/>
      <w:szCs w:val="18"/>
    </w:rPr>
  </w:style>
  <w:style w:type="character" w:customStyle="1" w:styleId="116">
    <w:name w:val="正文文本缩进 3 Char"/>
    <w:basedOn w:val="74"/>
    <w:link w:val="55"/>
    <w:qFormat/>
    <w:uiPriority w:val="0"/>
    <w:rPr>
      <w:rFonts w:ascii="Times New Roman" w:hAnsi="Times New Roman" w:eastAsia="宋体" w:cs="Times New Roman"/>
      <w:sz w:val="16"/>
      <w:szCs w:val="16"/>
    </w:rPr>
  </w:style>
  <w:style w:type="character" w:customStyle="1" w:styleId="117">
    <w:name w:val="正文文本 2 Char"/>
    <w:basedOn w:val="74"/>
    <w:link w:val="61"/>
    <w:qFormat/>
    <w:uiPriority w:val="0"/>
    <w:rPr>
      <w:sz w:val="24"/>
    </w:rPr>
  </w:style>
  <w:style w:type="character" w:customStyle="1" w:styleId="118">
    <w:name w:val="HTML 预设格式 Char"/>
    <w:basedOn w:val="74"/>
    <w:link w:val="64"/>
    <w:qFormat/>
    <w:uiPriority w:val="0"/>
    <w:rPr>
      <w:rFonts w:ascii="Courier New" w:hAnsi="Courier New" w:cs="Courier New"/>
      <w:kern w:val="2"/>
      <w:sz w:val="21"/>
      <w:szCs w:val="24"/>
    </w:rPr>
  </w:style>
  <w:style w:type="character" w:customStyle="1" w:styleId="119">
    <w:name w:val="标题 Char"/>
    <w:basedOn w:val="74"/>
    <w:link w:val="68"/>
    <w:qFormat/>
    <w:uiPriority w:val="0"/>
    <w:rPr>
      <w:rFonts w:ascii="Arial" w:hAnsi="Arial"/>
      <w:b/>
      <w:bCs/>
      <w:sz w:val="32"/>
      <w:szCs w:val="32"/>
    </w:rPr>
  </w:style>
  <w:style w:type="character" w:customStyle="1" w:styleId="120">
    <w:name w:val="批注主题 Char"/>
    <w:basedOn w:val="101"/>
    <w:link w:val="69"/>
    <w:semiHidden/>
    <w:qFormat/>
    <w:uiPriority w:val="0"/>
    <w:rPr>
      <w:rFonts w:ascii="Calibri" w:hAnsi="Calibri" w:eastAsia="宋体" w:cs="Times New Roman"/>
      <w:b/>
      <w:bCs/>
      <w:szCs w:val="21"/>
    </w:rPr>
  </w:style>
  <w:style w:type="character" w:customStyle="1" w:styleId="121">
    <w:name w:val="正文首行缩进 Char"/>
    <w:link w:val="6"/>
    <w:qFormat/>
    <w:uiPriority w:val="0"/>
    <w:rPr>
      <w:rFonts w:ascii="Times New Roman" w:hAnsi="Times New Roman" w:eastAsia="宋体"/>
      <w:sz w:val="24"/>
    </w:rPr>
  </w:style>
  <w:style w:type="character" w:customStyle="1" w:styleId="122">
    <w:name w:val="正文首行缩进 2 Char"/>
    <w:basedOn w:val="105"/>
    <w:link w:val="70"/>
    <w:qFormat/>
    <w:uiPriority w:val="0"/>
    <w:rPr>
      <w:rFonts w:ascii="Times New Roman" w:hAnsi="Times New Roman" w:eastAsia="宋体" w:cs="Times New Roman"/>
      <w:szCs w:val="24"/>
    </w:rPr>
  </w:style>
  <w:style w:type="character" w:customStyle="1" w:styleId="123">
    <w:name w:val="正文文字 Char1"/>
    <w:link w:val="124"/>
    <w:qFormat/>
    <w:uiPriority w:val="0"/>
    <w:rPr>
      <w:sz w:val="24"/>
      <w:szCs w:val="24"/>
    </w:rPr>
  </w:style>
  <w:style w:type="paragraph" w:customStyle="1" w:styleId="124">
    <w:name w:val="正文文字"/>
    <w:basedOn w:val="18"/>
    <w:link w:val="123"/>
    <w:qFormat/>
    <w:uiPriority w:val="0"/>
    <w:pPr>
      <w:adjustRightInd w:val="0"/>
      <w:snapToGrid w:val="0"/>
      <w:spacing w:line="360" w:lineRule="auto"/>
      <w:ind w:firstLine="200"/>
    </w:pPr>
    <w:rPr>
      <w:rFonts w:asciiTheme="minorHAnsi" w:hAnsiTheme="minorHAnsi" w:eastAsiaTheme="minorEastAsia" w:cstheme="minorBidi"/>
      <w:sz w:val="24"/>
      <w:szCs w:val="24"/>
    </w:rPr>
  </w:style>
  <w:style w:type="character" w:customStyle="1" w:styleId="125">
    <w:name w:val="正文首行缩进 Char1"/>
    <w:basedOn w:val="104"/>
    <w:qFormat/>
    <w:uiPriority w:val="0"/>
    <w:rPr>
      <w:rFonts w:ascii="Calibri" w:hAnsi="Calibri" w:eastAsia="宋体" w:cs="Times New Roman"/>
      <w:szCs w:val="21"/>
    </w:rPr>
  </w:style>
  <w:style w:type="character" w:customStyle="1" w:styleId="126">
    <w:name w:val="页脚 Char1"/>
    <w:basedOn w:val="74"/>
    <w:semiHidden/>
    <w:qFormat/>
    <w:uiPriority w:val="99"/>
    <w:rPr>
      <w:rFonts w:ascii="Calibri" w:hAnsi="Calibri" w:eastAsia="宋体" w:cs="Times New Roman"/>
      <w:sz w:val="18"/>
      <w:szCs w:val="18"/>
    </w:rPr>
  </w:style>
  <w:style w:type="character" w:customStyle="1" w:styleId="127">
    <w:name w:val="页眉 Char1"/>
    <w:basedOn w:val="74"/>
    <w:semiHidden/>
    <w:qFormat/>
    <w:uiPriority w:val="99"/>
    <w:rPr>
      <w:rFonts w:ascii="Calibri" w:hAnsi="Calibri" w:eastAsia="宋体" w:cs="Times New Roman"/>
      <w:sz w:val="18"/>
      <w:szCs w:val="18"/>
    </w:rPr>
  </w:style>
  <w:style w:type="paragraph" w:customStyle="1" w:styleId="128">
    <w:name w:val="普通(网站)1"/>
    <w:basedOn w:val="1"/>
    <w:qFormat/>
    <w:uiPriority w:val="0"/>
    <w:pPr>
      <w:widowControl/>
      <w:spacing w:before="100" w:beforeAutospacing="1" w:after="100" w:afterAutospacing="1"/>
      <w:jc w:val="left"/>
    </w:pPr>
    <w:rPr>
      <w:rFonts w:ascii="宋体" w:hAnsi="宋体"/>
      <w:sz w:val="24"/>
      <w:szCs w:val="24"/>
    </w:rPr>
  </w:style>
  <w:style w:type="paragraph" w:customStyle="1" w:styleId="129">
    <w:name w:val="报告书正文"/>
    <w:basedOn w:val="1"/>
    <w:link w:val="130"/>
    <w:qFormat/>
    <w:uiPriority w:val="0"/>
    <w:pPr>
      <w:spacing w:line="300" w:lineRule="auto"/>
      <w:ind w:firstLine="200" w:firstLineChars="200"/>
    </w:pPr>
    <w:rPr>
      <w:rFonts w:ascii="Times New Roman" w:hAnsi="Times New Roman"/>
      <w:sz w:val="24"/>
      <w:szCs w:val="24"/>
    </w:rPr>
  </w:style>
  <w:style w:type="character" w:customStyle="1" w:styleId="130">
    <w:name w:val="报告书正文 Char2"/>
    <w:link w:val="129"/>
    <w:qFormat/>
    <w:uiPriority w:val="0"/>
    <w:rPr>
      <w:rFonts w:ascii="Times New Roman" w:hAnsi="Times New Roman" w:eastAsia="宋体" w:cs="Times New Roman"/>
      <w:sz w:val="24"/>
      <w:szCs w:val="24"/>
    </w:rPr>
  </w:style>
  <w:style w:type="paragraph" w:styleId="131">
    <w:name w:val="List Paragraph"/>
    <w:basedOn w:val="1"/>
    <w:link w:val="132"/>
    <w:qFormat/>
    <w:uiPriority w:val="34"/>
    <w:pPr>
      <w:adjustRightInd w:val="0"/>
      <w:spacing w:line="312" w:lineRule="atLeast"/>
      <w:ind w:firstLine="420" w:firstLineChars="200"/>
      <w:textAlignment w:val="baseline"/>
    </w:pPr>
    <w:rPr>
      <w:rFonts w:ascii="Times New Roman" w:hAnsi="Times New Roman"/>
      <w:kern w:val="0"/>
    </w:rPr>
  </w:style>
  <w:style w:type="character" w:customStyle="1" w:styleId="132">
    <w:name w:val="列出段落 Char"/>
    <w:basedOn w:val="74"/>
    <w:link w:val="131"/>
    <w:qFormat/>
    <w:uiPriority w:val="34"/>
    <w:rPr>
      <w:rFonts w:ascii="Times New Roman" w:hAnsi="Times New Roman" w:eastAsia="宋体" w:cs="Times New Roman"/>
      <w:sz w:val="21"/>
      <w:szCs w:val="21"/>
    </w:rPr>
  </w:style>
  <w:style w:type="paragraph" w:customStyle="1" w:styleId="133">
    <w:name w:val="报告书正文 Char Char Char Char Char Char Char"/>
    <w:basedOn w:val="1"/>
    <w:qFormat/>
    <w:uiPriority w:val="0"/>
    <w:pPr>
      <w:spacing w:line="300" w:lineRule="auto"/>
      <w:ind w:firstLine="480" w:firstLineChars="200"/>
    </w:pPr>
    <w:rPr>
      <w:rFonts w:ascii="Times New Roman" w:hAnsi="Times New Roman"/>
      <w:color w:val="000000"/>
      <w:sz w:val="24"/>
      <w:szCs w:val="24"/>
    </w:rPr>
  </w:style>
  <w:style w:type="paragraph" w:customStyle="1" w:styleId="134">
    <w:name w:val="图表头"/>
    <w:basedOn w:val="1"/>
    <w:qFormat/>
    <w:uiPriority w:val="0"/>
    <w:pPr>
      <w:adjustRightInd w:val="0"/>
      <w:spacing w:line="360" w:lineRule="auto"/>
      <w:jc w:val="center"/>
      <w:textAlignment w:val="baseline"/>
    </w:pPr>
    <w:rPr>
      <w:rFonts w:ascii="黑体" w:hAnsi="黑体" w:eastAsia="黑体" w:cs="宋体"/>
      <w:spacing w:val="5"/>
      <w:kern w:val="0"/>
    </w:rPr>
  </w:style>
  <w:style w:type="paragraph" w:customStyle="1" w:styleId="135">
    <w:name w:val="报告书正文 Char Char Char"/>
    <w:basedOn w:val="1"/>
    <w:link w:val="136"/>
    <w:qFormat/>
    <w:uiPriority w:val="0"/>
    <w:pPr>
      <w:spacing w:line="300" w:lineRule="auto"/>
      <w:ind w:firstLine="200" w:firstLineChars="200"/>
    </w:pPr>
    <w:rPr>
      <w:rFonts w:ascii="Times New Roman" w:hAnsi="Times New Roman"/>
      <w:sz w:val="24"/>
      <w:szCs w:val="24"/>
    </w:rPr>
  </w:style>
  <w:style w:type="character" w:customStyle="1" w:styleId="136">
    <w:name w:val="报告书正文 Char Char Char Char"/>
    <w:link w:val="135"/>
    <w:qFormat/>
    <w:uiPriority w:val="0"/>
    <w:rPr>
      <w:rFonts w:ascii="Times New Roman" w:hAnsi="Times New Roman" w:eastAsia="宋体" w:cs="Times New Roman"/>
      <w:sz w:val="24"/>
      <w:szCs w:val="24"/>
    </w:rPr>
  </w:style>
  <w:style w:type="paragraph" w:customStyle="1" w:styleId="137">
    <w:name w:val="5表标题"/>
    <w:basedOn w:val="1"/>
    <w:qFormat/>
    <w:uiPriority w:val="0"/>
    <w:pPr>
      <w:widowControl/>
      <w:jc w:val="center"/>
    </w:pPr>
    <w:rPr>
      <w:rFonts w:ascii="Times New Roman" w:hAnsi="Times New Roman" w:cs="宋体"/>
      <w:b/>
      <w:bCs/>
    </w:rPr>
  </w:style>
  <w:style w:type="paragraph" w:customStyle="1" w:styleId="138">
    <w:name w:val="表格"/>
    <w:basedOn w:val="1"/>
    <w:link w:val="139"/>
    <w:qFormat/>
    <w:uiPriority w:val="0"/>
    <w:pPr>
      <w:jc w:val="center"/>
      <w:outlineLvl w:val="5"/>
    </w:pPr>
    <w:rPr>
      <w:rFonts w:ascii="宋体" w:hAnsi="宋体" w:cs="宋体"/>
      <w:kern w:val="0"/>
    </w:rPr>
  </w:style>
  <w:style w:type="character" w:customStyle="1" w:styleId="139">
    <w:name w:val="表格 Char"/>
    <w:link w:val="138"/>
    <w:qFormat/>
    <w:uiPriority w:val="0"/>
    <w:rPr>
      <w:rFonts w:ascii="宋体" w:hAnsi="宋体" w:cs="宋体"/>
      <w:sz w:val="21"/>
      <w:szCs w:val="21"/>
    </w:rPr>
  </w:style>
  <w:style w:type="paragraph" w:customStyle="1" w:styleId="140">
    <w:name w:val="表头11"/>
    <w:basedOn w:val="1"/>
    <w:qFormat/>
    <w:uiPriority w:val="0"/>
    <w:pPr>
      <w:adjustRightInd w:val="0"/>
      <w:snapToGrid w:val="0"/>
      <w:spacing w:line="480" w:lineRule="exact"/>
      <w:jc w:val="center"/>
    </w:pPr>
    <w:rPr>
      <w:rFonts w:ascii="宋体" w:hAnsi="宋体" w:cs="宋体"/>
      <w:b/>
      <w:bCs/>
      <w:color w:val="FF0000"/>
      <w:sz w:val="24"/>
      <w:szCs w:val="24"/>
    </w:rPr>
  </w:style>
  <w:style w:type="paragraph" w:customStyle="1" w:styleId="141">
    <w:name w:val="样式 表头11 + 自动设置"/>
    <w:basedOn w:val="140"/>
    <w:qFormat/>
    <w:uiPriority w:val="0"/>
    <w:pPr>
      <w:spacing w:line="240" w:lineRule="auto"/>
    </w:pPr>
    <w:rPr>
      <w:color w:val="000000"/>
    </w:rPr>
  </w:style>
  <w:style w:type="paragraph" w:customStyle="1" w:styleId="142">
    <w:name w:val="表格2"/>
    <w:basedOn w:val="1"/>
    <w:qFormat/>
    <w:uiPriority w:val="0"/>
    <w:pPr>
      <w:widowControl/>
      <w:adjustRightInd w:val="0"/>
      <w:snapToGrid w:val="0"/>
      <w:jc w:val="center"/>
    </w:pPr>
    <w:rPr>
      <w:rFonts w:ascii="Times New Roman" w:hAnsi="Times New Roman"/>
      <w:b/>
      <w:bCs/>
      <w:kern w:val="0"/>
    </w:rPr>
  </w:style>
  <w:style w:type="paragraph" w:customStyle="1" w:styleId="143">
    <w:name w:val="0正文"/>
    <w:basedOn w:val="28"/>
    <w:qFormat/>
    <w:uiPriority w:val="0"/>
    <w:pPr>
      <w:spacing w:line="300" w:lineRule="auto"/>
      <w:ind w:left="0" w:leftChars="0" w:firstLine="480" w:firstLineChars="200"/>
    </w:pPr>
    <w:rPr>
      <w:kern w:val="0"/>
      <w:sz w:val="24"/>
      <w:szCs w:val="24"/>
    </w:rPr>
  </w:style>
  <w:style w:type="paragraph" w:customStyle="1" w:styleId="144">
    <w:name w:val="样式9"/>
    <w:basedOn w:val="5"/>
    <w:qFormat/>
    <w:uiPriority w:val="0"/>
    <w:pPr>
      <w:spacing w:line="372" w:lineRule="auto"/>
    </w:pPr>
    <w:rPr>
      <w:rFonts w:ascii="Arial" w:hAnsi="Arial" w:eastAsia="黑体" w:cs="Arial"/>
    </w:rPr>
  </w:style>
  <w:style w:type="paragraph" w:customStyle="1" w:styleId="145">
    <w:name w:val="Default"/>
    <w:basedOn w:val="1"/>
    <w:qFormat/>
    <w:uiPriority w:val="0"/>
    <w:pPr>
      <w:autoSpaceDE w:val="0"/>
      <w:autoSpaceDN w:val="0"/>
      <w:adjustRightInd w:val="0"/>
      <w:jc w:val="left"/>
    </w:pPr>
    <w:rPr>
      <w:rFonts w:ascii="宋体" w:hAnsi="宋体" w:cs="宋体"/>
      <w:color w:val="000000"/>
      <w:kern w:val="0"/>
      <w:sz w:val="24"/>
      <w:szCs w:val="24"/>
    </w:rPr>
  </w:style>
  <w:style w:type="paragraph" w:customStyle="1" w:styleId="146">
    <w:name w:val="样式 加粗 居中 行距: 1.5 倍行距"/>
    <w:basedOn w:val="1"/>
    <w:qFormat/>
    <w:uiPriority w:val="0"/>
    <w:pPr>
      <w:spacing w:line="360" w:lineRule="auto"/>
      <w:jc w:val="center"/>
    </w:pPr>
    <w:rPr>
      <w:rFonts w:ascii="Times New Roman" w:hAnsi="Times New Roman" w:cs="宋体"/>
      <w:b/>
      <w:bCs/>
    </w:rPr>
  </w:style>
  <w:style w:type="paragraph" w:customStyle="1" w:styleId="147">
    <w:name w:val="样式 首行缩进:  2 字符"/>
    <w:basedOn w:val="1"/>
    <w:link w:val="148"/>
    <w:qFormat/>
    <w:uiPriority w:val="0"/>
    <w:pPr>
      <w:adjustRightInd w:val="0"/>
      <w:spacing w:line="300" w:lineRule="auto"/>
      <w:ind w:firstLine="480" w:firstLineChars="200"/>
      <w:textAlignment w:val="baseline"/>
    </w:pPr>
    <w:rPr>
      <w:rFonts w:ascii="宋体" w:hAnsi="宋体" w:cs="宋体"/>
      <w:color w:val="FF0000"/>
      <w:kern w:val="0"/>
      <w:sz w:val="24"/>
      <w:szCs w:val="24"/>
    </w:rPr>
  </w:style>
  <w:style w:type="character" w:customStyle="1" w:styleId="148">
    <w:name w:val="样式 首行缩进:  2 字符 Char"/>
    <w:link w:val="147"/>
    <w:qFormat/>
    <w:uiPriority w:val="0"/>
    <w:rPr>
      <w:rFonts w:ascii="宋体" w:hAnsi="宋体" w:cs="宋体"/>
      <w:color w:val="FF0000"/>
      <w:sz w:val="24"/>
      <w:szCs w:val="24"/>
    </w:rPr>
  </w:style>
  <w:style w:type="paragraph" w:customStyle="1" w:styleId="149">
    <w:name w:val="p0"/>
    <w:basedOn w:val="1"/>
    <w:qFormat/>
    <w:uiPriority w:val="0"/>
    <w:pPr>
      <w:widowControl/>
    </w:pPr>
    <w:rPr>
      <w:rFonts w:cs="宋体"/>
      <w:kern w:val="0"/>
    </w:rPr>
  </w:style>
  <w:style w:type="paragraph" w:customStyle="1" w:styleId="150">
    <w:name w:val="表格内容"/>
    <w:basedOn w:val="1"/>
    <w:qFormat/>
    <w:uiPriority w:val="0"/>
    <w:pPr>
      <w:adjustRightInd w:val="0"/>
      <w:snapToGrid w:val="0"/>
      <w:jc w:val="center"/>
    </w:pPr>
    <w:rPr>
      <w:rFonts w:ascii="宋体" w:hAnsi="宋体" w:cs="宋体"/>
      <w:sz w:val="18"/>
      <w:szCs w:val="18"/>
    </w:rPr>
  </w:style>
  <w:style w:type="character" w:customStyle="1" w:styleId="151">
    <w:name w:val="10"/>
    <w:basedOn w:val="74"/>
    <w:qFormat/>
    <w:uiPriority w:val="0"/>
    <w:rPr>
      <w:rFonts w:hint="default" w:ascii="Times New Roman" w:hAnsi="Times New Roman" w:cs="Times New Roman"/>
    </w:rPr>
  </w:style>
  <w:style w:type="character" w:customStyle="1" w:styleId="152">
    <w:name w:val="15"/>
    <w:basedOn w:val="74"/>
    <w:qFormat/>
    <w:uiPriority w:val="0"/>
    <w:rPr>
      <w:rFonts w:hint="default" w:ascii="Times New Roman" w:hAnsi="Times New Roman" w:cs="Times New Roman"/>
    </w:rPr>
  </w:style>
  <w:style w:type="paragraph" w:customStyle="1" w:styleId="153">
    <w:name w:val="岳阳用"/>
    <w:basedOn w:val="1"/>
    <w:qFormat/>
    <w:uiPriority w:val="0"/>
    <w:pPr>
      <w:spacing w:line="400" w:lineRule="atLeast"/>
      <w:ind w:firstLine="644"/>
      <w:jc w:val="left"/>
    </w:pPr>
    <w:rPr>
      <w:rFonts w:ascii="仿宋_GB2312" w:hAnsi="宋体" w:eastAsia="仿宋_GB2312" w:cs="宋体"/>
      <w:spacing w:val="21"/>
      <w:kern w:val="0"/>
      <w:sz w:val="28"/>
      <w:szCs w:val="28"/>
    </w:rPr>
  </w:style>
  <w:style w:type="paragraph" w:customStyle="1" w:styleId="154">
    <w:name w:val="报告书"/>
    <w:basedOn w:val="1"/>
    <w:qFormat/>
    <w:uiPriority w:val="0"/>
    <w:pPr>
      <w:spacing w:line="300" w:lineRule="auto"/>
      <w:ind w:firstLine="480" w:firstLineChars="200"/>
    </w:pPr>
    <w:rPr>
      <w:rFonts w:ascii="Times New Roman" w:hAnsi="Times New Roman"/>
      <w:sz w:val="24"/>
      <w:szCs w:val="24"/>
    </w:rPr>
  </w:style>
  <w:style w:type="paragraph" w:customStyle="1" w:styleId="155">
    <w:name w:val="报告书正文 Char"/>
    <w:basedOn w:val="1"/>
    <w:qFormat/>
    <w:uiPriority w:val="0"/>
    <w:pPr>
      <w:spacing w:line="300" w:lineRule="auto"/>
      <w:ind w:firstLine="200" w:firstLineChars="200"/>
    </w:pPr>
    <w:rPr>
      <w:rFonts w:ascii="Times New Roman" w:hAnsi="Times New Roman"/>
      <w:sz w:val="24"/>
      <w:szCs w:val="24"/>
    </w:rPr>
  </w:style>
  <w:style w:type="paragraph" w:customStyle="1" w:styleId="156">
    <w:name w:val="表格文字居中"/>
    <w:basedOn w:val="1"/>
    <w:link w:val="157"/>
    <w:qFormat/>
    <w:uiPriority w:val="0"/>
    <w:pPr>
      <w:widowControl/>
      <w:adjustRightInd w:val="0"/>
      <w:snapToGrid w:val="0"/>
      <w:spacing w:beforeLines="10" w:afterLines="10"/>
      <w:jc w:val="center"/>
    </w:pPr>
    <w:rPr>
      <w:rFonts w:ascii="宋体" w:hAnsi="宋体" w:cs="宋体"/>
      <w:kern w:val="0"/>
      <w:sz w:val="24"/>
      <w:szCs w:val="24"/>
    </w:rPr>
  </w:style>
  <w:style w:type="character" w:customStyle="1" w:styleId="157">
    <w:name w:val="表格文字居中 Char"/>
    <w:link w:val="156"/>
    <w:qFormat/>
    <w:uiPriority w:val="0"/>
    <w:rPr>
      <w:rFonts w:ascii="宋体" w:hAnsi="宋体" w:eastAsia="宋体" w:cs="宋体"/>
      <w:sz w:val="24"/>
      <w:szCs w:val="24"/>
    </w:rPr>
  </w:style>
  <w:style w:type="character" w:customStyle="1" w:styleId="158">
    <w:name w:val="段落 Char"/>
    <w:link w:val="159"/>
    <w:qFormat/>
    <w:uiPriority w:val="0"/>
    <w:rPr>
      <w:rFonts w:ascii="Times New Roman" w:hAnsi="Times New Roman"/>
      <w:b/>
      <w:bCs/>
      <w:sz w:val="30"/>
      <w:szCs w:val="30"/>
    </w:rPr>
  </w:style>
  <w:style w:type="paragraph" w:customStyle="1" w:styleId="159">
    <w:name w:val="段落"/>
    <w:basedOn w:val="1"/>
    <w:link w:val="158"/>
    <w:qFormat/>
    <w:uiPriority w:val="0"/>
    <w:pPr>
      <w:adjustRightInd w:val="0"/>
      <w:snapToGrid w:val="0"/>
      <w:spacing w:line="360" w:lineRule="auto"/>
    </w:pPr>
    <w:rPr>
      <w:rFonts w:ascii="Times New Roman" w:hAnsi="Times New Roman" w:eastAsiaTheme="minorEastAsia" w:cstheme="minorBidi"/>
      <w:b/>
      <w:bCs/>
      <w:sz w:val="30"/>
      <w:szCs w:val="30"/>
    </w:rPr>
  </w:style>
  <w:style w:type="paragraph" w:customStyle="1" w:styleId="160">
    <w:name w:val="正文1"/>
    <w:link w:val="161"/>
    <w:qFormat/>
    <w:uiPriority w:val="0"/>
    <w:pPr>
      <w:jc w:val="both"/>
    </w:pPr>
    <w:rPr>
      <w:rFonts w:ascii="Times New Roman" w:hAnsi="Times New Roman" w:eastAsia="宋体" w:cs="Times New Roman"/>
      <w:kern w:val="2"/>
      <w:sz w:val="21"/>
      <w:szCs w:val="21"/>
      <w:lang w:val="en-US" w:eastAsia="zh-CN" w:bidi="ar-SA"/>
    </w:rPr>
  </w:style>
  <w:style w:type="character" w:customStyle="1" w:styleId="161">
    <w:name w:val="正文1 Char"/>
    <w:link w:val="160"/>
    <w:qFormat/>
    <w:uiPriority w:val="0"/>
    <w:rPr>
      <w:rFonts w:ascii="Times New Roman" w:hAnsi="Times New Roman" w:eastAsia="宋体" w:cs="Times New Roman"/>
      <w:szCs w:val="21"/>
    </w:rPr>
  </w:style>
  <w:style w:type="paragraph" w:customStyle="1" w:styleId="162">
    <w:name w:val="正文2002"/>
    <w:basedOn w:val="1"/>
    <w:qFormat/>
    <w:uiPriority w:val="0"/>
    <w:pPr>
      <w:spacing w:line="240" w:lineRule="atLeast"/>
      <w:jc w:val="center"/>
    </w:pPr>
    <w:rPr>
      <w:rFonts w:ascii="Times New Roman" w:hAnsi="宋体"/>
      <w:spacing w:val="8"/>
    </w:rPr>
  </w:style>
  <w:style w:type="character" w:customStyle="1" w:styleId="163">
    <w:name w:val="zw Char"/>
    <w:link w:val="164"/>
    <w:qFormat/>
    <w:uiPriority w:val="0"/>
    <w:rPr>
      <w:rFonts w:ascii="仿宋_GB2312" w:eastAsia="仿宋_GB2312"/>
      <w:snapToGrid w:val="0"/>
      <w:color w:val="000000"/>
      <w:kern w:val="24"/>
      <w:position w:val="2"/>
      <w:sz w:val="24"/>
      <w:szCs w:val="18"/>
      <w:lang w:val="zh-CN"/>
    </w:rPr>
  </w:style>
  <w:style w:type="paragraph" w:customStyle="1" w:styleId="164">
    <w:name w:val="zw"/>
    <w:basedOn w:val="1"/>
    <w:link w:val="163"/>
    <w:qFormat/>
    <w:uiPriority w:val="0"/>
    <w:pPr>
      <w:widowControl/>
      <w:tabs>
        <w:tab w:val="left" w:pos="900"/>
      </w:tabs>
      <w:adjustRightInd w:val="0"/>
      <w:snapToGrid w:val="0"/>
      <w:spacing w:line="480" w:lineRule="exact"/>
      <w:ind w:firstLine="497" w:firstLineChars="200"/>
      <w:jc w:val="left"/>
    </w:pPr>
    <w:rPr>
      <w:rFonts w:ascii="仿宋_GB2312" w:eastAsia="仿宋_GB2312" w:hAnsiTheme="minorHAnsi" w:cstheme="minorBidi"/>
      <w:snapToGrid w:val="0"/>
      <w:color w:val="000000"/>
      <w:kern w:val="24"/>
      <w:position w:val="2"/>
      <w:sz w:val="24"/>
      <w:szCs w:val="18"/>
      <w:lang w:val="zh-CN"/>
    </w:rPr>
  </w:style>
  <w:style w:type="paragraph" w:customStyle="1" w:styleId="165">
    <w:name w:val="表"/>
    <w:basedOn w:val="19"/>
    <w:qFormat/>
    <w:uiPriority w:val="0"/>
    <w:pPr>
      <w:adjustRightInd/>
      <w:snapToGrid/>
      <w:spacing w:before="50" w:beforeLines="50" w:line="360" w:lineRule="auto"/>
      <w:ind w:firstLine="0"/>
      <w:jc w:val="center"/>
      <w:textAlignment w:val="auto"/>
    </w:pPr>
    <w:rPr>
      <w:rFonts w:ascii="Times New Roman" w:hAnsi="Times New Roman" w:eastAsia="黑体" w:cs="Arial"/>
      <w:spacing w:val="0"/>
      <w:kern w:val="2"/>
      <w:sz w:val="21"/>
      <w:szCs w:val="21"/>
    </w:rPr>
  </w:style>
  <w:style w:type="paragraph" w:customStyle="1" w:styleId="166">
    <w:name w:val="lei"/>
    <w:basedOn w:val="1"/>
    <w:qFormat/>
    <w:uiPriority w:val="0"/>
    <w:pPr>
      <w:adjustRightInd w:val="0"/>
      <w:spacing w:line="560" w:lineRule="exact"/>
      <w:ind w:firstLine="565" w:firstLineChars="200"/>
    </w:pPr>
    <w:rPr>
      <w:rFonts w:ascii="Times New Roman" w:hAnsi="Times New Roman" w:eastAsia="仿宋_GB2312"/>
      <w:snapToGrid w:val="0"/>
      <w:kern w:val="0"/>
      <w:sz w:val="28"/>
      <w:szCs w:val="28"/>
    </w:rPr>
  </w:style>
  <w:style w:type="character" w:customStyle="1" w:styleId="167">
    <w:name w:val="标题 6 Char Char"/>
    <w:qFormat/>
    <w:uiPriority w:val="0"/>
    <w:rPr>
      <w:rFonts w:ascii="Arial" w:hAnsi="Arial" w:eastAsia="黑体"/>
      <w:b/>
      <w:bCs/>
      <w:kern w:val="2"/>
      <w:sz w:val="24"/>
      <w:szCs w:val="24"/>
      <w:lang w:val="en-US" w:eastAsia="zh-CN" w:bidi="ar-SA"/>
    </w:rPr>
  </w:style>
  <w:style w:type="character" w:customStyle="1" w:styleId="168">
    <w:name w:val="标题 6 Char1"/>
    <w:qFormat/>
    <w:uiPriority w:val="0"/>
    <w:rPr>
      <w:rFonts w:ascii="Arial" w:hAnsi="Arial" w:eastAsia="黑体"/>
      <w:b/>
      <w:bCs/>
      <w:kern w:val="2"/>
      <w:sz w:val="24"/>
      <w:szCs w:val="24"/>
    </w:rPr>
  </w:style>
  <w:style w:type="paragraph" w:customStyle="1" w:styleId="169">
    <w:name w:val="五号表格"/>
    <w:basedOn w:val="1"/>
    <w:qFormat/>
    <w:uiPriority w:val="0"/>
    <w:pPr>
      <w:spacing w:line="240" w:lineRule="atLeast"/>
      <w:jc w:val="center"/>
    </w:pPr>
    <w:rPr>
      <w:rFonts w:ascii="Times New Roman" w:hAnsi="Times New Roman"/>
      <w:szCs w:val="24"/>
    </w:rPr>
  </w:style>
  <w:style w:type="paragraph" w:customStyle="1" w:styleId="170">
    <w:name w:val="Table Paragraph"/>
    <w:basedOn w:val="1"/>
    <w:qFormat/>
    <w:uiPriority w:val="1"/>
    <w:pPr>
      <w:jc w:val="left"/>
    </w:pPr>
    <w:rPr>
      <w:rFonts w:asciiTheme="minorHAnsi" w:hAnsiTheme="minorHAnsi" w:eastAsiaTheme="minorEastAsia" w:cstheme="minorBidi"/>
      <w:kern w:val="0"/>
      <w:sz w:val="22"/>
      <w:szCs w:val="22"/>
      <w:lang w:eastAsia="en-US"/>
    </w:rPr>
  </w:style>
  <w:style w:type="character" w:customStyle="1" w:styleId="171">
    <w:name w:val="m1"/>
    <w:qFormat/>
    <w:uiPriority w:val="0"/>
    <w:rPr>
      <w:u w:val="none"/>
    </w:rPr>
  </w:style>
  <w:style w:type="paragraph" w:customStyle="1" w:styleId="172">
    <w:name w:val="表头"/>
    <w:basedOn w:val="6"/>
    <w:link w:val="173"/>
    <w:qFormat/>
    <w:uiPriority w:val="0"/>
    <w:pPr>
      <w:spacing w:line="276" w:lineRule="auto"/>
      <w:ind w:firstLine="0" w:firstLineChars="0"/>
      <w:jc w:val="center"/>
    </w:pPr>
    <w:rPr>
      <w:rFonts w:cs="Times New Roman"/>
      <w:b/>
      <w:kern w:val="10"/>
      <w:szCs w:val="24"/>
    </w:rPr>
  </w:style>
  <w:style w:type="character" w:customStyle="1" w:styleId="173">
    <w:name w:val="表头 Char1"/>
    <w:link w:val="172"/>
    <w:qFormat/>
    <w:uiPriority w:val="0"/>
    <w:rPr>
      <w:rFonts w:ascii="Times New Roman" w:hAnsi="Times New Roman" w:eastAsia="宋体" w:cs="Times New Roman"/>
      <w:b/>
      <w:kern w:val="10"/>
      <w:sz w:val="24"/>
      <w:szCs w:val="24"/>
    </w:rPr>
  </w:style>
  <w:style w:type="paragraph" w:customStyle="1" w:styleId="174">
    <w:name w:val="表文字"/>
    <w:basedOn w:val="1"/>
    <w:link w:val="175"/>
    <w:qFormat/>
    <w:uiPriority w:val="0"/>
    <w:pPr>
      <w:spacing w:line="360" w:lineRule="auto"/>
      <w:jc w:val="center"/>
    </w:pPr>
    <w:rPr>
      <w:rFonts w:ascii="Times New Roman" w:hAnsi="Times New Roman"/>
      <w:kern w:val="10"/>
      <w:sz w:val="24"/>
      <w:szCs w:val="20"/>
    </w:rPr>
  </w:style>
  <w:style w:type="character" w:customStyle="1" w:styleId="175">
    <w:name w:val="表文字 Char"/>
    <w:link w:val="174"/>
    <w:qFormat/>
    <w:uiPriority w:val="0"/>
    <w:rPr>
      <w:kern w:val="10"/>
      <w:sz w:val="24"/>
    </w:rPr>
  </w:style>
  <w:style w:type="paragraph" w:customStyle="1" w:styleId="176">
    <w:name w:val="MTDisplayEquation"/>
    <w:basedOn w:val="1"/>
    <w:next w:val="1"/>
    <w:link w:val="177"/>
    <w:qFormat/>
    <w:uiPriority w:val="0"/>
    <w:pPr>
      <w:tabs>
        <w:tab w:val="center" w:pos="4160"/>
        <w:tab w:val="right" w:pos="8300"/>
      </w:tabs>
      <w:spacing w:line="360" w:lineRule="auto"/>
    </w:pPr>
    <w:rPr>
      <w:rFonts w:ascii="Times New Roman" w:hAnsi="Times New Roman"/>
      <w:sz w:val="24"/>
      <w:szCs w:val="22"/>
    </w:rPr>
  </w:style>
  <w:style w:type="character" w:customStyle="1" w:styleId="177">
    <w:name w:val="MTDisplayEquation Char"/>
    <w:link w:val="176"/>
    <w:qFormat/>
    <w:uiPriority w:val="0"/>
    <w:rPr>
      <w:rFonts w:ascii="Times New Roman" w:hAnsi="Times New Roman" w:eastAsia="宋体" w:cs="Times New Roman"/>
      <w:sz w:val="24"/>
    </w:rPr>
  </w:style>
  <w:style w:type="character" w:customStyle="1" w:styleId="178">
    <w:name w:val="标题 2 Char1"/>
    <w:qFormat/>
    <w:uiPriority w:val="0"/>
    <w:rPr>
      <w:rFonts w:ascii="Arial" w:hAnsi="Arial" w:eastAsia="黑体"/>
      <w:b/>
      <w:bCs/>
      <w:kern w:val="2"/>
      <w:sz w:val="32"/>
      <w:szCs w:val="32"/>
      <w:lang w:val="en-US" w:eastAsia="zh-CN" w:bidi="ar-SA"/>
    </w:rPr>
  </w:style>
  <w:style w:type="paragraph" w:customStyle="1" w:styleId="179">
    <w:name w:val="Char Char3 Char Char Char Char"/>
    <w:basedOn w:val="4"/>
    <w:qFormat/>
    <w:uiPriority w:val="0"/>
    <w:pPr>
      <w:numPr>
        <w:ilvl w:val="0"/>
        <w:numId w:val="0"/>
      </w:numPr>
      <w:tabs>
        <w:tab w:val="left" w:pos="360"/>
        <w:tab w:val="left" w:pos="900"/>
      </w:tabs>
      <w:adjustRightInd/>
      <w:spacing w:before="120" w:after="120"/>
      <w:ind w:left="542" w:leftChars="-12" w:firstLine="200" w:firstLineChars="200"/>
      <w:jc w:val="left"/>
    </w:pPr>
    <w:rPr>
      <w:rFonts w:eastAsia="黑体"/>
      <w:b w:val="0"/>
      <w:bCs w:val="0"/>
      <w:snapToGrid w:val="0"/>
      <w:kern w:val="2"/>
      <w:szCs w:val="24"/>
    </w:rPr>
  </w:style>
  <w:style w:type="paragraph" w:customStyle="1" w:styleId="180">
    <w:name w:val="lei Char"/>
    <w:basedOn w:val="1"/>
    <w:link w:val="181"/>
    <w:qFormat/>
    <w:uiPriority w:val="0"/>
    <w:pPr>
      <w:adjustRightInd w:val="0"/>
      <w:spacing w:line="560" w:lineRule="exact"/>
      <w:ind w:firstLine="565" w:firstLineChars="200"/>
    </w:pPr>
    <w:rPr>
      <w:rFonts w:ascii="Times New Roman" w:hAnsi="Times New Roman" w:eastAsia="仿宋_GB2312"/>
      <w:snapToGrid w:val="0"/>
      <w:sz w:val="28"/>
      <w:szCs w:val="28"/>
    </w:rPr>
  </w:style>
  <w:style w:type="character" w:customStyle="1" w:styleId="181">
    <w:name w:val="lei Char Char"/>
    <w:link w:val="180"/>
    <w:qFormat/>
    <w:uiPriority w:val="0"/>
    <w:rPr>
      <w:rFonts w:ascii="Times New Roman" w:hAnsi="Times New Roman" w:eastAsia="仿宋_GB2312" w:cs="Times New Roman"/>
      <w:snapToGrid w:val="0"/>
      <w:sz w:val="28"/>
      <w:szCs w:val="28"/>
    </w:rPr>
  </w:style>
  <w:style w:type="paragraph" w:customStyle="1" w:styleId="182">
    <w:name w:val="zh"/>
    <w:basedOn w:val="180"/>
    <w:qFormat/>
    <w:uiPriority w:val="0"/>
  </w:style>
  <w:style w:type="paragraph" w:customStyle="1" w:styleId="183">
    <w:name w:val="4"/>
    <w:basedOn w:val="1"/>
    <w:next w:val="18"/>
    <w:qFormat/>
    <w:uiPriority w:val="0"/>
    <w:pPr>
      <w:ind w:firstLine="420"/>
    </w:pPr>
    <w:rPr>
      <w:rFonts w:ascii="Times New Roman" w:hAnsi="Times New Roman"/>
      <w:szCs w:val="20"/>
    </w:rPr>
  </w:style>
  <w:style w:type="paragraph" w:customStyle="1" w:styleId="184">
    <w:name w:val="表名1"/>
    <w:basedOn w:val="1"/>
    <w:qFormat/>
    <w:uiPriority w:val="0"/>
    <w:pPr>
      <w:adjustRightInd w:val="0"/>
      <w:snapToGrid w:val="0"/>
      <w:spacing w:line="560" w:lineRule="exact"/>
      <w:jc w:val="center"/>
    </w:pPr>
    <w:rPr>
      <w:rFonts w:ascii="Times New Roman" w:hAnsi="Times New Roman" w:eastAsia="黑体"/>
      <w:sz w:val="24"/>
      <w:szCs w:val="24"/>
    </w:rPr>
  </w:style>
  <w:style w:type="paragraph" w:customStyle="1" w:styleId="185">
    <w:name w:val="样式-lei Char"/>
    <w:basedOn w:val="1"/>
    <w:link w:val="186"/>
    <w:qFormat/>
    <w:uiPriority w:val="0"/>
    <w:pPr>
      <w:spacing w:line="560" w:lineRule="exact"/>
      <w:ind w:firstLine="565" w:firstLineChars="200"/>
    </w:pPr>
    <w:rPr>
      <w:rFonts w:ascii="Times New Roman" w:hAnsi="Times New Roman" w:eastAsia="仿宋_GB2312"/>
      <w:sz w:val="28"/>
      <w:szCs w:val="28"/>
    </w:rPr>
  </w:style>
  <w:style w:type="character" w:customStyle="1" w:styleId="186">
    <w:name w:val="样式-lei Char Char"/>
    <w:link w:val="185"/>
    <w:qFormat/>
    <w:uiPriority w:val="0"/>
    <w:rPr>
      <w:rFonts w:ascii="Times New Roman" w:hAnsi="Times New Roman" w:eastAsia="仿宋_GB2312" w:cs="Times New Roman"/>
      <w:sz w:val="28"/>
      <w:szCs w:val="28"/>
    </w:rPr>
  </w:style>
  <w:style w:type="paragraph" w:customStyle="1" w:styleId="187">
    <w:name w:val="表内-文字"/>
    <w:basedOn w:val="1"/>
    <w:qFormat/>
    <w:uiPriority w:val="0"/>
    <w:pPr>
      <w:spacing w:line="320" w:lineRule="exact"/>
      <w:jc w:val="center"/>
    </w:pPr>
    <w:rPr>
      <w:rFonts w:ascii="Times New Roman" w:hAnsi="Times New Roman" w:eastAsia="楷体_GB2312" w:cs="宋体"/>
      <w:bCs/>
      <w:color w:val="000000"/>
    </w:rPr>
  </w:style>
  <w:style w:type="paragraph" w:customStyle="1" w:styleId="188">
    <w:name w:val="bg"/>
    <w:basedOn w:val="1"/>
    <w:qFormat/>
    <w:uiPriority w:val="0"/>
    <w:pPr>
      <w:adjustRightInd w:val="0"/>
      <w:spacing w:line="360" w:lineRule="exact"/>
      <w:jc w:val="center"/>
    </w:pPr>
    <w:rPr>
      <w:rFonts w:ascii="Times New Roman" w:hAnsi="Times New Roman" w:eastAsia="仿宋_GB2312"/>
      <w:kern w:val="0"/>
    </w:rPr>
  </w:style>
  <w:style w:type="paragraph" w:customStyle="1" w:styleId="189">
    <w:name w:val="bm"/>
    <w:basedOn w:val="1"/>
    <w:qFormat/>
    <w:uiPriority w:val="0"/>
    <w:pPr>
      <w:adjustRightInd w:val="0"/>
      <w:spacing w:before="139" w:beforeLines="30" w:after="46" w:afterLines="10" w:line="360" w:lineRule="exact"/>
      <w:jc w:val="center"/>
    </w:pPr>
    <w:rPr>
      <w:rFonts w:ascii="Times New Roman" w:hAnsi="Times New Roman" w:eastAsia="黑体"/>
      <w:snapToGrid w:val="0"/>
      <w:kern w:val="0"/>
      <w:sz w:val="24"/>
      <w:szCs w:val="24"/>
    </w:rPr>
  </w:style>
  <w:style w:type="paragraph" w:customStyle="1" w:styleId="190">
    <w:name w:val="样式 标题 2H2Heading 2 HiddenHeading 2 CCBS2nd levelh22Header..."/>
    <w:basedOn w:val="3"/>
    <w:qFormat/>
    <w:uiPriority w:val="0"/>
    <w:pPr>
      <w:numPr>
        <w:ilvl w:val="0"/>
        <w:numId w:val="0"/>
      </w:numPr>
      <w:snapToGrid/>
      <w:spacing w:before="120" w:after="120" w:line="560" w:lineRule="exact"/>
    </w:pPr>
    <w:rPr>
      <w:rFonts w:ascii="Times New Roman" w:hAnsi="Times New Roman" w:cs="宋体"/>
      <w:bCs w:val="0"/>
      <w:snapToGrid w:val="0"/>
      <w:sz w:val="30"/>
      <w:szCs w:val="20"/>
    </w:rPr>
  </w:style>
  <w:style w:type="paragraph" w:customStyle="1" w:styleId="191">
    <w:name w:val="样式 标题 3标题 3 Char + Times New Roman 首行缩进:  2 字符 段前: 6 磅 段后: 6..."/>
    <w:basedOn w:val="4"/>
    <w:qFormat/>
    <w:uiPriority w:val="0"/>
    <w:pPr>
      <w:numPr>
        <w:ilvl w:val="0"/>
        <w:numId w:val="0"/>
      </w:numPr>
      <w:snapToGrid/>
      <w:spacing w:before="120" w:after="120" w:line="560" w:lineRule="exact"/>
      <w:jc w:val="left"/>
    </w:pPr>
    <w:rPr>
      <w:rFonts w:eastAsia="黑体"/>
      <w:b w:val="0"/>
      <w:bCs w:val="0"/>
      <w:snapToGrid w:val="0"/>
      <w:sz w:val="28"/>
      <w:szCs w:val="20"/>
    </w:rPr>
  </w:style>
  <w:style w:type="paragraph" w:customStyle="1" w:styleId="192">
    <w:name w:val="Char Char1 Char Char Char"/>
    <w:basedOn w:val="1"/>
    <w:qFormat/>
    <w:uiPriority w:val="0"/>
    <w:pPr>
      <w:adjustRightInd w:val="0"/>
      <w:spacing w:line="360" w:lineRule="atLeast"/>
      <w:jc w:val="left"/>
      <w:textAlignment w:val="baseline"/>
    </w:pPr>
    <w:rPr>
      <w:rFonts w:ascii="Tahoma" w:hAnsi="Tahoma"/>
      <w:kern w:val="0"/>
      <w:sz w:val="24"/>
      <w:szCs w:val="20"/>
    </w:rPr>
  </w:style>
  <w:style w:type="paragraph" w:customStyle="1" w:styleId="193">
    <w:name w:val="Char Char"/>
    <w:basedOn w:val="1"/>
    <w:qFormat/>
    <w:uiPriority w:val="0"/>
    <w:pPr>
      <w:adjustRightInd w:val="0"/>
      <w:spacing w:line="360" w:lineRule="atLeast"/>
      <w:jc w:val="left"/>
      <w:textAlignment w:val="baseline"/>
    </w:pPr>
    <w:rPr>
      <w:rFonts w:ascii="Tahoma" w:hAnsi="Tahoma"/>
      <w:kern w:val="0"/>
      <w:sz w:val="24"/>
      <w:szCs w:val="20"/>
    </w:rPr>
  </w:style>
  <w:style w:type="paragraph" w:customStyle="1" w:styleId="194">
    <w:name w:val="样式 标题 1 + 四号 行距: 1.5 倍行距"/>
    <w:basedOn w:val="2"/>
    <w:qFormat/>
    <w:uiPriority w:val="0"/>
    <w:pPr>
      <w:keepLines w:val="0"/>
      <w:numPr>
        <w:numId w:val="0"/>
      </w:numPr>
      <w:adjustRightInd/>
      <w:snapToGrid/>
      <w:spacing w:before="156" w:beforeLines="50" w:line="440" w:lineRule="exact"/>
    </w:pPr>
    <w:rPr>
      <w:rFonts w:ascii="宋体" w:eastAsia="宋体"/>
      <w:b/>
      <w:iCs/>
      <w:kern w:val="2"/>
      <w:sz w:val="28"/>
      <w:szCs w:val="28"/>
    </w:rPr>
  </w:style>
  <w:style w:type="paragraph" w:customStyle="1" w:styleId="195">
    <w:name w:val="表名"/>
    <w:basedOn w:val="1"/>
    <w:link w:val="196"/>
    <w:qFormat/>
    <w:uiPriority w:val="0"/>
    <w:pPr>
      <w:adjustRightInd w:val="0"/>
      <w:spacing w:line="560" w:lineRule="exact"/>
      <w:jc w:val="center"/>
    </w:pPr>
    <w:rPr>
      <w:rFonts w:ascii="Times New Roman" w:hAnsi="Times New Roman" w:eastAsia="黑体"/>
      <w:snapToGrid w:val="0"/>
      <w:sz w:val="24"/>
      <w:szCs w:val="24"/>
    </w:rPr>
  </w:style>
  <w:style w:type="character" w:customStyle="1" w:styleId="196">
    <w:name w:val="表名 Char1"/>
    <w:link w:val="195"/>
    <w:qFormat/>
    <w:uiPriority w:val="0"/>
    <w:rPr>
      <w:rFonts w:ascii="Times New Roman" w:hAnsi="Times New Roman" w:eastAsia="黑体" w:cs="Times New Roman"/>
      <w:snapToGrid w:val="0"/>
      <w:sz w:val="24"/>
      <w:szCs w:val="24"/>
    </w:rPr>
  </w:style>
  <w:style w:type="paragraph" w:customStyle="1" w:styleId="197">
    <w:name w:val="样式-lei"/>
    <w:basedOn w:val="1"/>
    <w:qFormat/>
    <w:uiPriority w:val="0"/>
    <w:pPr>
      <w:spacing w:line="560" w:lineRule="exact"/>
      <w:ind w:firstLine="560" w:firstLineChars="200"/>
    </w:pPr>
    <w:rPr>
      <w:rFonts w:ascii="Times New Roman" w:hAnsi="Times New Roman" w:eastAsia="仿宋_GB2312"/>
      <w:sz w:val="28"/>
      <w:szCs w:val="28"/>
    </w:rPr>
  </w:style>
  <w:style w:type="paragraph" w:customStyle="1" w:styleId="198">
    <w:name w:val="样式2"/>
    <w:basedOn w:val="1"/>
    <w:link w:val="199"/>
    <w:qFormat/>
    <w:uiPriority w:val="0"/>
    <w:pPr>
      <w:adjustRightInd w:val="0"/>
      <w:spacing w:line="560" w:lineRule="exact"/>
      <w:ind w:firstLine="565" w:firstLineChars="200"/>
    </w:pPr>
    <w:rPr>
      <w:rFonts w:ascii="Times New Roman" w:hAnsi="Times New Roman" w:eastAsia="仿宋_GB2312"/>
      <w:snapToGrid w:val="0"/>
      <w:sz w:val="28"/>
      <w:szCs w:val="28"/>
    </w:rPr>
  </w:style>
  <w:style w:type="character" w:customStyle="1" w:styleId="199">
    <w:name w:val="样式2 Char"/>
    <w:link w:val="198"/>
    <w:qFormat/>
    <w:uiPriority w:val="0"/>
    <w:rPr>
      <w:rFonts w:ascii="Times New Roman" w:hAnsi="Times New Roman" w:eastAsia="仿宋_GB2312" w:cs="Times New Roman"/>
      <w:snapToGrid w:val="0"/>
      <w:sz w:val="28"/>
      <w:szCs w:val="28"/>
    </w:rPr>
  </w:style>
  <w:style w:type="character" w:customStyle="1" w:styleId="200">
    <w:name w:val="正文1 Char1"/>
    <w:qFormat/>
    <w:uiPriority w:val="0"/>
    <w:rPr>
      <w:rFonts w:eastAsia="仿宋_GB2312"/>
      <w:kern w:val="2"/>
      <w:sz w:val="28"/>
      <w:lang w:val="en-US" w:eastAsia="zh-CN" w:bidi="ar-SA"/>
    </w:rPr>
  </w:style>
  <w:style w:type="character" w:customStyle="1" w:styleId="201">
    <w:name w:val="apple-converted-space"/>
    <w:basedOn w:val="74"/>
    <w:qFormat/>
    <w:uiPriority w:val="0"/>
  </w:style>
  <w:style w:type="character" w:customStyle="1" w:styleId="202">
    <w:name w:val="words-outer-wrap"/>
    <w:basedOn w:val="74"/>
    <w:qFormat/>
    <w:uiPriority w:val="0"/>
  </w:style>
  <w:style w:type="character" w:customStyle="1" w:styleId="203">
    <w:name w:val="split-word"/>
    <w:basedOn w:val="74"/>
    <w:qFormat/>
    <w:uiPriority w:val="0"/>
  </w:style>
  <w:style w:type="character" w:customStyle="1" w:styleId="204">
    <w:name w:val="段落正文缩进 Char Char"/>
    <w:qFormat/>
    <w:uiPriority w:val="0"/>
    <w:rPr>
      <w:rFonts w:eastAsia="宋体"/>
      <w:kern w:val="2"/>
      <w:sz w:val="21"/>
      <w:szCs w:val="24"/>
      <w:lang w:val="en-US" w:eastAsia="zh-CN" w:bidi="ar-SA"/>
    </w:rPr>
  </w:style>
  <w:style w:type="character" w:customStyle="1" w:styleId="205">
    <w:name w:val="repeat-item"/>
    <w:basedOn w:val="74"/>
    <w:qFormat/>
    <w:uiPriority w:val="0"/>
  </w:style>
  <w:style w:type="character" w:customStyle="1" w:styleId="206">
    <w:name w:val="正文缩进 Char Char1"/>
    <w:qFormat/>
    <w:uiPriority w:val="0"/>
    <w:rPr>
      <w:rFonts w:eastAsia="宋体"/>
      <w:kern w:val="2"/>
      <w:sz w:val="21"/>
      <w:szCs w:val="24"/>
      <w:lang w:val="en-US" w:eastAsia="zh-CN" w:bidi="ar-SA"/>
    </w:rPr>
  </w:style>
  <w:style w:type="character" w:customStyle="1" w:styleId="207">
    <w:name w:val="fontstrikethrough"/>
    <w:qFormat/>
    <w:uiPriority w:val="0"/>
    <w:rPr>
      <w:strike/>
    </w:rPr>
  </w:style>
  <w:style w:type="character" w:customStyle="1" w:styleId="208">
    <w:name w:val="Char4"/>
    <w:qFormat/>
    <w:uiPriority w:val="0"/>
    <w:rPr>
      <w:rFonts w:eastAsia="黑体"/>
      <w:bCs/>
      <w:kern w:val="2"/>
      <w:sz w:val="28"/>
      <w:szCs w:val="28"/>
      <w:lang w:val="en-US" w:eastAsia="zh-CN" w:bidi="ar-SA"/>
    </w:rPr>
  </w:style>
  <w:style w:type="character" w:customStyle="1" w:styleId="209">
    <w:name w:val="Char"/>
    <w:qFormat/>
    <w:uiPriority w:val="0"/>
    <w:rPr>
      <w:rFonts w:eastAsia="宋体"/>
      <w:kern w:val="2"/>
      <w:sz w:val="18"/>
      <w:szCs w:val="18"/>
      <w:lang w:val="en-US" w:eastAsia="zh-CN" w:bidi="ar-SA"/>
    </w:rPr>
  </w:style>
  <w:style w:type="character" w:customStyle="1" w:styleId="210">
    <w:name w:val="grame"/>
    <w:basedOn w:val="74"/>
    <w:qFormat/>
    <w:uiPriority w:val="0"/>
  </w:style>
  <w:style w:type="character" w:customStyle="1" w:styleId="211">
    <w:name w:val="Char Char4"/>
    <w:qFormat/>
    <w:uiPriority w:val="0"/>
    <w:rPr>
      <w:rFonts w:eastAsia="宋体"/>
      <w:kern w:val="2"/>
      <w:sz w:val="21"/>
      <w:szCs w:val="24"/>
      <w:lang w:val="en-US" w:eastAsia="zh-CN" w:bidi="ar-SA"/>
    </w:rPr>
  </w:style>
  <w:style w:type="character" w:customStyle="1" w:styleId="212">
    <w:name w:val="fontborder"/>
    <w:qFormat/>
    <w:uiPriority w:val="0"/>
    <w:rPr>
      <w:bdr w:val="single" w:color="000000" w:sz="6" w:space="0"/>
    </w:rPr>
  </w:style>
  <w:style w:type="character" w:customStyle="1" w:styleId="213">
    <w:name w:val="Char2"/>
    <w:qFormat/>
    <w:uiPriority w:val="0"/>
    <w:rPr>
      <w:rFonts w:eastAsia="宋体"/>
      <w:kern w:val="2"/>
      <w:sz w:val="21"/>
      <w:szCs w:val="24"/>
      <w:lang w:val="en-US" w:eastAsia="zh-CN" w:bidi="ar-SA"/>
    </w:rPr>
  </w:style>
  <w:style w:type="character" w:customStyle="1" w:styleId="214">
    <w:name w:val="Char Char7"/>
    <w:qFormat/>
    <w:uiPriority w:val="0"/>
    <w:rPr>
      <w:rFonts w:eastAsia="黑体"/>
      <w:bCs/>
      <w:kern w:val="2"/>
      <w:sz w:val="28"/>
      <w:szCs w:val="28"/>
      <w:lang w:val="en-US" w:eastAsia="zh-CN" w:bidi="ar-SA"/>
    </w:rPr>
  </w:style>
  <w:style w:type="character" w:customStyle="1" w:styleId="215">
    <w:name w:val="Char Char6"/>
    <w:qFormat/>
    <w:uiPriority w:val="0"/>
    <w:rPr>
      <w:rFonts w:ascii="Arial" w:hAnsi="Arial" w:eastAsia="黑体"/>
      <w:b/>
      <w:bCs/>
      <w:kern w:val="2"/>
      <w:sz w:val="24"/>
      <w:szCs w:val="24"/>
      <w:lang w:val="en-US" w:eastAsia="zh-CN" w:bidi="ar-SA"/>
    </w:rPr>
  </w:style>
  <w:style w:type="character" w:customStyle="1" w:styleId="216">
    <w:name w:val="纯文本 Char1 Char"/>
    <w:qFormat/>
    <w:uiPriority w:val="0"/>
    <w:rPr>
      <w:rFonts w:ascii="宋体" w:hAnsi="Courier New" w:eastAsia="宋体" w:cs="Times New Roman"/>
      <w:szCs w:val="24"/>
    </w:rPr>
  </w:style>
  <w:style w:type="character" w:customStyle="1" w:styleId="217">
    <w:name w:val="引用 Char Char"/>
    <w:qFormat/>
    <w:uiPriority w:val="0"/>
    <w:rPr>
      <w:rFonts w:ascii="Calibri" w:hAnsi="Calibri" w:eastAsia="宋体"/>
      <w:i/>
      <w:iCs/>
      <w:color w:val="000000"/>
      <w:kern w:val="2"/>
      <w:sz w:val="21"/>
      <w:szCs w:val="24"/>
      <w:lang w:val="en-US" w:eastAsia="zh-CN" w:bidi="ar-SA"/>
    </w:rPr>
  </w:style>
  <w:style w:type="character" w:customStyle="1" w:styleId="218">
    <w:name w:val="纯文本 Char1 Char Char Char Char"/>
    <w:qFormat/>
    <w:uiPriority w:val="0"/>
    <w:rPr>
      <w:rFonts w:ascii="宋体" w:hAnsi="Courier New" w:eastAsia="宋体"/>
      <w:kern w:val="2"/>
      <w:sz w:val="21"/>
      <w:szCs w:val="24"/>
      <w:lang w:val="en-US" w:eastAsia="zh-CN" w:bidi="ar-SA"/>
    </w:rPr>
  </w:style>
  <w:style w:type="character" w:customStyle="1" w:styleId="219">
    <w:name w:val="标题 6 Char Char1"/>
    <w:qFormat/>
    <w:uiPriority w:val="0"/>
    <w:rPr>
      <w:rFonts w:ascii="Arial" w:hAnsi="Arial" w:eastAsia="黑体"/>
      <w:b/>
      <w:bCs/>
      <w:kern w:val="2"/>
      <w:sz w:val="24"/>
      <w:szCs w:val="24"/>
      <w:lang w:val="en-US" w:eastAsia="zh-CN" w:bidi="ar-SA"/>
    </w:rPr>
  </w:style>
  <w:style w:type="character" w:customStyle="1" w:styleId="220">
    <w:name w:val="正文缩进 Char Char Char1 Char"/>
    <w:qFormat/>
    <w:uiPriority w:val="0"/>
    <w:rPr>
      <w:rFonts w:eastAsia="宋体"/>
      <w:kern w:val="2"/>
      <w:sz w:val="21"/>
      <w:szCs w:val="24"/>
      <w:lang w:val="en-US" w:eastAsia="zh-CN" w:bidi="ar-SA"/>
    </w:rPr>
  </w:style>
  <w:style w:type="character" w:customStyle="1" w:styleId="221">
    <w:name w:val="lei Char Char Char"/>
    <w:qFormat/>
    <w:uiPriority w:val="0"/>
    <w:rPr>
      <w:rFonts w:eastAsia="仿宋_GB2312"/>
      <w:snapToGrid w:val="0"/>
      <w:kern w:val="2"/>
      <w:sz w:val="28"/>
      <w:szCs w:val="28"/>
      <w:lang w:val="en-US" w:eastAsia="zh-CN" w:bidi="ar-SA"/>
    </w:rPr>
  </w:style>
  <w:style w:type="character" w:customStyle="1" w:styleId="222">
    <w:name w:val="正文（布） Char"/>
    <w:link w:val="223"/>
    <w:qFormat/>
    <w:uiPriority w:val="0"/>
    <w:rPr>
      <w:rFonts w:eastAsia="仿宋_GB2312"/>
      <w:sz w:val="28"/>
      <w:szCs w:val="28"/>
    </w:rPr>
  </w:style>
  <w:style w:type="paragraph" w:customStyle="1" w:styleId="223">
    <w:name w:val="正文（布）"/>
    <w:basedOn w:val="1"/>
    <w:link w:val="222"/>
    <w:qFormat/>
    <w:uiPriority w:val="0"/>
    <w:pPr>
      <w:spacing w:line="520" w:lineRule="exact"/>
      <w:ind w:firstLine="560" w:firstLineChars="200"/>
    </w:pPr>
    <w:rPr>
      <w:rFonts w:eastAsia="仿宋_GB2312" w:asciiTheme="minorHAnsi" w:hAnsiTheme="minorHAnsi" w:cstheme="minorBidi"/>
      <w:sz w:val="28"/>
      <w:szCs w:val="28"/>
    </w:rPr>
  </w:style>
  <w:style w:type="character" w:customStyle="1" w:styleId="224">
    <w:name w:val="Char6"/>
    <w:qFormat/>
    <w:uiPriority w:val="0"/>
    <w:rPr>
      <w:rFonts w:ascii="Arial" w:hAnsi="Arial" w:eastAsia="黑体"/>
      <w:b/>
      <w:bCs/>
      <w:kern w:val="2"/>
      <w:sz w:val="28"/>
      <w:szCs w:val="28"/>
      <w:lang w:val="en-US" w:eastAsia="zh-CN" w:bidi="ar-SA"/>
    </w:rPr>
  </w:style>
  <w:style w:type="character" w:customStyle="1" w:styleId="225">
    <w:name w:val="Char5"/>
    <w:qFormat/>
    <w:uiPriority w:val="0"/>
    <w:rPr>
      <w:rFonts w:eastAsia="黑体"/>
      <w:bCs/>
      <w:kern w:val="2"/>
      <w:sz w:val="28"/>
      <w:szCs w:val="28"/>
      <w:lang w:val="en-US" w:eastAsia="zh-CN" w:bidi="ar-SA"/>
    </w:rPr>
  </w:style>
  <w:style w:type="character" w:customStyle="1" w:styleId="226">
    <w:name w:val="引用 Char"/>
    <w:link w:val="227"/>
    <w:qFormat/>
    <w:uiPriority w:val="0"/>
    <w:rPr>
      <w:rFonts w:ascii="Calibri" w:hAnsi="Calibri"/>
      <w:i/>
      <w:iCs/>
      <w:color w:val="000000"/>
      <w:szCs w:val="24"/>
    </w:rPr>
  </w:style>
  <w:style w:type="paragraph" w:styleId="227">
    <w:name w:val="Quote"/>
    <w:basedOn w:val="1"/>
    <w:next w:val="1"/>
    <w:link w:val="226"/>
    <w:qFormat/>
    <w:uiPriority w:val="0"/>
    <w:rPr>
      <w:rFonts w:eastAsiaTheme="minorEastAsia" w:cstheme="minorBidi"/>
      <w:i/>
      <w:iCs/>
      <w:color w:val="000000"/>
      <w:szCs w:val="24"/>
    </w:rPr>
  </w:style>
  <w:style w:type="character" w:customStyle="1" w:styleId="228">
    <w:name w:val="font3"/>
    <w:basedOn w:val="74"/>
    <w:qFormat/>
    <w:uiPriority w:val="0"/>
  </w:style>
  <w:style w:type="character" w:customStyle="1" w:styleId="229">
    <w:name w:val="Char3"/>
    <w:qFormat/>
    <w:uiPriority w:val="0"/>
    <w:rPr>
      <w:rFonts w:ascii="宋体" w:hAnsi="Courier New" w:eastAsia="宋体"/>
      <w:kern w:val="2"/>
      <w:sz w:val="21"/>
      <w:szCs w:val="24"/>
      <w:lang w:val="en-US" w:eastAsia="zh-CN" w:bidi="ar-SA"/>
    </w:rPr>
  </w:style>
  <w:style w:type="paragraph" w:customStyle="1" w:styleId="230">
    <w:name w:val="z-窗体顶端1"/>
    <w:basedOn w:val="1"/>
    <w:next w:val="1"/>
    <w:link w:val="231"/>
    <w:qFormat/>
    <w:uiPriority w:val="0"/>
    <w:pPr>
      <w:pBdr>
        <w:bottom w:val="single" w:color="auto" w:sz="6" w:space="1"/>
      </w:pBdr>
      <w:jc w:val="center"/>
    </w:pPr>
    <w:rPr>
      <w:rFonts w:ascii="Arial" w:hAnsi="Times New Roman"/>
      <w:vanish/>
      <w:sz w:val="16"/>
      <w:szCs w:val="22"/>
    </w:rPr>
  </w:style>
  <w:style w:type="character" w:customStyle="1" w:styleId="231">
    <w:name w:val="z-窗体顶端 Char"/>
    <w:basedOn w:val="74"/>
    <w:link w:val="230"/>
    <w:qFormat/>
    <w:uiPriority w:val="0"/>
    <w:rPr>
      <w:rFonts w:ascii="Arial" w:hAnsi="Times New Roman" w:eastAsia="宋体" w:cs="Times New Roman"/>
      <w:vanish/>
      <w:sz w:val="16"/>
    </w:rPr>
  </w:style>
  <w:style w:type="paragraph" w:customStyle="1" w:styleId="232">
    <w:name w:val="xl77"/>
    <w:basedOn w:val="1"/>
    <w:qFormat/>
    <w:uiPriority w:val="0"/>
    <w:pPr>
      <w:widowControl/>
      <w:spacing w:before="100" w:beforeAutospacing="1" w:after="100" w:afterAutospacing="1"/>
      <w:jc w:val="left"/>
      <w:textAlignment w:val="bottom"/>
    </w:pPr>
    <w:rPr>
      <w:rFonts w:ascii="Times New Roman" w:hAnsi="Times New Roman"/>
      <w:b/>
      <w:bCs/>
      <w:i/>
      <w:iCs/>
      <w:kern w:val="0"/>
      <w:sz w:val="24"/>
      <w:szCs w:val="24"/>
    </w:rPr>
  </w:style>
  <w:style w:type="paragraph" w:customStyle="1" w:styleId="233">
    <w:name w:val="xl65"/>
    <w:basedOn w:val="1"/>
    <w:qFormat/>
    <w:uiPriority w:val="0"/>
    <w:pPr>
      <w:widowControl/>
      <w:spacing w:before="100" w:beforeAutospacing="1" w:after="100" w:afterAutospacing="1"/>
      <w:jc w:val="left"/>
      <w:textAlignment w:val="bottom"/>
    </w:pPr>
    <w:rPr>
      <w:rFonts w:ascii="Times New Roman" w:hAnsi="Times New Roman"/>
      <w:i/>
      <w:iCs/>
      <w:kern w:val="0"/>
      <w:sz w:val="24"/>
      <w:szCs w:val="24"/>
    </w:rPr>
  </w:style>
  <w:style w:type="paragraph" w:customStyle="1" w:styleId="234">
    <w:name w:val="xl69"/>
    <w:basedOn w:val="1"/>
    <w:qFormat/>
    <w:uiPriority w:val="0"/>
    <w:pPr>
      <w:widowControl/>
      <w:spacing w:before="100" w:beforeAutospacing="1" w:after="100" w:afterAutospacing="1"/>
      <w:jc w:val="left"/>
    </w:pPr>
    <w:rPr>
      <w:rFonts w:ascii="Times New Roman" w:hAnsi="Times New Roman"/>
      <w:i/>
      <w:iCs/>
      <w:kern w:val="0"/>
      <w:sz w:val="24"/>
      <w:szCs w:val="24"/>
    </w:rPr>
  </w:style>
  <w:style w:type="paragraph" w:customStyle="1" w:styleId="235">
    <w:name w:val="font15"/>
    <w:basedOn w:val="1"/>
    <w:qFormat/>
    <w:uiPriority w:val="0"/>
    <w:pPr>
      <w:widowControl/>
      <w:spacing w:before="100" w:beforeAutospacing="1" w:after="100" w:afterAutospacing="1"/>
      <w:jc w:val="left"/>
    </w:pPr>
    <w:rPr>
      <w:rFonts w:ascii="Times New Roman" w:hAnsi="Times New Roman"/>
      <w:color w:val="000000"/>
      <w:kern w:val="0"/>
      <w:sz w:val="24"/>
      <w:szCs w:val="24"/>
    </w:rPr>
  </w:style>
  <w:style w:type="paragraph" w:customStyle="1" w:styleId="236">
    <w:name w:val="xl83"/>
    <w:basedOn w:val="1"/>
    <w:qFormat/>
    <w:uiPriority w:val="0"/>
    <w:pPr>
      <w:widowControl/>
      <w:spacing w:before="100" w:beforeAutospacing="1" w:after="100" w:afterAutospacing="1"/>
      <w:jc w:val="left"/>
      <w:textAlignment w:val="top"/>
    </w:pPr>
    <w:rPr>
      <w:rFonts w:ascii="Times New Roman" w:hAnsi="Times New Roman"/>
      <w:b/>
      <w:bCs/>
      <w:kern w:val="0"/>
      <w:sz w:val="24"/>
      <w:szCs w:val="24"/>
    </w:rPr>
  </w:style>
  <w:style w:type="character" w:customStyle="1" w:styleId="237">
    <w:name w:val="引用 Char1"/>
    <w:basedOn w:val="74"/>
    <w:qFormat/>
    <w:uiPriority w:val="29"/>
    <w:rPr>
      <w:rFonts w:ascii="Calibri" w:hAnsi="Calibri" w:eastAsia="宋体" w:cs="Times New Roman"/>
      <w:i/>
      <w:iCs/>
      <w:color w:val="404040" w:themeColor="text1" w:themeTint="BF"/>
      <w:szCs w:val="21"/>
      <w14:textFill>
        <w14:solidFill>
          <w14:schemeClr w14:val="tx1">
            <w14:lumMod w14:val="75000"/>
            <w14:lumOff w14:val="25000"/>
          </w14:schemeClr>
        </w14:solidFill>
      </w14:textFill>
    </w:rPr>
  </w:style>
  <w:style w:type="paragraph" w:customStyle="1" w:styleId="238">
    <w:name w:val="xl66"/>
    <w:basedOn w:val="1"/>
    <w:qFormat/>
    <w:uiPriority w:val="0"/>
    <w:pPr>
      <w:widowControl/>
      <w:spacing w:before="100" w:beforeAutospacing="1" w:after="100" w:afterAutospacing="1"/>
    </w:pPr>
    <w:rPr>
      <w:rFonts w:ascii="Times New Roman" w:hAnsi="Times New Roman"/>
      <w:i/>
      <w:iCs/>
      <w:kern w:val="0"/>
      <w:sz w:val="24"/>
      <w:szCs w:val="24"/>
    </w:rPr>
  </w:style>
  <w:style w:type="paragraph" w:customStyle="1" w:styleId="239">
    <w:name w:val="3"/>
    <w:basedOn w:val="4"/>
    <w:qFormat/>
    <w:uiPriority w:val="0"/>
    <w:pPr>
      <w:numPr>
        <w:ilvl w:val="0"/>
        <w:numId w:val="0"/>
      </w:numPr>
      <w:tabs>
        <w:tab w:val="left" w:pos="360"/>
        <w:tab w:val="left" w:pos="900"/>
      </w:tabs>
      <w:adjustRightInd/>
      <w:spacing w:before="120" w:after="120"/>
      <w:ind w:left="542" w:leftChars="-12" w:firstLine="200" w:firstLineChars="200"/>
      <w:jc w:val="left"/>
    </w:pPr>
    <w:rPr>
      <w:rFonts w:eastAsia="黑体"/>
      <w:b w:val="0"/>
      <w:bCs w:val="0"/>
      <w:snapToGrid w:val="0"/>
      <w:kern w:val="2"/>
      <w:szCs w:val="24"/>
    </w:rPr>
  </w:style>
  <w:style w:type="paragraph" w:customStyle="1" w:styleId="240">
    <w:name w:val="font5"/>
    <w:basedOn w:val="1"/>
    <w:qFormat/>
    <w:uiPriority w:val="0"/>
    <w:pPr>
      <w:widowControl/>
      <w:spacing w:before="100" w:beforeAutospacing="1" w:after="100" w:afterAutospacing="1"/>
      <w:jc w:val="left"/>
    </w:pPr>
    <w:rPr>
      <w:rFonts w:ascii="Times New Roman" w:hAnsi="Times New Roman"/>
      <w:kern w:val="0"/>
      <w:sz w:val="24"/>
      <w:szCs w:val="24"/>
    </w:rPr>
  </w:style>
  <w:style w:type="paragraph" w:customStyle="1" w:styleId="241">
    <w:name w:val="font16"/>
    <w:basedOn w:val="1"/>
    <w:qFormat/>
    <w:uiPriority w:val="0"/>
    <w:pPr>
      <w:widowControl/>
      <w:spacing w:before="100" w:beforeAutospacing="1" w:after="100" w:afterAutospacing="1"/>
      <w:jc w:val="left"/>
    </w:pPr>
    <w:rPr>
      <w:rFonts w:ascii="Arial" w:hAnsi="Arial" w:cs="Arial"/>
      <w:i/>
      <w:iCs/>
      <w:color w:val="000000"/>
      <w:kern w:val="0"/>
      <w:sz w:val="24"/>
      <w:szCs w:val="24"/>
    </w:rPr>
  </w:style>
  <w:style w:type="paragraph" w:customStyle="1" w:styleId="242">
    <w:name w:val="Char Char1 Char Char Char Char Char Char1"/>
    <w:basedOn w:val="1"/>
    <w:qFormat/>
    <w:uiPriority w:val="0"/>
    <w:pPr>
      <w:adjustRightInd w:val="0"/>
      <w:spacing w:line="360" w:lineRule="atLeast"/>
      <w:jc w:val="left"/>
      <w:textAlignment w:val="baseline"/>
    </w:pPr>
    <w:rPr>
      <w:rFonts w:ascii="Tahoma" w:hAnsi="Tahoma"/>
      <w:kern w:val="0"/>
      <w:sz w:val="24"/>
      <w:szCs w:val="20"/>
    </w:rPr>
  </w:style>
  <w:style w:type="paragraph" w:customStyle="1" w:styleId="243">
    <w:name w:val="xl72"/>
    <w:basedOn w:val="1"/>
    <w:qFormat/>
    <w:uiPriority w:val="0"/>
    <w:pPr>
      <w:widowControl/>
      <w:spacing w:before="100" w:beforeAutospacing="1" w:after="100" w:afterAutospacing="1"/>
      <w:jc w:val="left"/>
    </w:pPr>
    <w:rPr>
      <w:rFonts w:ascii="宋体" w:hAnsi="宋体" w:cs="宋体"/>
      <w:b/>
      <w:bCs/>
      <w:kern w:val="0"/>
      <w:sz w:val="24"/>
      <w:szCs w:val="24"/>
    </w:rPr>
  </w:style>
  <w:style w:type="paragraph" w:customStyle="1" w:styleId="244">
    <w:name w:val="xl82"/>
    <w:basedOn w:val="1"/>
    <w:qFormat/>
    <w:uiPriority w:val="0"/>
    <w:pPr>
      <w:widowControl/>
      <w:spacing w:before="100" w:beforeAutospacing="1" w:after="100" w:afterAutospacing="1"/>
    </w:pPr>
    <w:rPr>
      <w:rFonts w:ascii="宋体" w:hAnsi="宋体" w:cs="宋体"/>
      <w:b/>
      <w:bCs/>
      <w:kern w:val="0"/>
      <w:sz w:val="24"/>
      <w:szCs w:val="24"/>
    </w:rPr>
  </w:style>
  <w:style w:type="paragraph" w:customStyle="1" w:styleId="245">
    <w:name w:val="Char Char9 Char"/>
    <w:basedOn w:val="4"/>
    <w:qFormat/>
    <w:uiPriority w:val="0"/>
    <w:pPr>
      <w:numPr>
        <w:ilvl w:val="0"/>
        <w:numId w:val="0"/>
      </w:numPr>
      <w:tabs>
        <w:tab w:val="left" w:pos="360"/>
        <w:tab w:val="left" w:pos="900"/>
      </w:tabs>
      <w:adjustRightInd/>
      <w:spacing w:before="120" w:after="120"/>
      <w:ind w:left="542" w:leftChars="-12" w:firstLine="200" w:firstLineChars="200"/>
      <w:jc w:val="left"/>
    </w:pPr>
    <w:rPr>
      <w:rFonts w:eastAsia="黑体"/>
      <w:b w:val="0"/>
      <w:bCs w:val="0"/>
      <w:snapToGrid w:val="0"/>
      <w:kern w:val="2"/>
      <w:szCs w:val="24"/>
    </w:rPr>
  </w:style>
  <w:style w:type="paragraph" w:customStyle="1" w:styleId="246">
    <w:name w:val="xl81"/>
    <w:basedOn w:val="1"/>
    <w:qFormat/>
    <w:uiPriority w:val="0"/>
    <w:pPr>
      <w:widowControl/>
      <w:spacing w:before="100" w:beforeAutospacing="1" w:after="100" w:afterAutospacing="1"/>
    </w:pPr>
    <w:rPr>
      <w:rFonts w:ascii="Times New Roman" w:hAnsi="Times New Roman"/>
      <w:b/>
      <w:bCs/>
      <w:kern w:val="0"/>
      <w:sz w:val="24"/>
      <w:szCs w:val="24"/>
    </w:rPr>
  </w:style>
  <w:style w:type="paragraph" w:customStyle="1" w:styleId="247">
    <w:name w:val="xl76"/>
    <w:basedOn w:val="1"/>
    <w:qFormat/>
    <w:uiPriority w:val="0"/>
    <w:pPr>
      <w:widowControl/>
      <w:spacing w:before="100" w:beforeAutospacing="1" w:after="100" w:afterAutospacing="1"/>
      <w:jc w:val="left"/>
    </w:pPr>
    <w:rPr>
      <w:rFonts w:ascii="Times New Roman" w:hAnsi="Times New Roman"/>
      <w:b/>
      <w:bCs/>
      <w:kern w:val="0"/>
      <w:sz w:val="24"/>
      <w:szCs w:val="24"/>
    </w:rPr>
  </w:style>
  <w:style w:type="paragraph" w:customStyle="1" w:styleId="248">
    <w:name w:val="xl86"/>
    <w:basedOn w:val="1"/>
    <w:qFormat/>
    <w:uiPriority w:val="0"/>
    <w:pPr>
      <w:widowControl/>
      <w:spacing w:before="100" w:beforeAutospacing="1" w:after="100" w:afterAutospacing="1"/>
      <w:jc w:val="left"/>
      <w:textAlignment w:val="top"/>
    </w:pPr>
    <w:rPr>
      <w:rFonts w:ascii="Times New Roman" w:hAnsi="Times New Roman"/>
      <w:i/>
      <w:iCs/>
      <w:kern w:val="0"/>
      <w:sz w:val="24"/>
      <w:szCs w:val="24"/>
    </w:rPr>
  </w:style>
  <w:style w:type="paragraph" w:customStyle="1" w:styleId="249">
    <w:name w:val="xl75"/>
    <w:basedOn w:val="1"/>
    <w:qFormat/>
    <w:uiPriority w:val="0"/>
    <w:pPr>
      <w:widowControl/>
      <w:spacing w:before="100" w:beforeAutospacing="1" w:after="100" w:afterAutospacing="1"/>
    </w:pPr>
    <w:rPr>
      <w:rFonts w:ascii="宋体" w:hAnsi="宋体" w:cs="宋体"/>
      <w:kern w:val="0"/>
      <w:sz w:val="24"/>
      <w:szCs w:val="24"/>
    </w:rPr>
  </w:style>
  <w:style w:type="paragraph" w:customStyle="1" w:styleId="250">
    <w:name w:val="xl68"/>
    <w:basedOn w:val="1"/>
    <w:qFormat/>
    <w:uiPriority w:val="0"/>
    <w:pPr>
      <w:widowControl/>
      <w:spacing w:before="100" w:beforeAutospacing="1" w:after="100" w:afterAutospacing="1"/>
      <w:jc w:val="left"/>
      <w:textAlignment w:val="bottom"/>
    </w:pPr>
    <w:rPr>
      <w:rFonts w:ascii="宋体" w:hAnsi="宋体" w:cs="宋体"/>
      <w:kern w:val="0"/>
      <w:sz w:val="24"/>
      <w:szCs w:val="24"/>
    </w:rPr>
  </w:style>
  <w:style w:type="paragraph" w:customStyle="1" w:styleId="251">
    <w:name w:val="font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52">
    <w:name w:val="xl87"/>
    <w:basedOn w:val="1"/>
    <w:qFormat/>
    <w:uiPriority w:val="0"/>
    <w:pPr>
      <w:widowControl/>
      <w:spacing w:before="100" w:beforeAutospacing="1" w:after="100" w:afterAutospacing="1"/>
      <w:jc w:val="left"/>
      <w:textAlignment w:val="top"/>
    </w:pPr>
    <w:rPr>
      <w:rFonts w:ascii="Times New Roman" w:hAnsi="Times New Roman"/>
      <w:b/>
      <w:bCs/>
      <w:kern w:val="0"/>
      <w:sz w:val="28"/>
      <w:szCs w:val="28"/>
    </w:rPr>
  </w:style>
  <w:style w:type="paragraph" w:customStyle="1" w:styleId="253">
    <w:name w:val="Char Char1 Char Char Char Char Char Char"/>
    <w:basedOn w:val="1"/>
    <w:qFormat/>
    <w:uiPriority w:val="0"/>
    <w:pPr>
      <w:adjustRightInd w:val="0"/>
      <w:spacing w:line="360" w:lineRule="atLeast"/>
      <w:jc w:val="left"/>
      <w:textAlignment w:val="baseline"/>
    </w:pPr>
    <w:rPr>
      <w:rFonts w:ascii="Tahoma" w:hAnsi="Tahoma"/>
      <w:kern w:val="0"/>
      <w:sz w:val="24"/>
      <w:szCs w:val="20"/>
    </w:rPr>
  </w:style>
  <w:style w:type="paragraph" w:customStyle="1" w:styleId="254">
    <w:name w:val="font10"/>
    <w:basedOn w:val="1"/>
    <w:qFormat/>
    <w:uiPriority w:val="0"/>
    <w:pPr>
      <w:widowControl/>
      <w:spacing w:before="100" w:beforeAutospacing="1" w:after="100" w:afterAutospacing="1"/>
      <w:jc w:val="left"/>
    </w:pPr>
    <w:rPr>
      <w:rFonts w:ascii="宋体" w:hAnsi="宋体" w:cs="宋体"/>
      <w:b/>
      <w:bCs/>
      <w:kern w:val="0"/>
      <w:sz w:val="24"/>
      <w:szCs w:val="24"/>
    </w:rPr>
  </w:style>
  <w:style w:type="paragraph" w:customStyle="1" w:styleId="255">
    <w:name w:val="xl92"/>
    <w:basedOn w:val="1"/>
    <w:qFormat/>
    <w:uiPriority w:val="0"/>
    <w:pPr>
      <w:widowControl/>
      <w:spacing w:before="100" w:beforeAutospacing="1" w:after="100" w:afterAutospacing="1"/>
      <w:jc w:val="left"/>
      <w:textAlignment w:val="bottom"/>
    </w:pPr>
    <w:rPr>
      <w:rFonts w:ascii="宋体" w:hAnsi="宋体" w:cs="宋体"/>
      <w:kern w:val="0"/>
      <w:sz w:val="24"/>
      <w:szCs w:val="24"/>
    </w:rPr>
  </w:style>
  <w:style w:type="paragraph" w:customStyle="1" w:styleId="256">
    <w:name w:val="xl88"/>
    <w:basedOn w:val="1"/>
    <w:qFormat/>
    <w:uiPriority w:val="0"/>
    <w:pPr>
      <w:widowControl/>
      <w:spacing w:before="100" w:beforeAutospacing="1" w:after="100" w:afterAutospacing="1"/>
      <w:jc w:val="left"/>
    </w:pPr>
    <w:rPr>
      <w:rFonts w:ascii="宋体" w:hAnsi="宋体" w:cs="宋体"/>
      <w:b/>
      <w:bCs/>
      <w:kern w:val="0"/>
      <w:sz w:val="24"/>
      <w:szCs w:val="24"/>
    </w:rPr>
  </w:style>
  <w:style w:type="paragraph" w:customStyle="1" w:styleId="257">
    <w:name w:val="xl70"/>
    <w:basedOn w:val="1"/>
    <w:qFormat/>
    <w:uiPriority w:val="0"/>
    <w:pPr>
      <w:widowControl/>
      <w:spacing w:before="100" w:beforeAutospacing="1" w:after="100" w:afterAutospacing="1"/>
      <w:jc w:val="left"/>
    </w:pPr>
    <w:rPr>
      <w:rFonts w:ascii="Times New Roman" w:hAnsi="Times New Roman"/>
      <w:kern w:val="0"/>
      <w:sz w:val="24"/>
      <w:szCs w:val="24"/>
    </w:rPr>
  </w:style>
  <w:style w:type="paragraph" w:customStyle="1" w:styleId="258">
    <w:name w:val="普通(Web)1"/>
    <w:basedOn w:val="1"/>
    <w:qFormat/>
    <w:uiPriority w:val="0"/>
    <w:pPr>
      <w:widowControl/>
      <w:wordWrap w:val="0"/>
      <w:spacing w:before="150" w:after="150"/>
      <w:jc w:val="left"/>
    </w:pPr>
    <w:rPr>
      <w:rFonts w:ascii="宋体" w:hAnsi="宋体" w:cs="宋体"/>
      <w:kern w:val="0"/>
      <w:sz w:val="24"/>
      <w:szCs w:val="24"/>
    </w:rPr>
  </w:style>
  <w:style w:type="paragraph" w:customStyle="1" w:styleId="259">
    <w:name w:val="z-窗体底端1"/>
    <w:basedOn w:val="1"/>
    <w:next w:val="1"/>
    <w:link w:val="260"/>
    <w:qFormat/>
    <w:uiPriority w:val="0"/>
    <w:pPr>
      <w:pBdr>
        <w:top w:val="single" w:color="auto" w:sz="6" w:space="1"/>
      </w:pBdr>
      <w:jc w:val="center"/>
    </w:pPr>
    <w:rPr>
      <w:rFonts w:ascii="Arial" w:hAnsi="Times New Roman"/>
      <w:vanish/>
      <w:sz w:val="16"/>
      <w:szCs w:val="22"/>
    </w:rPr>
  </w:style>
  <w:style w:type="character" w:customStyle="1" w:styleId="260">
    <w:name w:val="z-窗体底端 Char"/>
    <w:basedOn w:val="74"/>
    <w:link w:val="259"/>
    <w:qFormat/>
    <w:uiPriority w:val="0"/>
    <w:rPr>
      <w:rFonts w:ascii="Arial" w:hAnsi="Times New Roman" w:eastAsia="宋体" w:cs="Times New Roman"/>
      <w:vanish/>
      <w:sz w:val="16"/>
    </w:rPr>
  </w:style>
  <w:style w:type="paragraph" w:customStyle="1" w:styleId="261">
    <w:name w:val="xl74"/>
    <w:basedOn w:val="1"/>
    <w:qFormat/>
    <w:uiPriority w:val="0"/>
    <w:pPr>
      <w:widowControl/>
      <w:spacing w:before="100" w:beforeAutospacing="1" w:after="100" w:afterAutospacing="1"/>
      <w:jc w:val="left"/>
      <w:textAlignment w:val="bottom"/>
    </w:pPr>
    <w:rPr>
      <w:rFonts w:ascii="Times New Roman" w:hAnsi="Times New Roman"/>
      <w:b/>
      <w:bCs/>
      <w:kern w:val="0"/>
      <w:sz w:val="24"/>
      <w:szCs w:val="24"/>
    </w:rPr>
  </w:style>
  <w:style w:type="paragraph" w:customStyle="1" w:styleId="262">
    <w:name w:val="xl79"/>
    <w:basedOn w:val="1"/>
    <w:qFormat/>
    <w:uiPriority w:val="0"/>
    <w:pPr>
      <w:widowControl/>
      <w:shd w:val="clear" w:color="auto" w:fill="FFFFFF"/>
      <w:spacing w:before="100" w:beforeAutospacing="1" w:after="100" w:afterAutospacing="1"/>
      <w:jc w:val="left"/>
      <w:textAlignment w:val="bottom"/>
    </w:pPr>
    <w:rPr>
      <w:rFonts w:ascii="Times New Roman" w:hAnsi="Times New Roman"/>
      <w:b/>
      <w:bCs/>
      <w:kern w:val="0"/>
      <w:sz w:val="24"/>
      <w:szCs w:val="24"/>
    </w:rPr>
  </w:style>
  <w:style w:type="paragraph" w:customStyle="1" w:styleId="263">
    <w:name w:val="font12"/>
    <w:basedOn w:val="1"/>
    <w:qFormat/>
    <w:uiPriority w:val="0"/>
    <w:pPr>
      <w:widowControl/>
      <w:spacing w:before="100" w:beforeAutospacing="1" w:after="100" w:afterAutospacing="1"/>
      <w:jc w:val="left"/>
    </w:pPr>
    <w:rPr>
      <w:rFonts w:ascii="Times New Roman" w:hAnsi="Times New Roman"/>
      <w:b/>
      <w:bCs/>
      <w:i/>
      <w:iCs/>
      <w:kern w:val="0"/>
      <w:sz w:val="24"/>
      <w:szCs w:val="24"/>
    </w:rPr>
  </w:style>
  <w:style w:type="paragraph" w:customStyle="1" w:styleId="264">
    <w:name w:val="xl91"/>
    <w:basedOn w:val="1"/>
    <w:qFormat/>
    <w:uiPriority w:val="0"/>
    <w:pPr>
      <w:widowControl/>
      <w:spacing w:before="100" w:beforeAutospacing="1" w:after="100" w:afterAutospacing="1"/>
      <w:jc w:val="left"/>
      <w:textAlignment w:val="bottom"/>
    </w:pPr>
    <w:rPr>
      <w:rFonts w:ascii="宋体" w:hAnsi="宋体" w:cs="宋体"/>
      <w:kern w:val="0"/>
      <w:sz w:val="24"/>
      <w:szCs w:val="24"/>
    </w:rPr>
  </w:style>
  <w:style w:type="paragraph" w:customStyle="1" w:styleId="265">
    <w:name w:val="font13"/>
    <w:basedOn w:val="1"/>
    <w:qFormat/>
    <w:uiPriority w:val="0"/>
    <w:pPr>
      <w:widowControl/>
      <w:spacing w:before="100" w:beforeAutospacing="1" w:after="100" w:afterAutospacing="1"/>
      <w:jc w:val="left"/>
    </w:pPr>
    <w:rPr>
      <w:rFonts w:ascii="宋体" w:hAnsi="宋体" w:cs="宋体"/>
      <w:b/>
      <w:bCs/>
      <w:kern w:val="0"/>
      <w:sz w:val="28"/>
      <w:szCs w:val="28"/>
    </w:rPr>
  </w:style>
  <w:style w:type="paragraph" w:customStyle="1" w:styleId="266">
    <w:name w:val="Char2 Char Char Char Char"/>
    <w:basedOn w:val="1"/>
    <w:qFormat/>
    <w:uiPriority w:val="0"/>
    <w:pPr>
      <w:spacing w:line="360" w:lineRule="auto"/>
      <w:ind w:firstLine="200" w:firstLineChars="200"/>
    </w:pPr>
    <w:rPr>
      <w:rFonts w:ascii="宋体" w:hAnsi="宋体" w:cs="宋体"/>
      <w:sz w:val="24"/>
      <w:szCs w:val="24"/>
    </w:rPr>
  </w:style>
  <w:style w:type="paragraph" w:customStyle="1" w:styleId="267">
    <w:name w:val="xl7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68">
    <w:name w:val="xl8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69">
    <w:name w:val="Char2 Char Char"/>
    <w:basedOn w:val="4"/>
    <w:qFormat/>
    <w:uiPriority w:val="0"/>
    <w:pPr>
      <w:numPr>
        <w:ilvl w:val="0"/>
        <w:numId w:val="0"/>
      </w:numPr>
      <w:tabs>
        <w:tab w:val="left" w:pos="360"/>
        <w:tab w:val="left" w:pos="900"/>
      </w:tabs>
      <w:adjustRightInd/>
      <w:spacing w:before="120" w:after="120"/>
      <w:ind w:left="542" w:leftChars="-12" w:firstLine="200" w:firstLineChars="200"/>
      <w:jc w:val="left"/>
    </w:pPr>
    <w:rPr>
      <w:rFonts w:eastAsia="黑体"/>
      <w:b w:val="0"/>
      <w:bCs w:val="0"/>
      <w:snapToGrid w:val="0"/>
      <w:kern w:val="2"/>
      <w:szCs w:val="24"/>
    </w:rPr>
  </w:style>
  <w:style w:type="paragraph" w:customStyle="1" w:styleId="270">
    <w:name w:val="Char10"/>
    <w:basedOn w:val="4"/>
    <w:qFormat/>
    <w:uiPriority w:val="0"/>
    <w:pPr>
      <w:numPr>
        <w:ilvl w:val="0"/>
        <w:numId w:val="0"/>
      </w:numPr>
      <w:tabs>
        <w:tab w:val="left" w:pos="360"/>
        <w:tab w:val="left" w:pos="900"/>
      </w:tabs>
      <w:adjustRightInd/>
      <w:spacing w:before="120" w:after="120"/>
      <w:ind w:left="542" w:leftChars="-12" w:firstLine="200" w:firstLineChars="200"/>
      <w:jc w:val="left"/>
    </w:pPr>
    <w:rPr>
      <w:rFonts w:eastAsia="黑体"/>
      <w:b w:val="0"/>
      <w:bCs w:val="0"/>
      <w:snapToGrid w:val="0"/>
      <w:kern w:val="2"/>
      <w:szCs w:val="24"/>
    </w:rPr>
  </w:style>
  <w:style w:type="paragraph" w:customStyle="1" w:styleId="271">
    <w:name w:val="font11"/>
    <w:basedOn w:val="1"/>
    <w:qFormat/>
    <w:uiPriority w:val="0"/>
    <w:pPr>
      <w:widowControl/>
      <w:spacing w:before="100" w:beforeAutospacing="1" w:after="100" w:afterAutospacing="1"/>
      <w:jc w:val="left"/>
    </w:pPr>
    <w:rPr>
      <w:rFonts w:ascii="Times New Roman" w:hAnsi="Times New Roman"/>
      <w:b/>
      <w:bCs/>
      <w:kern w:val="0"/>
      <w:sz w:val="24"/>
      <w:szCs w:val="24"/>
    </w:rPr>
  </w:style>
  <w:style w:type="paragraph" w:customStyle="1" w:styleId="272">
    <w:name w:val="cardlist-value"/>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73">
    <w:name w:val="xl80"/>
    <w:basedOn w:val="1"/>
    <w:qFormat/>
    <w:uiPriority w:val="0"/>
    <w:pPr>
      <w:widowControl/>
      <w:spacing w:before="100" w:beforeAutospacing="1" w:after="100" w:afterAutospacing="1"/>
      <w:jc w:val="left"/>
      <w:textAlignment w:val="bottom"/>
    </w:pPr>
    <w:rPr>
      <w:rFonts w:ascii="宋体" w:hAnsi="宋体" w:cs="宋体"/>
      <w:b/>
      <w:bCs/>
      <w:kern w:val="0"/>
      <w:sz w:val="24"/>
      <w:szCs w:val="24"/>
    </w:rPr>
  </w:style>
  <w:style w:type="paragraph" w:customStyle="1" w:styleId="274">
    <w:name w:val="font8"/>
    <w:basedOn w:val="1"/>
    <w:qFormat/>
    <w:uiPriority w:val="0"/>
    <w:pPr>
      <w:widowControl/>
      <w:spacing w:before="100" w:beforeAutospacing="1" w:after="100" w:afterAutospacing="1"/>
      <w:jc w:val="left"/>
    </w:pPr>
    <w:rPr>
      <w:rFonts w:ascii="Arial" w:hAnsi="Arial" w:cs="Arial"/>
      <w:kern w:val="0"/>
      <w:sz w:val="24"/>
      <w:szCs w:val="24"/>
    </w:rPr>
  </w:style>
  <w:style w:type="paragraph" w:customStyle="1" w:styleId="275">
    <w:name w:val="font9"/>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76">
    <w:name w:val="xl85"/>
    <w:basedOn w:val="1"/>
    <w:qFormat/>
    <w:uiPriority w:val="0"/>
    <w:pPr>
      <w:widowControl/>
      <w:spacing w:before="100" w:beforeAutospacing="1" w:after="100" w:afterAutospacing="1"/>
      <w:jc w:val="left"/>
      <w:textAlignment w:val="top"/>
    </w:pPr>
    <w:rPr>
      <w:rFonts w:ascii="宋体" w:hAnsi="宋体" w:cs="宋体"/>
      <w:kern w:val="0"/>
      <w:sz w:val="24"/>
      <w:szCs w:val="24"/>
    </w:rPr>
  </w:style>
  <w:style w:type="paragraph" w:customStyle="1" w:styleId="277">
    <w:name w:val="xl78"/>
    <w:basedOn w:val="1"/>
    <w:qFormat/>
    <w:uiPriority w:val="0"/>
    <w:pPr>
      <w:widowControl/>
      <w:spacing w:before="100" w:beforeAutospacing="1" w:after="100" w:afterAutospacing="1"/>
      <w:jc w:val="left"/>
    </w:pPr>
    <w:rPr>
      <w:rFonts w:ascii="Times New Roman" w:hAnsi="Times New Roman"/>
      <w:b/>
      <w:bCs/>
      <w:kern w:val="0"/>
      <w:sz w:val="24"/>
      <w:szCs w:val="24"/>
    </w:rPr>
  </w:style>
  <w:style w:type="paragraph" w:customStyle="1" w:styleId="278">
    <w:name w:val="font6"/>
    <w:basedOn w:val="1"/>
    <w:qFormat/>
    <w:uiPriority w:val="0"/>
    <w:pPr>
      <w:widowControl/>
      <w:spacing w:before="100" w:beforeAutospacing="1" w:after="100" w:afterAutospacing="1"/>
      <w:jc w:val="left"/>
    </w:pPr>
    <w:rPr>
      <w:rFonts w:ascii="Times New Roman" w:hAnsi="Times New Roman"/>
      <w:i/>
      <w:iCs/>
      <w:kern w:val="0"/>
      <w:sz w:val="24"/>
      <w:szCs w:val="24"/>
    </w:rPr>
  </w:style>
  <w:style w:type="paragraph" w:customStyle="1" w:styleId="279">
    <w:name w:val="font14"/>
    <w:basedOn w:val="1"/>
    <w:qFormat/>
    <w:uiPriority w:val="0"/>
    <w:pPr>
      <w:widowControl/>
      <w:spacing w:before="100" w:beforeAutospacing="1" w:after="100" w:afterAutospacing="1"/>
      <w:jc w:val="left"/>
    </w:pPr>
    <w:rPr>
      <w:rFonts w:ascii="Arial" w:hAnsi="Arial" w:cs="Arial"/>
      <w:color w:val="000000"/>
      <w:kern w:val="0"/>
      <w:sz w:val="24"/>
      <w:szCs w:val="24"/>
    </w:rPr>
  </w:style>
  <w:style w:type="paragraph" w:customStyle="1" w:styleId="280">
    <w:name w:val="xl73"/>
    <w:basedOn w:val="1"/>
    <w:qFormat/>
    <w:uiPriority w:val="0"/>
    <w:pPr>
      <w:widowControl/>
      <w:spacing w:before="100" w:beforeAutospacing="1" w:after="100" w:afterAutospacing="1"/>
      <w:jc w:val="left"/>
      <w:textAlignment w:val="bottom"/>
    </w:pPr>
    <w:rPr>
      <w:rFonts w:ascii="Times New Roman" w:hAnsi="Times New Roman"/>
      <w:i/>
      <w:iCs/>
      <w:kern w:val="0"/>
      <w:sz w:val="24"/>
      <w:szCs w:val="24"/>
    </w:rPr>
  </w:style>
  <w:style w:type="paragraph" w:customStyle="1" w:styleId="281">
    <w:name w:val="Char2 Char Char Char"/>
    <w:basedOn w:val="4"/>
    <w:qFormat/>
    <w:uiPriority w:val="0"/>
    <w:pPr>
      <w:numPr>
        <w:ilvl w:val="0"/>
        <w:numId w:val="0"/>
      </w:numPr>
      <w:tabs>
        <w:tab w:val="left" w:pos="360"/>
        <w:tab w:val="left" w:pos="900"/>
      </w:tabs>
      <w:adjustRightInd/>
      <w:spacing w:before="120" w:after="120"/>
      <w:ind w:left="542" w:leftChars="-12" w:firstLine="200" w:firstLineChars="200"/>
      <w:jc w:val="left"/>
    </w:pPr>
    <w:rPr>
      <w:rFonts w:eastAsia="黑体"/>
      <w:b w:val="0"/>
      <w:bCs w:val="0"/>
      <w:snapToGrid w:val="0"/>
      <w:kern w:val="2"/>
      <w:szCs w:val="24"/>
    </w:rPr>
  </w:style>
  <w:style w:type="paragraph" w:customStyle="1" w:styleId="282">
    <w:name w:val="xl84"/>
    <w:basedOn w:val="1"/>
    <w:qFormat/>
    <w:uiPriority w:val="0"/>
    <w:pPr>
      <w:widowControl/>
      <w:spacing w:before="100" w:beforeAutospacing="1" w:after="100" w:afterAutospacing="1"/>
      <w:jc w:val="left"/>
      <w:textAlignment w:val="top"/>
    </w:pPr>
    <w:rPr>
      <w:rFonts w:ascii="Times New Roman" w:hAnsi="Times New Roman"/>
      <w:b/>
      <w:bCs/>
      <w:i/>
      <w:iCs/>
      <w:kern w:val="0"/>
      <w:sz w:val="24"/>
      <w:szCs w:val="24"/>
    </w:rPr>
  </w:style>
  <w:style w:type="paragraph" w:customStyle="1" w:styleId="283">
    <w:name w:val="xl67"/>
    <w:basedOn w:val="1"/>
    <w:qFormat/>
    <w:uiPriority w:val="0"/>
    <w:pPr>
      <w:widowControl/>
      <w:spacing w:before="100" w:beforeAutospacing="1" w:after="100" w:afterAutospacing="1"/>
      <w:jc w:val="left"/>
    </w:pPr>
    <w:rPr>
      <w:rFonts w:ascii="Times New Roman" w:hAnsi="Times New Roman"/>
      <w:i/>
      <w:iCs/>
      <w:kern w:val="0"/>
      <w:sz w:val="24"/>
      <w:szCs w:val="24"/>
    </w:rPr>
  </w:style>
  <w:style w:type="character" w:customStyle="1" w:styleId="284">
    <w:name w:val="font112"/>
    <w:qFormat/>
    <w:uiPriority w:val="0"/>
    <w:rPr>
      <w:rFonts w:hint="default" w:ascii="Times New Roman" w:hAnsi="Times New Roman" w:cs="Times New Roman"/>
      <w:i/>
      <w:color w:val="000000"/>
      <w:sz w:val="20"/>
      <w:szCs w:val="20"/>
      <w:u w:val="none"/>
    </w:rPr>
  </w:style>
  <w:style w:type="character" w:customStyle="1" w:styleId="285">
    <w:name w:val="font31"/>
    <w:qFormat/>
    <w:uiPriority w:val="0"/>
    <w:rPr>
      <w:rFonts w:hint="eastAsia" w:ascii="宋体" w:hAnsi="宋体" w:eastAsia="宋体" w:cs="宋体"/>
      <w:i/>
      <w:color w:val="000000"/>
      <w:sz w:val="18"/>
      <w:szCs w:val="18"/>
      <w:u w:val="none"/>
    </w:rPr>
  </w:style>
  <w:style w:type="paragraph" w:customStyle="1" w:styleId="286">
    <w:name w:val="font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87">
    <w:name w:val="font17"/>
    <w:basedOn w:val="1"/>
    <w:qFormat/>
    <w:uiPriority w:val="0"/>
    <w:pPr>
      <w:widowControl/>
      <w:spacing w:before="100" w:beforeAutospacing="1" w:after="100" w:afterAutospacing="1"/>
      <w:jc w:val="left"/>
    </w:pPr>
    <w:rPr>
      <w:rFonts w:ascii="Times New Roman" w:hAnsi="Times New Roman"/>
      <w:i/>
      <w:iCs/>
      <w:color w:val="000000"/>
      <w:kern w:val="0"/>
      <w:sz w:val="20"/>
      <w:szCs w:val="20"/>
    </w:rPr>
  </w:style>
  <w:style w:type="paragraph" w:customStyle="1" w:styleId="288">
    <w:name w:val="font18"/>
    <w:basedOn w:val="1"/>
    <w:qFormat/>
    <w:uiPriority w:val="0"/>
    <w:pPr>
      <w:widowControl/>
      <w:spacing w:before="100" w:beforeAutospacing="1" w:after="100" w:afterAutospacing="1"/>
      <w:jc w:val="left"/>
    </w:pPr>
    <w:rPr>
      <w:rFonts w:ascii="Times New Roman" w:hAnsi="Times New Roman"/>
      <w:color w:val="000000"/>
      <w:kern w:val="0"/>
      <w:sz w:val="20"/>
      <w:szCs w:val="20"/>
    </w:rPr>
  </w:style>
  <w:style w:type="paragraph" w:customStyle="1" w:styleId="289">
    <w:name w:val="font19"/>
    <w:basedOn w:val="1"/>
    <w:qFormat/>
    <w:uiPriority w:val="0"/>
    <w:pPr>
      <w:widowControl/>
      <w:spacing w:before="100" w:beforeAutospacing="1" w:after="100" w:afterAutospacing="1"/>
      <w:jc w:val="left"/>
    </w:pPr>
    <w:rPr>
      <w:rFonts w:ascii="宋体" w:hAnsi="宋体" w:cs="宋体"/>
      <w:color w:val="000000"/>
      <w:kern w:val="0"/>
    </w:rPr>
  </w:style>
  <w:style w:type="paragraph" w:customStyle="1" w:styleId="290">
    <w:name w:val="font20"/>
    <w:basedOn w:val="1"/>
    <w:qFormat/>
    <w:uiPriority w:val="0"/>
    <w:pPr>
      <w:widowControl/>
      <w:spacing w:before="100" w:beforeAutospacing="1" w:after="100" w:afterAutospacing="1"/>
      <w:jc w:val="left"/>
    </w:pPr>
    <w:rPr>
      <w:rFonts w:ascii="Times New Roman" w:hAnsi="Times New Roman"/>
      <w:b/>
      <w:bCs/>
      <w:i/>
      <w:iCs/>
      <w:color w:val="000000"/>
      <w:kern w:val="0"/>
      <w:sz w:val="20"/>
      <w:szCs w:val="20"/>
    </w:rPr>
  </w:style>
  <w:style w:type="paragraph" w:customStyle="1" w:styleId="291">
    <w:name w:val="font21"/>
    <w:basedOn w:val="1"/>
    <w:qFormat/>
    <w:uiPriority w:val="0"/>
    <w:pPr>
      <w:widowControl/>
      <w:spacing w:before="100" w:beforeAutospacing="1" w:after="100" w:afterAutospacing="1"/>
      <w:jc w:val="left"/>
    </w:pPr>
    <w:rPr>
      <w:rFonts w:ascii="Arial" w:hAnsi="Arial" w:cs="Arial"/>
      <w:kern w:val="0"/>
      <w:sz w:val="24"/>
      <w:szCs w:val="24"/>
    </w:rPr>
  </w:style>
  <w:style w:type="paragraph" w:customStyle="1" w:styleId="292">
    <w:name w:val="font22"/>
    <w:basedOn w:val="1"/>
    <w:qFormat/>
    <w:uiPriority w:val="0"/>
    <w:pPr>
      <w:widowControl/>
      <w:spacing w:before="100" w:beforeAutospacing="1" w:after="100" w:afterAutospacing="1"/>
      <w:jc w:val="left"/>
    </w:pPr>
    <w:rPr>
      <w:rFonts w:ascii="Times New Roman" w:hAnsi="Times New Roman"/>
      <w:color w:val="FF0000"/>
      <w:kern w:val="0"/>
    </w:rPr>
  </w:style>
  <w:style w:type="paragraph" w:customStyle="1" w:styleId="293">
    <w:name w:val="font23"/>
    <w:basedOn w:val="1"/>
    <w:qFormat/>
    <w:uiPriority w:val="0"/>
    <w:pPr>
      <w:widowControl/>
      <w:spacing w:before="100" w:beforeAutospacing="1" w:after="100" w:afterAutospacing="1"/>
      <w:jc w:val="left"/>
    </w:pPr>
    <w:rPr>
      <w:rFonts w:ascii="Times New Roman" w:hAnsi="Times New Roman"/>
      <w:color w:val="000000"/>
      <w:kern w:val="0"/>
      <w:sz w:val="20"/>
      <w:szCs w:val="20"/>
    </w:rPr>
  </w:style>
  <w:style w:type="paragraph" w:customStyle="1" w:styleId="294">
    <w:name w:val="font24"/>
    <w:basedOn w:val="1"/>
    <w:qFormat/>
    <w:uiPriority w:val="0"/>
    <w:pPr>
      <w:widowControl/>
      <w:spacing w:before="100" w:beforeAutospacing="1" w:after="100" w:afterAutospacing="1"/>
      <w:jc w:val="left"/>
    </w:pPr>
    <w:rPr>
      <w:rFonts w:ascii="Times New Roman" w:hAnsi="Times New Roman"/>
      <w:i/>
      <w:iCs/>
      <w:color w:val="000000"/>
      <w:kern w:val="0"/>
      <w:sz w:val="20"/>
      <w:szCs w:val="20"/>
    </w:rPr>
  </w:style>
  <w:style w:type="paragraph" w:customStyle="1" w:styleId="295">
    <w:name w:val="font25"/>
    <w:basedOn w:val="1"/>
    <w:qFormat/>
    <w:uiPriority w:val="0"/>
    <w:pPr>
      <w:widowControl/>
      <w:spacing w:before="100" w:beforeAutospacing="1" w:after="100" w:afterAutospacing="1"/>
      <w:jc w:val="left"/>
    </w:pPr>
    <w:rPr>
      <w:rFonts w:ascii="Times New Roman" w:hAnsi="Times New Roman"/>
      <w:b/>
      <w:bCs/>
      <w:i/>
      <w:iCs/>
      <w:color w:val="000000"/>
      <w:kern w:val="0"/>
      <w:sz w:val="20"/>
      <w:szCs w:val="20"/>
    </w:rPr>
  </w:style>
  <w:style w:type="paragraph" w:customStyle="1" w:styleId="296">
    <w:name w:val="font26"/>
    <w:basedOn w:val="1"/>
    <w:qFormat/>
    <w:uiPriority w:val="0"/>
    <w:pPr>
      <w:widowControl/>
      <w:spacing w:before="100" w:beforeAutospacing="1" w:after="100" w:afterAutospacing="1"/>
      <w:jc w:val="left"/>
    </w:pPr>
    <w:rPr>
      <w:rFonts w:ascii="Times New Roman" w:hAnsi="Times New Roman"/>
      <w:color w:val="000000"/>
      <w:kern w:val="0"/>
      <w:sz w:val="24"/>
      <w:szCs w:val="24"/>
    </w:rPr>
  </w:style>
  <w:style w:type="paragraph" w:customStyle="1" w:styleId="297">
    <w:name w:val="font27"/>
    <w:basedOn w:val="1"/>
    <w:qFormat/>
    <w:uiPriority w:val="0"/>
    <w:pPr>
      <w:widowControl/>
      <w:spacing w:before="100" w:beforeAutospacing="1" w:after="100" w:afterAutospacing="1"/>
      <w:jc w:val="left"/>
    </w:pPr>
    <w:rPr>
      <w:rFonts w:ascii="Times New Roman" w:hAnsi="Times New Roman"/>
      <w:i/>
      <w:iCs/>
      <w:color w:val="000000"/>
      <w:kern w:val="0"/>
      <w:sz w:val="24"/>
      <w:szCs w:val="24"/>
    </w:rPr>
  </w:style>
  <w:style w:type="paragraph" w:customStyle="1" w:styleId="298">
    <w:name w:val="font28"/>
    <w:basedOn w:val="1"/>
    <w:qFormat/>
    <w:uiPriority w:val="0"/>
    <w:pPr>
      <w:widowControl/>
      <w:spacing w:before="100" w:beforeAutospacing="1" w:after="100" w:afterAutospacing="1"/>
      <w:jc w:val="left"/>
    </w:pPr>
    <w:rPr>
      <w:rFonts w:ascii="Times New Roman" w:hAnsi="Times New Roman"/>
      <w:i/>
      <w:iCs/>
      <w:kern w:val="0"/>
      <w:sz w:val="20"/>
      <w:szCs w:val="20"/>
    </w:rPr>
  </w:style>
  <w:style w:type="paragraph" w:customStyle="1" w:styleId="299">
    <w:name w:val="font29"/>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00">
    <w:name w:val="xl90"/>
    <w:basedOn w:val="1"/>
    <w:qFormat/>
    <w:uiPriority w:val="0"/>
    <w:pPr>
      <w:widowControl/>
      <w:spacing w:before="100" w:beforeAutospacing="1" w:after="100" w:afterAutospacing="1"/>
      <w:jc w:val="left"/>
      <w:textAlignment w:val="center"/>
    </w:pPr>
    <w:rPr>
      <w:rFonts w:ascii="宋体" w:hAnsi="宋体" w:cs="宋体"/>
      <w:kern w:val="0"/>
      <w:sz w:val="24"/>
      <w:szCs w:val="24"/>
    </w:rPr>
  </w:style>
  <w:style w:type="paragraph" w:customStyle="1" w:styleId="301">
    <w:name w:val="font30"/>
    <w:basedOn w:val="1"/>
    <w:qFormat/>
    <w:uiPriority w:val="0"/>
    <w:pPr>
      <w:widowControl/>
      <w:spacing w:before="100" w:beforeAutospacing="1" w:after="100" w:afterAutospacing="1"/>
      <w:jc w:val="left"/>
    </w:pPr>
    <w:rPr>
      <w:rFonts w:ascii="宋体" w:hAnsi="宋体" w:cs="宋体"/>
      <w:kern w:val="0"/>
    </w:rPr>
  </w:style>
  <w:style w:type="paragraph" w:customStyle="1" w:styleId="302">
    <w:name w:val="font32"/>
    <w:basedOn w:val="1"/>
    <w:qFormat/>
    <w:uiPriority w:val="0"/>
    <w:pPr>
      <w:widowControl/>
      <w:spacing w:before="100" w:beforeAutospacing="1" w:after="100" w:afterAutospacing="1"/>
      <w:jc w:val="left"/>
    </w:pPr>
    <w:rPr>
      <w:rFonts w:ascii="宋体" w:hAnsi="宋体" w:cs="宋体"/>
      <w:kern w:val="0"/>
    </w:rPr>
  </w:style>
  <w:style w:type="paragraph" w:customStyle="1" w:styleId="303">
    <w:name w:val="font33"/>
    <w:basedOn w:val="1"/>
    <w:qFormat/>
    <w:uiPriority w:val="0"/>
    <w:pPr>
      <w:widowControl/>
      <w:spacing w:before="100" w:beforeAutospacing="1" w:after="100" w:afterAutospacing="1"/>
      <w:jc w:val="left"/>
    </w:pPr>
    <w:rPr>
      <w:rFonts w:ascii="宋体" w:hAnsi="宋体" w:cs="宋体"/>
      <w:kern w:val="0"/>
    </w:rPr>
  </w:style>
  <w:style w:type="paragraph" w:customStyle="1" w:styleId="304">
    <w:name w:val="Char Char3 Char Char Char Char Char Char"/>
    <w:basedOn w:val="4"/>
    <w:qFormat/>
    <w:uiPriority w:val="0"/>
    <w:pPr>
      <w:numPr>
        <w:ilvl w:val="0"/>
        <w:numId w:val="0"/>
      </w:numPr>
      <w:tabs>
        <w:tab w:val="left" w:pos="360"/>
        <w:tab w:val="left" w:pos="900"/>
      </w:tabs>
      <w:adjustRightInd/>
      <w:spacing w:before="120" w:after="120"/>
      <w:ind w:left="542" w:leftChars="-12" w:firstLine="200" w:firstLineChars="200"/>
      <w:jc w:val="left"/>
    </w:pPr>
    <w:rPr>
      <w:rFonts w:eastAsia="黑体"/>
      <w:b w:val="0"/>
      <w:bCs w:val="0"/>
      <w:snapToGrid w:val="0"/>
      <w:kern w:val="2"/>
      <w:szCs w:val="24"/>
    </w:rPr>
  </w:style>
  <w:style w:type="character" w:customStyle="1" w:styleId="305">
    <w:name w:val="6-1表格文字（居中）阳选清 Char"/>
    <w:link w:val="306"/>
    <w:qFormat/>
    <w:uiPriority w:val="0"/>
    <w:rPr>
      <w:bCs/>
      <w:color w:val="000000"/>
      <w:szCs w:val="18"/>
    </w:rPr>
  </w:style>
  <w:style w:type="paragraph" w:customStyle="1" w:styleId="306">
    <w:name w:val="6-1表格文字（居中）阳选清"/>
    <w:basedOn w:val="1"/>
    <w:link w:val="305"/>
    <w:qFormat/>
    <w:uiPriority w:val="0"/>
    <w:pPr>
      <w:adjustRightInd w:val="0"/>
      <w:snapToGrid w:val="0"/>
      <w:jc w:val="center"/>
    </w:pPr>
    <w:rPr>
      <w:rFonts w:asciiTheme="minorHAnsi" w:hAnsiTheme="minorHAnsi" w:eastAsiaTheme="minorEastAsia" w:cstheme="minorBidi"/>
      <w:bCs/>
      <w:color w:val="000000"/>
      <w:szCs w:val="18"/>
    </w:rPr>
  </w:style>
  <w:style w:type="paragraph" w:customStyle="1" w:styleId="307">
    <w:name w:val="5表名阳选清"/>
    <w:link w:val="308"/>
    <w:qFormat/>
    <w:uiPriority w:val="0"/>
    <w:pPr>
      <w:widowControl w:val="0"/>
      <w:adjustRightInd w:val="0"/>
      <w:snapToGrid w:val="0"/>
      <w:jc w:val="center"/>
    </w:pPr>
    <w:rPr>
      <w:rFonts w:ascii="Times New Roman" w:hAnsi="Times New Roman" w:eastAsia="黑体" w:cs="Times New Roman"/>
      <w:color w:val="000000"/>
      <w:kern w:val="2"/>
      <w:sz w:val="21"/>
      <w:szCs w:val="21"/>
      <w:lang w:val="en-US" w:eastAsia="zh-CN" w:bidi="ar-SA"/>
    </w:rPr>
  </w:style>
  <w:style w:type="character" w:customStyle="1" w:styleId="308">
    <w:name w:val="5表名阳选清 Char"/>
    <w:link w:val="307"/>
    <w:qFormat/>
    <w:uiPriority w:val="0"/>
    <w:rPr>
      <w:rFonts w:ascii="Times New Roman" w:hAnsi="Times New Roman" w:eastAsia="黑体" w:cs="Times New Roman"/>
      <w:color w:val="000000"/>
      <w:szCs w:val="21"/>
    </w:rPr>
  </w:style>
  <w:style w:type="character" w:customStyle="1" w:styleId="309">
    <w:name w:val="书籍标题1"/>
    <w:qFormat/>
    <w:uiPriority w:val="33"/>
    <w:rPr>
      <w:b/>
      <w:bCs/>
      <w:smallCaps/>
      <w:spacing w:val="5"/>
    </w:rPr>
  </w:style>
  <w:style w:type="paragraph" w:customStyle="1" w:styleId="310">
    <w:name w:val="z-窗体顶端11"/>
    <w:basedOn w:val="1"/>
    <w:next w:val="1"/>
    <w:link w:val="311"/>
    <w:qFormat/>
    <w:uiPriority w:val="0"/>
    <w:pPr>
      <w:pBdr>
        <w:bottom w:val="single" w:color="auto" w:sz="6" w:space="1"/>
      </w:pBdr>
      <w:jc w:val="center"/>
    </w:pPr>
    <w:rPr>
      <w:rFonts w:ascii="Arial" w:hAnsi="Times New Roman"/>
      <w:vanish/>
      <w:sz w:val="16"/>
      <w:szCs w:val="22"/>
    </w:rPr>
  </w:style>
  <w:style w:type="character" w:customStyle="1" w:styleId="311">
    <w:name w:val="z-窗体顶端 字符"/>
    <w:link w:val="310"/>
    <w:qFormat/>
    <w:uiPriority w:val="0"/>
    <w:rPr>
      <w:rFonts w:ascii="Arial" w:hAnsi="Times New Roman" w:eastAsia="宋体" w:cs="Times New Roman"/>
      <w:vanish/>
      <w:sz w:val="16"/>
    </w:rPr>
  </w:style>
  <w:style w:type="character" w:customStyle="1" w:styleId="312">
    <w:name w:val="引用 字符1"/>
    <w:qFormat/>
    <w:uiPriority w:val="29"/>
    <w:rPr>
      <w:rFonts w:ascii="Times New Roman" w:hAnsi="Times New Roman" w:eastAsia="宋体" w:cs="Times New Roman"/>
      <w:i/>
      <w:iCs/>
      <w:color w:val="404040"/>
      <w:szCs w:val="24"/>
    </w:rPr>
  </w:style>
  <w:style w:type="paragraph" w:customStyle="1" w:styleId="313">
    <w:name w:val="z-窗体底端11"/>
    <w:basedOn w:val="1"/>
    <w:next w:val="1"/>
    <w:link w:val="314"/>
    <w:qFormat/>
    <w:uiPriority w:val="0"/>
    <w:pPr>
      <w:pBdr>
        <w:top w:val="single" w:color="auto" w:sz="6" w:space="1"/>
      </w:pBdr>
      <w:jc w:val="center"/>
    </w:pPr>
    <w:rPr>
      <w:rFonts w:ascii="Arial" w:hAnsi="Times New Roman"/>
      <w:vanish/>
      <w:sz w:val="16"/>
      <w:szCs w:val="22"/>
    </w:rPr>
  </w:style>
  <w:style w:type="character" w:customStyle="1" w:styleId="314">
    <w:name w:val="z-窗体底端 字符"/>
    <w:link w:val="313"/>
    <w:qFormat/>
    <w:uiPriority w:val="0"/>
    <w:rPr>
      <w:rFonts w:ascii="Arial" w:hAnsi="Times New Roman" w:eastAsia="宋体" w:cs="Times New Roman"/>
      <w:vanish/>
      <w:sz w:val="16"/>
    </w:rPr>
  </w:style>
  <w:style w:type="paragraph" w:customStyle="1" w:styleId="315">
    <w:name w:val="TOC 标题1"/>
    <w:basedOn w:val="2"/>
    <w:next w:val="1"/>
    <w:unhideWhenUsed/>
    <w:qFormat/>
    <w:uiPriority w:val="39"/>
    <w:pPr>
      <w:widowControl/>
      <w:numPr>
        <w:numId w:val="0"/>
      </w:numPr>
      <w:adjustRightInd/>
      <w:snapToGrid/>
      <w:spacing w:before="480" w:line="276" w:lineRule="auto"/>
      <w:jc w:val="left"/>
      <w:outlineLvl w:val="9"/>
    </w:pPr>
    <w:rPr>
      <w:rFonts w:ascii="Calibri Light" w:hAnsi="Calibri Light" w:eastAsia="宋体"/>
      <w:b/>
      <w:color w:val="2E74B5"/>
      <w:kern w:val="0"/>
      <w:sz w:val="28"/>
      <w:szCs w:val="28"/>
    </w:rPr>
  </w:style>
  <w:style w:type="paragraph" w:customStyle="1" w:styleId="316">
    <w:name w:val="样式13"/>
    <w:basedOn w:val="5"/>
    <w:qFormat/>
    <w:uiPriority w:val="0"/>
    <w:pPr>
      <w:numPr>
        <w:numId w:val="3"/>
      </w:numPr>
      <w:tabs>
        <w:tab w:val="left" w:pos="851"/>
      </w:tabs>
      <w:adjustRightInd/>
      <w:snapToGrid/>
      <w:spacing w:before="120" w:after="120" w:line="420" w:lineRule="exact"/>
      <w:ind w:right="100" w:rightChars="100"/>
    </w:pPr>
    <w:rPr>
      <w:rFonts w:ascii="宋体" w:hAnsi="宋体" w:eastAsia="宋体"/>
      <w:b w:val="0"/>
      <w:iCs/>
      <w:snapToGrid w:val="0"/>
      <w:color w:val="auto"/>
      <w:lang w:val="zh-CN"/>
    </w:rPr>
  </w:style>
  <w:style w:type="paragraph" w:customStyle="1" w:styleId="317">
    <w:name w:val="Char Char Char Char1 Char Char Char"/>
    <w:basedOn w:val="4"/>
    <w:next w:val="129"/>
    <w:qFormat/>
    <w:uiPriority w:val="0"/>
    <w:pPr>
      <w:numPr>
        <w:numId w:val="3"/>
      </w:numPr>
      <w:tabs>
        <w:tab w:val="left" w:pos="473"/>
        <w:tab w:val="left" w:pos="851"/>
      </w:tabs>
      <w:adjustRightInd/>
      <w:snapToGrid/>
      <w:spacing w:before="50" w:beforeLines="50" w:after="20" w:afterLines="20"/>
      <w:ind w:firstLine="113"/>
    </w:pPr>
    <w:rPr>
      <w:rFonts w:ascii="宋体" w:hAnsi="宋体" w:eastAsia="黑体" w:cs="宋体"/>
      <w:b w:val="0"/>
      <w:bCs w:val="0"/>
      <w:kern w:val="2"/>
      <w:szCs w:val="24"/>
      <w:lang w:val="zh-CN"/>
    </w:rPr>
  </w:style>
  <w:style w:type="paragraph" w:customStyle="1" w:styleId="318">
    <w:name w:val="样式 样式 标题 2 + 段前: 1.5 行 段后: 1 行 + 非加粗 左侧:  0.5 厘米 首行缩进:  0 厘米 ...1"/>
    <w:basedOn w:val="1"/>
    <w:qFormat/>
    <w:uiPriority w:val="0"/>
    <w:pPr>
      <w:keepNext/>
      <w:keepLines/>
      <w:numPr>
        <w:ilvl w:val="0"/>
        <w:numId w:val="3"/>
      </w:numPr>
      <w:tabs>
        <w:tab w:val="left" w:pos="360"/>
        <w:tab w:val="left" w:pos="690"/>
        <w:tab w:val="left" w:pos="840"/>
        <w:tab w:val="left" w:pos="1320"/>
        <w:tab w:val="clear" w:pos="851"/>
      </w:tabs>
      <w:spacing w:before="50" w:after="50"/>
      <w:ind w:left="1320" w:hanging="420"/>
      <w:outlineLvl w:val="1"/>
    </w:pPr>
    <w:rPr>
      <w:rFonts w:ascii="Arial" w:hAnsi="Arial" w:eastAsia="黑体"/>
      <w:kern w:val="0"/>
      <w:sz w:val="28"/>
      <w:szCs w:val="22"/>
      <w:lang w:val="zh-CN"/>
    </w:rPr>
  </w:style>
  <w:style w:type="character" w:customStyle="1" w:styleId="319">
    <w:name w:val="font51"/>
    <w:qFormat/>
    <w:uiPriority w:val="0"/>
    <w:rPr>
      <w:rFonts w:hint="eastAsia" w:ascii="仿宋_GB2312" w:eastAsia="仿宋_GB2312"/>
      <w:color w:val="000000"/>
      <w:sz w:val="20"/>
      <w:szCs w:val="20"/>
      <w:u w:val="none"/>
    </w:rPr>
  </w:style>
  <w:style w:type="paragraph" w:customStyle="1" w:styleId="320">
    <w:name w:val="四级标题"/>
    <w:basedOn w:val="5"/>
    <w:qFormat/>
    <w:uiPriority w:val="0"/>
    <w:pPr>
      <w:widowControl/>
      <w:numPr>
        <w:ilvl w:val="0"/>
        <w:numId w:val="4"/>
      </w:numPr>
      <w:tabs>
        <w:tab w:val="left" w:pos="720"/>
        <w:tab w:val="left" w:pos="1080"/>
      </w:tabs>
      <w:adjustRightInd/>
      <w:snapToGrid/>
      <w:spacing w:before="160" w:after="170" w:line="240" w:lineRule="auto"/>
      <w:jc w:val="left"/>
    </w:pPr>
    <w:rPr>
      <w:rFonts w:ascii="Arial" w:hAnsi="Arial" w:eastAsia="宋体"/>
      <w:b w:val="0"/>
      <w:color w:val="auto"/>
      <w:kern w:val="0"/>
      <w:szCs w:val="28"/>
      <w:lang w:val="zh-CN"/>
    </w:rPr>
  </w:style>
  <w:style w:type="paragraph" w:customStyle="1" w:styleId="321">
    <w:name w:val="样式 正文（首行缩进两字） + 行距: 固定值 20 磅"/>
    <w:basedOn w:val="18"/>
    <w:qFormat/>
    <w:uiPriority w:val="0"/>
    <w:pPr>
      <w:widowControl/>
      <w:spacing w:after="62" w:afterLines="20" w:line="400" w:lineRule="exact"/>
      <w:ind w:firstLine="480"/>
      <w:jc w:val="left"/>
    </w:pPr>
    <w:rPr>
      <w:rFonts w:ascii="Times New Roman" w:hAnsi="Times New Roman"/>
      <w:sz w:val="24"/>
      <w:szCs w:val="20"/>
    </w:rPr>
  </w:style>
  <w:style w:type="paragraph" w:customStyle="1" w:styleId="322">
    <w:name w:val="俺的正文"/>
    <w:basedOn w:val="1"/>
    <w:qFormat/>
    <w:uiPriority w:val="0"/>
    <w:pPr>
      <w:spacing w:line="460" w:lineRule="exact"/>
      <w:ind w:firstLine="200" w:firstLineChars="200"/>
    </w:pPr>
    <w:rPr>
      <w:rFonts w:ascii="Times New Roman" w:hAnsi="Times New Roman"/>
      <w:sz w:val="24"/>
      <w:szCs w:val="20"/>
    </w:rPr>
  </w:style>
  <w:style w:type="character" w:customStyle="1" w:styleId="323">
    <w:name w:val="标题2"/>
    <w:basedOn w:val="74"/>
    <w:qFormat/>
    <w:uiPriority w:val="0"/>
  </w:style>
  <w:style w:type="paragraph" w:customStyle="1" w:styleId="324">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325">
    <w:name w:val="WPSOffice手动目录 1"/>
    <w:qFormat/>
    <w:uiPriority w:val="0"/>
    <w:rPr>
      <w:rFonts w:ascii="Times New Roman" w:hAnsi="Times New Roman" w:eastAsia="宋体" w:cs="Times New Roman"/>
      <w:lang w:val="en-US" w:eastAsia="zh-CN" w:bidi="ar-SA"/>
    </w:rPr>
  </w:style>
  <w:style w:type="paragraph" w:customStyle="1" w:styleId="326">
    <w:name w:val="CM27"/>
    <w:basedOn w:val="145"/>
    <w:next w:val="145"/>
    <w:qFormat/>
    <w:uiPriority w:val="99"/>
    <w:pPr>
      <w:spacing w:line="533" w:lineRule="atLeast"/>
    </w:pPr>
    <w:rPr>
      <w:rFonts w:hAnsi="Times New Roman" w:cs="Times New Roman"/>
      <w:color w:val="auto"/>
    </w:rPr>
  </w:style>
  <w:style w:type="paragraph" w:customStyle="1" w:styleId="327">
    <w:name w:val="CM121"/>
    <w:basedOn w:val="145"/>
    <w:next w:val="145"/>
    <w:qFormat/>
    <w:uiPriority w:val="99"/>
    <w:pPr>
      <w:spacing w:after="213"/>
    </w:pPr>
    <w:rPr>
      <w:rFonts w:hAnsi="Times New Roman" w:cs="Times New Roman"/>
      <w:color w:val="auto"/>
    </w:rPr>
  </w:style>
  <w:style w:type="paragraph" w:customStyle="1" w:styleId="328">
    <w:name w:val="CM29"/>
    <w:basedOn w:val="145"/>
    <w:next w:val="145"/>
    <w:qFormat/>
    <w:uiPriority w:val="99"/>
    <w:pPr>
      <w:spacing w:line="480" w:lineRule="atLeast"/>
    </w:pPr>
    <w:rPr>
      <w:rFonts w:hAnsi="Times New Roman" w:cs="Times New Roman"/>
      <w:color w:val="auto"/>
    </w:rPr>
  </w:style>
  <w:style w:type="paragraph" w:customStyle="1" w:styleId="329">
    <w:name w:val="CM129"/>
    <w:basedOn w:val="145"/>
    <w:next w:val="145"/>
    <w:qFormat/>
    <w:uiPriority w:val="99"/>
    <w:pPr>
      <w:spacing w:after="310"/>
    </w:pPr>
    <w:rPr>
      <w:rFonts w:hAnsi="Times New Roman" w:cs="Times New Roman"/>
      <w:color w:val="auto"/>
    </w:rPr>
  </w:style>
  <w:style w:type="paragraph" w:customStyle="1" w:styleId="330">
    <w:name w:val="CM7"/>
    <w:basedOn w:val="145"/>
    <w:next w:val="145"/>
    <w:qFormat/>
    <w:uiPriority w:val="99"/>
    <w:pPr>
      <w:spacing w:line="471" w:lineRule="atLeast"/>
    </w:pPr>
    <w:rPr>
      <w:rFonts w:hAnsi="Times New Roman" w:cs="Times New Roman"/>
      <w:color w:val="auto"/>
    </w:rPr>
  </w:style>
  <w:style w:type="paragraph" w:customStyle="1" w:styleId="331">
    <w:name w:val="CM131"/>
    <w:basedOn w:val="145"/>
    <w:next w:val="145"/>
    <w:qFormat/>
    <w:uiPriority w:val="99"/>
    <w:pPr>
      <w:spacing w:after="85"/>
    </w:pPr>
    <w:rPr>
      <w:rFonts w:hAnsi="Times New Roman" w:cs="Times New Roman"/>
      <w:color w:val="auto"/>
    </w:rPr>
  </w:style>
  <w:style w:type="paragraph" w:customStyle="1" w:styleId="332">
    <w:name w:val="CM130"/>
    <w:basedOn w:val="145"/>
    <w:next w:val="145"/>
    <w:qFormat/>
    <w:uiPriority w:val="99"/>
    <w:pPr>
      <w:spacing w:after="460"/>
    </w:pPr>
    <w:rPr>
      <w:rFonts w:hAnsi="Times New Roman" w:cs="Times New Roman"/>
      <w:color w:val="auto"/>
    </w:rPr>
  </w:style>
  <w:style w:type="paragraph" w:customStyle="1" w:styleId="333">
    <w:name w:val="CM136"/>
    <w:basedOn w:val="145"/>
    <w:next w:val="145"/>
    <w:qFormat/>
    <w:uiPriority w:val="99"/>
    <w:pPr>
      <w:spacing w:after="843"/>
    </w:pPr>
    <w:rPr>
      <w:rFonts w:hAnsi="Times New Roman" w:cs="Times New Roman"/>
      <w:color w:val="auto"/>
    </w:rPr>
  </w:style>
  <w:style w:type="paragraph" w:customStyle="1" w:styleId="334">
    <w:name w:val="CM31"/>
    <w:basedOn w:val="145"/>
    <w:next w:val="145"/>
    <w:qFormat/>
    <w:uiPriority w:val="99"/>
    <w:rPr>
      <w:rFonts w:hAnsi="Times New Roman" w:cs="Times New Roman"/>
      <w:color w:val="auto"/>
    </w:rPr>
  </w:style>
  <w:style w:type="paragraph" w:customStyle="1" w:styleId="335">
    <w:name w:val="CM32"/>
    <w:basedOn w:val="145"/>
    <w:next w:val="145"/>
    <w:qFormat/>
    <w:uiPriority w:val="99"/>
    <w:pPr>
      <w:spacing w:line="313" w:lineRule="atLeast"/>
    </w:pPr>
    <w:rPr>
      <w:rFonts w:hAnsi="Times New Roman" w:cs="Times New Roman"/>
      <w:color w:val="auto"/>
    </w:rPr>
  </w:style>
  <w:style w:type="paragraph" w:customStyle="1" w:styleId="336">
    <w:name w:val="CM137"/>
    <w:basedOn w:val="145"/>
    <w:next w:val="145"/>
    <w:qFormat/>
    <w:uiPriority w:val="99"/>
    <w:pPr>
      <w:spacing w:after="330"/>
    </w:pPr>
    <w:rPr>
      <w:rFonts w:hAnsi="Times New Roman" w:cs="Times New Roman"/>
      <w:color w:val="auto"/>
    </w:rPr>
  </w:style>
  <w:style w:type="paragraph" w:customStyle="1" w:styleId="337">
    <w:name w:val="CM6"/>
    <w:basedOn w:val="145"/>
    <w:next w:val="145"/>
    <w:qFormat/>
    <w:uiPriority w:val="99"/>
    <w:pPr>
      <w:spacing w:line="466" w:lineRule="atLeast"/>
    </w:pPr>
    <w:rPr>
      <w:rFonts w:hAnsi="Times New Roman" w:cs="Times New Roman"/>
      <w:color w:val="auto"/>
    </w:rPr>
  </w:style>
  <w:style w:type="paragraph" w:customStyle="1" w:styleId="338">
    <w:name w:val="CM9"/>
    <w:basedOn w:val="145"/>
    <w:next w:val="145"/>
    <w:qFormat/>
    <w:uiPriority w:val="99"/>
    <w:pPr>
      <w:spacing w:line="468" w:lineRule="atLeast"/>
    </w:pPr>
    <w:rPr>
      <w:rFonts w:ascii="Times New Roman" w:hAnsi="Times New Roman" w:cs="Times New Roman"/>
      <w:color w:val="auto"/>
    </w:rPr>
  </w:style>
  <w:style w:type="paragraph" w:customStyle="1" w:styleId="339">
    <w:name w:val="CM124"/>
    <w:basedOn w:val="145"/>
    <w:next w:val="145"/>
    <w:qFormat/>
    <w:uiPriority w:val="99"/>
    <w:pPr>
      <w:spacing w:after="92"/>
    </w:pPr>
    <w:rPr>
      <w:rFonts w:ascii="Times New Roman" w:hAnsi="Times New Roman" w:cs="Times New Roman"/>
      <w:color w:val="auto"/>
    </w:rPr>
  </w:style>
  <w:style w:type="paragraph" w:customStyle="1" w:styleId="340">
    <w:name w:val="CM15"/>
    <w:basedOn w:val="145"/>
    <w:next w:val="145"/>
    <w:qFormat/>
    <w:uiPriority w:val="99"/>
    <w:pPr>
      <w:spacing w:line="480" w:lineRule="atLeast"/>
    </w:pPr>
    <w:rPr>
      <w:rFonts w:ascii="Times New Roman" w:hAnsi="Times New Roman" w:cs="Times New Roman"/>
      <w:color w:val="auto"/>
    </w:rPr>
  </w:style>
  <w:style w:type="paragraph" w:customStyle="1" w:styleId="341">
    <w:name w:val="CM14"/>
    <w:basedOn w:val="145"/>
    <w:next w:val="145"/>
    <w:qFormat/>
    <w:uiPriority w:val="99"/>
    <w:pPr>
      <w:spacing w:line="468" w:lineRule="atLeast"/>
    </w:pPr>
    <w:rPr>
      <w:rFonts w:ascii="Times New Roman" w:hAnsi="Times New Roman" w:cs="Times New Roman"/>
      <w:color w:val="auto"/>
    </w:rPr>
  </w:style>
  <w:style w:type="paragraph" w:customStyle="1" w:styleId="342">
    <w:name w:val="CM138"/>
    <w:basedOn w:val="145"/>
    <w:next w:val="145"/>
    <w:qFormat/>
    <w:uiPriority w:val="99"/>
    <w:pPr>
      <w:spacing w:after="252"/>
    </w:pPr>
    <w:rPr>
      <w:rFonts w:hAnsi="Times New Roman" w:cs="Times New Roman"/>
      <w:color w:val="auto"/>
    </w:rPr>
  </w:style>
  <w:style w:type="paragraph" w:customStyle="1" w:styleId="343">
    <w:name w:val="CM23"/>
    <w:basedOn w:val="145"/>
    <w:next w:val="145"/>
    <w:qFormat/>
    <w:uiPriority w:val="99"/>
    <w:pPr>
      <w:spacing w:line="468" w:lineRule="atLeast"/>
    </w:pPr>
    <w:rPr>
      <w:rFonts w:hAnsi="Times New Roman" w:cs="Times New Roman"/>
      <w:color w:val="auto"/>
    </w:rPr>
  </w:style>
  <w:style w:type="paragraph" w:customStyle="1" w:styleId="344">
    <w:name w:val="CM11"/>
    <w:basedOn w:val="145"/>
    <w:next w:val="145"/>
    <w:qFormat/>
    <w:uiPriority w:val="99"/>
    <w:pPr>
      <w:spacing w:line="468" w:lineRule="atLeast"/>
    </w:pPr>
    <w:rPr>
      <w:rFonts w:hAnsi="Times New Roman" w:cs="Times New Roman"/>
      <w:color w:val="auto"/>
    </w:rPr>
  </w:style>
  <w:style w:type="paragraph" w:customStyle="1" w:styleId="345">
    <w:name w:val="CM13"/>
    <w:basedOn w:val="145"/>
    <w:next w:val="145"/>
    <w:qFormat/>
    <w:uiPriority w:val="99"/>
    <w:pPr>
      <w:spacing w:line="466" w:lineRule="atLeast"/>
    </w:pPr>
    <w:rPr>
      <w:rFonts w:hAnsi="Times New Roman" w:cs="Times New Roman"/>
      <w:color w:val="auto"/>
    </w:rPr>
  </w:style>
  <w:style w:type="paragraph" w:customStyle="1" w:styleId="346">
    <w:name w:val="CM139"/>
    <w:basedOn w:val="145"/>
    <w:next w:val="145"/>
    <w:qFormat/>
    <w:uiPriority w:val="99"/>
    <w:pPr>
      <w:spacing w:after="472"/>
    </w:pPr>
    <w:rPr>
      <w:rFonts w:hAnsi="Times New Roman" w:cs="Times New Roman"/>
      <w:color w:val="auto"/>
    </w:rPr>
  </w:style>
  <w:style w:type="paragraph" w:customStyle="1" w:styleId="347">
    <w:name w:val="CM8"/>
    <w:basedOn w:val="145"/>
    <w:next w:val="145"/>
    <w:qFormat/>
    <w:uiPriority w:val="99"/>
    <w:pPr>
      <w:spacing w:line="468" w:lineRule="atLeast"/>
    </w:pPr>
    <w:rPr>
      <w:rFonts w:hAnsi="Times New Roman" w:cs="Times New Roman"/>
      <w:color w:val="auto"/>
    </w:rPr>
  </w:style>
  <w:style w:type="paragraph" w:customStyle="1" w:styleId="348">
    <w:name w:val="CM1"/>
    <w:basedOn w:val="145"/>
    <w:next w:val="145"/>
    <w:qFormat/>
    <w:uiPriority w:val="99"/>
    <w:rPr>
      <w:rFonts w:hAnsi="Times New Roman" w:cs="Times New Roman"/>
      <w:color w:val="auto"/>
    </w:rPr>
  </w:style>
  <w:style w:type="paragraph" w:customStyle="1" w:styleId="349">
    <w:name w:val="text Char Char Char Char Char"/>
    <w:basedOn w:val="1"/>
    <w:qFormat/>
    <w:uiPriority w:val="0"/>
    <w:pPr>
      <w:ind w:firstLine="563" w:firstLineChars="200"/>
    </w:pPr>
    <w:rPr>
      <w:rFonts w:ascii="黑体"/>
      <w:sz w:val="28"/>
      <w:szCs w:val="22"/>
    </w:rPr>
  </w:style>
  <w:style w:type="paragraph" w:customStyle="1" w:styleId="350">
    <w:name w:val="（2）正文"/>
    <w:basedOn w:val="1"/>
    <w:link w:val="351"/>
    <w:qFormat/>
    <w:uiPriority w:val="0"/>
    <w:pPr>
      <w:spacing w:line="360" w:lineRule="auto"/>
      <w:ind w:firstLine="423" w:firstLineChars="147"/>
    </w:pPr>
    <w:rPr>
      <w:color w:val="000000"/>
      <w:spacing w:val="4"/>
      <w:kern w:val="0"/>
      <w:sz w:val="28"/>
      <w:szCs w:val="28"/>
    </w:rPr>
  </w:style>
  <w:style w:type="character" w:customStyle="1" w:styleId="351">
    <w:name w:val="（2）正文 Char"/>
    <w:link w:val="350"/>
    <w:qFormat/>
    <w:uiPriority w:val="0"/>
    <w:rPr>
      <w:rFonts w:ascii="Calibri" w:hAnsi="Calibri"/>
      <w:color w:val="000000"/>
      <w:spacing w:val="4"/>
      <w:sz w:val="28"/>
      <w:szCs w:val="28"/>
    </w:rPr>
  </w:style>
  <w:style w:type="character" w:customStyle="1" w:styleId="352">
    <w:name w:val="表格文字 Char Char"/>
    <w:basedOn w:val="121"/>
    <w:link w:val="353"/>
    <w:qFormat/>
    <w:uiPriority w:val="0"/>
    <w:rPr>
      <w:rFonts w:ascii="Times New Roman" w:hAnsi="Times New Roman" w:eastAsia="宋体"/>
      <w:kern w:val="44"/>
      <w:sz w:val="21"/>
      <w:szCs w:val="22"/>
    </w:rPr>
  </w:style>
  <w:style w:type="paragraph" w:customStyle="1" w:styleId="353">
    <w:name w:val="表格文字"/>
    <w:basedOn w:val="1"/>
    <w:link w:val="352"/>
    <w:qFormat/>
    <w:uiPriority w:val="0"/>
    <w:pPr>
      <w:jc w:val="center"/>
    </w:pPr>
    <w:rPr>
      <w:rFonts w:ascii="Times New Roman" w:hAnsi="Times New Roman"/>
      <w:kern w:val="44"/>
      <w:szCs w:val="22"/>
    </w:rPr>
  </w:style>
  <w:style w:type="character" w:customStyle="1" w:styleId="354">
    <w:name w:val="样式 正文缩进 + 首行缩进:  2 字符 Char"/>
    <w:basedOn w:val="74"/>
    <w:link w:val="355"/>
    <w:qFormat/>
    <w:uiPriority w:val="0"/>
    <w:rPr>
      <w:rFonts w:cs="宋体"/>
      <w:kern w:val="2"/>
      <w:sz w:val="28"/>
    </w:rPr>
  </w:style>
  <w:style w:type="paragraph" w:customStyle="1" w:styleId="355">
    <w:name w:val="样式 正文缩进 + 首行缩进:  2 字符"/>
    <w:basedOn w:val="18"/>
    <w:link w:val="354"/>
    <w:qFormat/>
    <w:uiPriority w:val="0"/>
    <w:pPr>
      <w:snapToGrid w:val="0"/>
      <w:spacing w:line="520" w:lineRule="atLeast"/>
      <w:ind w:firstLine="200"/>
    </w:pPr>
    <w:rPr>
      <w:rFonts w:ascii="Times New Roman" w:hAnsi="Times New Roman" w:cs="宋体"/>
      <w:sz w:val="28"/>
      <w:szCs w:val="20"/>
    </w:rPr>
  </w:style>
  <w:style w:type="paragraph" w:customStyle="1" w:styleId="356">
    <w:name w:val="标题1"/>
    <w:basedOn w:val="2"/>
    <w:qFormat/>
    <w:uiPriority w:val="0"/>
    <w:pPr>
      <w:keepNext w:val="0"/>
      <w:keepLines w:val="0"/>
      <w:tabs>
        <w:tab w:val="left" w:pos="720"/>
      </w:tabs>
      <w:adjustRightInd/>
      <w:snapToGrid/>
      <w:spacing w:beforeLines="150" w:afterLines="150" w:line="240" w:lineRule="auto"/>
      <w:jc w:val="center"/>
    </w:pPr>
    <w:rPr>
      <w:rFonts w:ascii="宋体" w:hAnsi="宋体"/>
      <w:b/>
      <w:kern w:val="28"/>
      <w:sz w:val="30"/>
    </w:rPr>
  </w:style>
  <w:style w:type="paragraph" w:customStyle="1" w:styleId="357">
    <w:name w:val="2表格内容"/>
    <w:basedOn w:val="1"/>
    <w:link w:val="358"/>
    <w:qFormat/>
    <w:uiPriority w:val="0"/>
    <w:pPr>
      <w:jc w:val="center"/>
    </w:pPr>
    <w:rPr>
      <w:rFonts w:ascii="Times New Roman" w:hAnsi="Times New Roman"/>
      <w:kern w:val="0"/>
      <w:sz w:val="24"/>
      <w:szCs w:val="24"/>
    </w:rPr>
  </w:style>
  <w:style w:type="character" w:customStyle="1" w:styleId="358">
    <w:name w:val="2表格内容 Char"/>
    <w:link w:val="357"/>
    <w:qFormat/>
    <w:uiPriority w:val="0"/>
    <w:rPr>
      <w:sz w:val="24"/>
      <w:szCs w:val="24"/>
    </w:rPr>
  </w:style>
  <w:style w:type="paragraph" w:customStyle="1" w:styleId="359">
    <w:name w:val="cardlist-name"/>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360">
    <w:name w:val="正文缩进 Char1"/>
    <w:qFormat/>
    <w:uiPriority w:val="0"/>
    <w:rPr>
      <w:bCs/>
      <w:sz w:val="28"/>
      <w:szCs w:val="28"/>
    </w:rPr>
  </w:style>
  <w:style w:type="paragraph" w:customStyle="1" w:styleId="361">
    <w:name w:val="标题3"/>
    <w:basedOn w:val="4"/>
    <w:qFormat/>
    <w:uiPriority w:val="0"/>
    <w:pPr>
      <w:keepNext w:val="0"/>
      <w:keepLines w:val="0"/>
      <w:tabs>
        <w:tab w:val="left" w:pos="360"/>
        <w:tab w:val="left" w:pos="720"/>
      </w:tabs>
      <w:spacing w:beforeLines="50" w:afterLines="50" w:line="480" w:lineRule="atLeast"/>
    </w:pPr>
    <w:rPr>
      <w:bCs w:val="0"/>
      <w:kern w:val="2"/>
      <w:sz w:val="28"/>
      <w:szCs w:val="28"/>
    </w:rPr>
  </w:style>
  <w:style w:type="paragraph" w:customStyle="1" w:styleId="362">
    <w:name w:val="表格小4居中"/>
    <w:basedOn w:val="1"/>
    <w:qFormat/>
    <w:uiPriority w:val="0"/>
    <w:pPr>
      <w:adjustRightInd w:val="0"/>
      <w:snapToGrid w:val="0"/>
      <w:spacing w:before="60" w:after="60" w:line="320" w:lineRule="atLeast"/>
      <w:jc w:val="center"/>
    </w:pPr>
    <w:rPr>
      <w:rFonts w:ascii="Times New Roman" w:hAnsi="Times New Roman" w:cs="宋体"/>
      <w:sz w:val="24"/>
      <w:szCs w:val="20"/>
    </w:rPr>
  </w:style>
  <w:style w:type="paragraph" w:customStyle="1" w:styleId="363">
    <w:name w:val="表格五号"/>
    <w:basedOn w:val="1"/>
    <w:link w:val="364"/>
    <w:qFormat/>
    <w:uiPriority w:val="0"/>
    <w:pPr>
      <w:adjustRightInd w:val="0"/>
      <w:snapToGrid w:val="0"/>
      <w:jc w:val="center"/>
    </w:pPr>
    <w:rPr>
      <w:rFonts w:ascii="宋体" w:hAnsi="宋体"/>
    </w:rPr>
  </w:style>
  <w:style w:type="character" w:customStyle="1" w:styleId="364">
    <w:name w:val="表格五号 Char"/>
    <w:link w:val="363"/>
    <w:qFormat/>
    <w:uiPriority w:val="0"/>
    <w:rPr>
      <w:rFonts w:ascii="宋体" w:hAnsi="宋体"/>
      <w:kern w:val="2"/>
      <w:sz w:val="21"/>
      <w:szCs w:val="21"/>
    </w:rPr>
  </w:style>
  <w:style w:type="paragraph" w:customStyle="1" w:styleId="365">
    <w:name w:val="表头四号"/>
    <w:basedOn w:val="51"/>
    <w:link w:val="366"/>
    <w:qFormat/>
    <w:uiPriority w:val="0"/>
    <w:pPr>
      <w:adjustRightInd w:val="0"/>
      <w:snapToGrid w:val="0"/>
      <w:spacing w:beforeLines="50" w:line="500" w:lineRule="atLeast"/>
      <w:ind w:left="0" w:firstLine="0" w:firstLineChars="0"/>
      <w:contextualSpacing w:val="0"/>
    </w:pPr>
    <w:rPr>
      <w:rFonts w:ascii="宋体" w:hAnsi="宋体"/>
      <w:b/>
      <w:bCs/>
      <w:sz w:val="28"/>
      <w:szCs w:val="28"/>
    </w:rPr>
  </w:style>
  <w:style w:type="character" w:customStyle="1" w:styleId="366">
    <w:name w:val="表头四号 Char Char"/>
    <w:link w:val="365"/>
    <w:qFormat/>
    <w:uiPriority w:val="0"/>
    <w:rPr>
      <w:rFonts w:ascii="宋体" w:hAnsi="宋体"/>
      <w:b/>
      <w:bCs/>
      <w:kern w:val="2"/>
      <w:sz w:val="28"/>
      <w:szCs w:val="28"/>
    </w:rPr>
  </w:style>
  <w:style w:type="paragraph" w:customStyle="1" w:styleId="367">
    <w:name w:val="附录表标题"/>
    <w:next w:val="1"/>
    <w:qFormat/>
    <w:uiPriority w:val="0"/>
    <w:pPr>
      <w:numPr>
        <w:ilvl w:val="0"/>
        <w:numId w:val="5"/>
      </w:numPr>
      <w:jc w:val="center"/>
      <w:textAlignment w:val="baseline"/>
    </w:pPr>
    <w:rPr>
      <w:rFonts w:ascii="黑体" w:hAnsi="Times New Roman" w:eastAsia="黑体" w:cs="Times New Roman"/>
      <w:kern w:val="21"/>
      <w:sz w:val="21"/>
      <w:lang w:val="en-US" w:eastAsia="zh-CN" w:bidi="ar-SA"/>
    </w:rPr>
  </w:style>
  <w:style w:type="character" w:customStyle="1" w:styleId="368">
    <w:name w:val="font41"/>
    <w:qFormat/>
    <w:uiPriority w:val="0"/>
    <w:rPr>
      <w:rFonts w:ascii="宋体" w:eastAsia="宋体" w:cs="宋体"/>
      <w:color w:val="000000"/>
      <w:sz w:val="20"/>
      <w:szCs w:val="20"/>
      <w:u w:val="none"/>
      <w:lang w:bidi="ar-SA"/>
    </w:rPr>
  </w:style>
  <w:style w:type="character" w:customStyle="1" w:styleId="369">
    <w:name w:val="信息标题 Char Char"/>
    <w:qFormat/>
    <w:uiPriority w:val="0"/>
    <w:rPr>
      <w:rFonts w:ascii="Arial" w:hAnsi="Arial" w:eastAsia="宋体" w:cs="Arial"/>
      <w:szCs w:val="24"/>
      <w:shd w:val="pct20" w:color="auto" w:fill="auto"/>
    </w:rPr>
  </w:style>
  <w:style w:type="paragraph" w:customStyle="1" w:styleId="370">
    <w:name w:val="修订1"/>
    <w:hidden/>
    <w:qFormat/>
    <w:uiPriority w:val="99"/>
    <w:rPr>
      <w:rFonts w:ascii="Calibri" w:hAnsi="Calibri" w:eastAsia="宋体" w:cs="Times New Roman"/>
      <w:kern w:val="2"/>
      <w:sz w:val="21"/>
      <w:szCs w:val="21"/>
      <w:lang w:val="en-US" w:eastAsia="zh-CN" w:bidi="ar-SA"/>
    </w:rPr>
  </w:style>
  <w:style w:type="paragraph" w:customStyle="1" w:styleId="371">
    <w:name w:val="样式 段后: 0.2 行"/>
    <w:basedOn w:val="1"/>
    <w:qFormat/>
    <w:uiPriority w:val="0"/>
    <w:pPr>
      <w:adjustRightInd w:val="0"/>
      <w:snapToGrid w:val="0"/>
      <w:spacing w:afterLines="50" w:line="420" w:lineRule="exact"/>
      <w:ind w:firstLine="200" w:firstLineChars="200"/>
    </w:pPr>
    <w:rPr>
      <w:rFonts w:ascii="Times New Roman" w:hAnsi="Times New Roman" w:cs="宋体"/>
      <w:snapToGrid w:val="0"/>
      <w:kern w:val="0"/>
      <w:sz w:val="24"/>
      <w:szCs w:val="20"/>
    </w:rPr>
  </w:style>
  <w:style w:type="paragraph" w:customStyle="1" w:styleId="372">
    <w:name w:val="无间隔1"/>
    <w:qFormat/>
    <w:uiPriority w:val="0"/>
    <w:pPr>
      <w:widowControl w:val="0"/>
      <w:spacing w:line="360" w:lineRule="auto"/>
      <w:jc w:val="both"/>
    </w:pPr>
    <w:rPr>
      <w:rFonts w:ascii="Arial" w:hAnsi="Arial" w:eastAsia="宋体" w:cs="Times New Roman"/>
      <w:kern w:val="2"/>
      <w:sz w:val="24"/>
      <w:szCs w:val="24"/>
      <w:lang w:val="en-US" w:eastAsia="zh-CN" w:bidi="ar-SA"/>
    </w:rPr>
  </w:style>
  <w:style w:type="character" w:customStyle="1" w:styleId="373">
    <w:name w:val="标题 1 Char2"/>
    <w:qFormat/>
    <w:uiPriority w:val="0"/>
    <w:rPr>
      <w:b/>
      <w:kern w:val="44"/>
      <w:sz w:val="30"/>
    </w:rPr>
  </w:style>
  <w:style w:type="paragraph" w:customStyle="1" w:styleId="374">
    <w:name w:val="Char Char Char Char Char Char Char Char Char Char Char Char Char Char Char Char Char Char Char Char Char Char Char Char 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375">
    <w:name w:val="样式3"/>
    <w:basedOn w:val="43"/>
    <w:next w:val="43"/>
    <w:qFormat/>
    <w:uiPriority w:val="0"/>
    <w:pPr>
      <w:pBdr>
        <w:bottom w:val="none" w:color="auto" w:sz="0" w:space="0"/>
      </w:pBdr>
      <w:tabs>
        <w:tab w:val="left" w:pos="709"/>
      </w:tabs>
      <w:adjustRightInd/>
      <w:spacing w:before="80" w:afterLines="20" w:line="240" w:lineRule="atLeast"/>
      <w:ind w:left="709" w:hanging="709" w:firstLineChars="200"/>
    </w:pPr>
    <w:rPr>
      <w:rFonts w:ascii="Times New Roman" w:hAnsi="Times New Roman" w:eastAsia="宋体" w:cs="Times New Roman"/>
      <w:kern w:val="0"/>
      <w:szCs w:val="20"/>
    </w:rPr>
  </w:style>
  <w:style w:type="paragraph" w:customStyle="1" w:styleId="376">
    <w:name w:val="样式4"/>
    <w:basedOn w:val="5"/>
    <w:qFormat/>
    <w:uiPriority w:val="0"/>
    <w:pPr>
      <w:numPr>
        <w:ilvl w:val="0"/>
        <w:numId w:val="0"/>
      </w:numPr>
      <w:tabs>
        <w:tab w:val="left" w:pos="720"/>
        <w:tab w:val="left" w:pos="851"/>
      </w:tabs>
      <w:adjustRightInd/>
      <w:snapToGrid/>
      <w:spacing w:beforeLines="50" w:afterLines="20" w:line="400" w:lineRule="exact"/>
      <w:ind w:left="851" w:hanging="851"/>
    </w:pPr>
    <w:rPr>
      <w:rFonts w:eastAsia="宋体"/>
      <w:b w:val="0"/>
      <w:bCs w:val="0"/>
      <w:color w:val="auto"/>
      <w:kern w:val="0"/>
      <w:szCs w:val="20"/>
    </w:rPr>
  </w:style>
  <w:style w:type="paragraph" w:customStyle="1" w:styleId="377">
    <w:name w:val="表格1"/>
    <w:basedOn w:val="1"/>
    <w:qFormat/>
    <w:uiPriority w:val="0"/>
    <w:pPr>
      <w:adjustRightInd w:val="0"/>
      <w:jc w:val="center"/>
      <w:textAlignment w:val="baseline"/>
    </w:pPr>
    <w:rPr>
      <w:rFonts w:ascii="CG Times (WN)" w:hAnsi="Times New Roman"/>
      <w:kern w:val="0"/>
      <w:szCs w:val="20"/>
    </w:rPr>
  </w:style>
  <w:style w:type="paragraph" w:customStyle="1" w:styleId="378">
    <w:name w:val="小五表格"/>
    <w:basedOn w:val="1"/>
    <w:qFormat/>
    <w:uiPriority w:val="0"/>
    <w:pPr>
      <w:spacing w:afterLines="20" w:line="400" w:lineRule="exact"/>
      <w:ind w:firstLine="480" w:firstLineChars="200"/>
      <w:jc w:val="left"/>
    </w:pPr>
    <w:rPr>
      <w:rFonts w:ascii="Times New Roman" w:hAnsi="Times New Roman"/>
      <w:sz w:val="18"/>
      <w:szCs w:val="24"/>
    </w:rPr>
  </w:style>
  <w:style w:type="paragraph" w:customStyle="1" w:styleId="379">
    <w:name w:val="样式1"/>
    <w:basedOn w:val="3"/>
    <w:qFormat/>
    <w:uiPriority w:val="0"/>
    <w:pPr>
      <w:numPr>
        <w:ilvl w:val="0"/>
        <w:numId w:val="0"/>
      </w:numPr>
      <w:tabs>
        <w:tab w:val="left" w:pos="576"/>
      </w:tabs>
      <w:adjustRightInd/>
      <w:snapToGrid/>
      <w:spacing w:before="240" w:afterLines="20" w:line="420" w:lineRule="exact"/>
      <w:ind w:left="576" w:hanging="576"/>
    </w:pPr>
    <w:rPr>
      <w:rFonts w:ascii="Times New Roman" w:hAnsi="Times New Roman"/>
      <w:color w:val="000000"/>
      <w:sz w:val="28"/>
    </w:rPr>
  </w:style>
  <w:style w:type="paragraph" w:customStyle="1" w:styleId="380">
    <w:name w:val="正文A"/>
    <w:qFormat/>
    <w:uiPriority w:val="0"/>
    <w:pPr>
      <w:tabs>
        <w:tab w:val="left" w:pos="0"/>
      </w:tabs>
      <w:adjustRightInd w:val="0"/>
      <w:snapToGrid w:val="0"/>
      <w:spacing w:before="120" w:line="400" w:lineRule="exact"/>
      <w:jc w:val="center"/>
    </w:pPr>
    <w:rPr>
      <w:rFonts w:ascii="Times New Roman" w:hAnsi="Times New Roman" w:eastAsia="宋体" w:cs="Times New Roman"/>
      <w:b/>
      <w:sz w:val="21"/>
      <w:lang w:val="en-US" w:eastAsia="zh-CN" w:bidi="ar-SA"/>
    </w:rPr>
  </w:style>
  <w:style w:type="table" w:customStyle="1" w:styleId="381">
    <w:name w:val="网格型1231"/>
    <w:basedOn w:val="71"/>
    <w:qFormat/>
    <w:uiPriority w:val="0"/>
    <w:pPr>
      <w:widowControl w:val="0"/>
      <w:spacing w:afterLines="20" w:line="400" w:lineRule="exact"/>
      <w:ind w:firstLine="480" w:firstLineChars="20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82">
    <w:name w:val="标题 2 + (西文) 黑体 (中文) 黑体 四号 非加粗"/>
    <w:basedOn w:val="3"/>
    <w:next w:val="4"/>
    <w:qFormat/>
    <w:uiPriority w:val="0"/>
    <w:pPr>
      <w:numPr>
        <w:ilvl w:val="0"/>
        <w:numId w:val="0"/>
      </w:numPr>
      <w:tabs>
        <w:tab w:val="left" w:pos="840"/>
      </w:tabs>
      <w:adjustRightInd/>
      <w:snapToGrid/>
      <w:spacing w:beforeLines="50" w:line="240" w:lineRule="auto"/>
      <w:ind w:left="840" w:hanging="420"/>
    </w:pPr>
    <w:rPr>
      <w:rFonts w:ascii="Times New Roman" w:hAnsi="Times New Roman"/>
      <w:bCs w:val="0"/>
      <w:sz w:val="28"/>
      <w:szCs w:val="20"/>
    </w:rPr>
  </w:style>
  <w:style w:type="paragraph" w:customStyle="1" w:styleId="383">
    <w:name w:val="标题 1 + (西文) 黑体 (中文) 黑体 三号 居中"/>
    <w:basedOn w:val="2"/>
    <w:next w:val="382"/>
    <w:qFormat/>
    <w:uiPriority w:val="0"/>
    <w:pPr>
      <w:numPr>
        <w:numId w:val="0"/>
      </w:numPr>
      <w:tabs>
        <w:tab w:val="left" w:pos="600"/>
      </w:tabs>
      <w:adjustRightInd/>
      <w:snapToGrid/>
      <w:spacing w:beforeLines="50" w:line="240" w:lineRule="auto"/>
      <w:ind w:firstLine="113"/>
    </w:pPr>
    <w:rPr>
      <w:rFonts w:ascii="黑体" w:cs="宋体"/>
      <w:sz w:val="32"/>
      <w:szCs w:val="20"/>
    </w:rPr>
  </w:style>
  <w:style w:type="paragraph" w:customStyle="1" w:styleId="384">
    <w:name w:val="表文C"/>
    <w:basedOn w:val="1"/>
    <w:qFormat/>
    <w:uiPriority w:val="0"/>
    <w:pPr>
      <w:widowControl/>
      <w:tabs>
        <w:tab w:val="left" w:pos="0"/>
      </w:tabs>
      <w:adjustRightInd w:val="0"/>
      <w:snapToGrid w:val="0"/>
      <w:jc w:val="center"/>
    </w:pPr>
    <w:rPr>
      <w:rFonts w:ascii="Times New Roman" w:hAnsi="Times New Roman" w:cs="Plotter"/>
      <w:snapToGrid w:val="0"/>
      <w:kern w:val="0"/>
      <w:szCs w:val="20"/>
    </w:rPr>
  </w:style>
  <w:style w:type="paragraph" w:customStyle="1" w:styleId="385">
    <w:name w:val="表名A"/>
    <w:basedOn w:val="1"/>
    <w:qFormat/>
    <w:uiPriority w:val="0"/>
    <w:pPr>
      <w:widowControl/>
      <w:tabs>
        <w:tab w:val="left" w:pos="0"/>
      </w:tabs>
      <w:adjustRightInd w:val="0"/>
      <w:snapToGrid w:val="0"/>
      <w:spacing w:beforeLines="80" w:afterLines="20"/>
      <w:jc w:val="center"/>
    </w:pPr>
    <w:rPr>
      <w:rFonts w:ascii="Times New Roman" w:hAnsi="Times New Roman" w:cs="Plotter"/>
      <w:b/>
      <w:snapToGrid w:val="0"/>
      <w:kern w:val="0"/>
      <w:szCs w:val="20"/>
    </w:rPr>
  </w:style>
  <w:style w:type="paragraph" w:customStyle="1" w:styleId="386">
    <w:name w:val="表文B"/>
    <w:qFormat/>
    <w:uiPriority w:val="0"/>
    <w:pPr>
      <w:tabs>
        <w:tab w:val="left" w:pos="0"/>
      </w:tabs>
      <w:adjustRightInd w:val="0"/>
      <w:snapToGrid w:val="0"/>
      <w:spacing w:beforeLines="25" w:afterLines="15" w:line="264" w:lineRule="auto"/>
    </w:pPr>
    <w:rPr>
      <w:rFonts w:ascii="宋体" w:hAnsi="Times New Roman" w:eastAsia="宋体" w:cs="Times New Roman"/>
      <w:snapToGrid w:val="0"/>
      <w:sz w:val="18"/>
      <w:lang w:val="en-US" w:eastAsia="zh-CN" w:bidi="ar-SA"/>
    </w:rPr>
  </w:style>
  <w:style w:type="character" w:customStyle="1" w:styleId="387">
    <w:name w:val="标题 2 + (西文) 黑体 (中文) 黑体 四号 非加粗 Char"/>
    <w:qFormat/>
    <w:uiPriority w:val="0"/>
    <w:rPr>
      <w:rFonts w:eastAsia="黑体"/>
      <w:b/>
      <w:kern w:val="2"/>
      <w:sz w:val="28"/>
      <w:lang w:val="en-US" w:eastAsia="zh-CN" w:bidi="ar-SA"/>
    </w:rPr>
  </w:style>
  <w:style w:type="paragraph" w:customStyle="1" w:styleId="388">
    <w:name w:val="表格目录"/>
    <w:basedOn w:val="1"/>
    <w:next w:val="1"/>
    <w:qFormat/>
    <w:uiPriority w:val="0"/>
    <w:pPr>
      <w:widowControl/>
      <w:jc w:val="center"/>
    </w:pPr>
    <w:rPr>
      <w:rFonts w:ascii="Times New Roman" w:hAnsi="Times New Roman"/>
      <w:b/>
      <w:bCs/>
      <w:kern w:val="0"/>
      <w:sz w:val="22"/>
      <w:szCs w:val="20"/>
    </w:rPr>
  </w:style>
  <w:style w:type="paragraph" w:customStyle="1" w:styleId="389">
    <w:name w:val="样式 标题 3 + 段前: 1 行"/>
    <w:basedOn w:val="4"/>
    <w:qFormat/>
    <w:uiPriority w:val="0"/>
    <w:pPr>
      <w:numPr>
        <w:ilvl w:val="0"/>
        <w:numId w:val="0"/>
      </w:numPr>
      <w:tabs>
        <w:tab w:val="left" w:pos="720"/>
      </w:tabs>
      <w:adjustRightInd/>
      <w:snapToGrid/>
      <w:spacing w:beforeLines="50" w:line="240" w:lineRule="auto"/>
      <w:ind w:left="720" w:hanging="720"/>
      <w:jc w:val="left"/>
    </w:pPr>
    <w:rPr>
      <w:rFonts w:eastAsia="黑体" w:cs="宋体"/>
      <w:b w:val="0"/>
      <w:bCs w:val="0"/>
      <w:szCs w:val="20"/>
    </w:rPr>
  </w:style>
  <w:style w:type="character" w:customStyle="1" w:styleId="390">
    <w:name w:val="正文文本2"/>
    <w:qFormat/>
    <w:uiPriority w:val="0"/>
    <w:rPr>
      <w:rFonts w:eastAsia="宋体"/>
      <w:kern w:val="2"/>
      <w:sz w:val="21"/>
      <w:szCs w:val="24"/>
      <w:lang w:val="en-US" w:eastAsia="zh-CN" w:bidi="ar-SA"/>
    </w:rPr>
  </w:style>
  <w:style w:type="paragraph" w:customStyle="1" w:styleId="391">
    <w:name w:val="序列样式1"/>
    <w:basedOn w:val="1"/>
    <w:qFormat/>
    <w:uiPriority w:val="0"/>
    <w:pPr>
      <w:tabs>
        <w:tab w:val="left" w:pos="360"/>
        <w:tab w:val="left" w:pos="840"/>
      </w:tabs>
      <w:spacing w:afterLines="20" w:line="400" w:lineRule="exact"/>
      <w:ind w:firstLine="200"/>
    </w:pPr>
    <w:rPr>
      <w:rFonts w:ascii="Times New Roman" w:hAnsi="Times New Roman"/>
      <w:sz w:val="24"/>
      <w:szCs w:val="28"/>
    </w:rPr>
  </w:style>
  <w:style w:type="paragraph" w:customStyle="1" w:styleId="392">
    <w:name w:val="zhengwen"/>
    <w:basedOn w:val="1"/>
    <w:qFormat/>
    <w:uiPriority w:val="0"/>
    <w:pPr>
      <w:tabs>
        <w:tab w:val="left" w:pos="360"/>
      </w:tabs>
      <w:spacing w:before="20" w:after="20" w:line="400" w:lineRule="exact"/>
      <w:ind w:firstLine="200"/>
    </w:pPr>
    <w:rPr>
      <w:rFonts w:ascii="Times New Roman" w:hAnsi="Times New Roman"/>
      <w:sz w:val="24"/>
      <w:szCs w:val="24"/>
    </w:rPr>
  </w:style>
  <w:style w:type="paragraph" w:customStyle="1" w:styleId="393">
    <w:name w:val="插图"/>
    <w:basedOn w:val="1"/>
    <w:next w:val="1"/>
    <w:qFormat/>
    <w:uiPriority w:val="0"/>
    <w:pPr>
      <w:keepLines/>
      <w:adjustRightInd w:val="0"/>
      <w:spacing w:before="360" w:after="300" w:line="567" w:lineRule="atLeast"/>
      <w:jc w:val="center"/>
      <w:textAlignment w:val="baseline"/>
    </w:pPr>
    <w:rPr>
      <w:rFonts w:ascii="Times New Roman" w:hAnsi="Times New Roman"/>
      <w:spacing w:val="6"/>
      <w:kern w:val="0"/>
      <w:sz w:val="24"/>
      <w:szCs w:val="20"/>
    </w:rPr>
  </w:style>
  <w:style w:type="paragraph" w:customStyle="1" w:styleId="394">
    <w:name w:val="样式 标题 2 + 段前: 1 行 段后: 0.5 行"/>
    <w:basedOn w:val="3"/>
    <w:qFormat/>
    <w:uiPriority w:val="0"/>
    <w:pPr>
      <w:numPr>
        <w:ilvl w:val="0"/>
        <w:numId w:val="0"/>
      </w:numPr>
      <w:tabs>
        <w:tab w:val="left" w:pos="840"/>
      </w:tabs>
      <w:spacing w:beforeLines="100" w:afterLines="50"/>
      <w:jc w:val="left"/>
    </w:pPr>
    <w:rPr>
      <w:rFonts w:ascii="Arial" w:hAnsi="Arial" w:eastAsia="楷体_GB2312" w:cs="宋体"/>
      <w:b/>
      <w:sz w:val="28"/>
      <w:szCs w:val="20"/>
    </w:rPr>
  </w:style>
  <w:style w:type="paragraph" w:customStyle="1" w:styleId="395">
    <w:name w:val="样式 两端对齐 首行缩进:  0.85 厘米"/>
    <w:basedOn w:val="1"/>
    <w:qFormat/>
    <w:uiPriority w:val="0"/>
    <w:pPr>
      <w:tabs>
        <w:tab w:val="left" w:pos="0"/>
      </w:tabs>
      <w:adjustRightInd w:val="0"/>
      <w:snapToGrid w:val="0"/>
      <w:spacing w:line="360" w:lineRule="auto"/>
      <w:ind w:left="340" w:hanging="340"/>
    </w:pPr>
    <w:rPr>
      <w:rFonts w:ascii="Times New Roman" w:hAnsi="Times New Roman" w:eastAsia="楷体_GB2312" w:cs="宋体"/>
      <w:sz w:val="24"/>
      <w:szCs w:val="20"/>
    </w:rPr>
  </w:style>
  <w:style w:type="paragraph" w:customStyle="1" w:styleId="396">
    <w:name w:val="样式 标题 3 + 段前: 0 磅 段后: 0 磅 行距: 1.5 倍行距"/>
    <w:basedOn w:val="4"/>
    <w:qFormat/>
    <w:uiPriority w:val="0"/>
    <w:pPr>
      <w:numPr>
        <w:ilvl w:val="0"/>
        <w:numId w:val="0"/>
      </w:numPr>
      <w:tabs>
        <w:tab w:val="left" w:pos="0"/>
      </w:tabs>
      <w:adjustRightInd/>
      <w:ind w:left="340" w:hanging="340"/>
    </w:pPr>
    <w:rPr>
      <w:rFonts w:eastAsia="黑体" w:cs="宋体"/>
      <w:b w:val="0"/>
      <w:bCs w:val="0"/>
      <w:szCs w:val="20"/>
    </w:rPr>
  </w:style>
  <w:style w:type="paragraph" w:customStyle="1" w:styleId="397">
    <w:name w:val="标注"/>
    <w:basedOn w:val="1"/>
    <w:qFormat/>
    <w:uiPriority w:val="0"/>
    <w:pPr>
      <w:tabs>
        <w:tab w:val="left" w:pos="1069"/>
      </w:tabs>
      <w:spacing w:line="240" w:lineRule="exact"/>
      <w:jc w:val="center"/>
    </w:pPr>
    <w:rPr>
      <w:rFonts w:ascii="宋体" w:hAnsi="宋体"/>
    </w:rPr>
  </w:style>
  <w:style w:type="paragraph" w:customStyle="1" w:styleId="398">
    <w:name w:val="2"/>
    <w:basedOn w:val="1"/>
    <w:next w:val="31"/>
    <w:qFormat/>
    <w:uiPriority w:val="0"/>
    <w:pPr>
      <w:tabs>
        <w:tab w:val="left" w:pos="0"/>
      </w:tabs>
      <w:spacing w:beforeLines="50" w:line="360" w:lineRule="exact"/>
      <w:ind w:left="340" w:hanging="340"/>
      <w:jc w:val="center"/>
    </w:pPr>
    <w:rPr>
      <w:rFonts w:ascii="Times New Roman" w:hAnsi="Times New Roman"/>
      <w:b/>
      <w:szCs w:val="24"/>
    </w:rPr>
  </w:style>
  <w:style w:type="paragraph" w:customStyle="1" w:styleId="399">
    <w:name w:val="1"/>
    <w:basedOn w:val="1"/>
    <w:next w:val="18"/>
    <w:qFormat/>
    <w:uiPriority w:val="0"/>
    <w:pPr>
      <w:tabs>
        <w:tab w:val="left" w:pos="0"/>
      </w:tabs>
      <w:spacing w:line="420" w:lineRule="exact"/>
      <w:ind w:left="340" w:firstLine="480"/>
    </w:pPr>
    <w:rPr>
      <w:rFonts w:ascii="Times New Roman" w:hAnsi="Times New Roman"/>
      <w:szCs w:val="20"/>
    </w:rPr>
  </w:style>
  <w:style w:type="character" w:customStyle="1" w:styleId="400">
    <w:name w:val="unnamednews1"/>
    <w:qFormat/>
    <w:uiPriority w:val="0"/>
    <w:rPr>
      <w:rFonts w:hint="default"/>
      <w:color w:val="000000"/>
      <w:sz w:val="28"/>
      <w:szCs w:val="28"/>
      <w:u w:val="none"/>
    </w:rPr>
  </w:style>
  <w:style w:type="paragraph" w:customStyle="1" w:styleId="401">
    <w:name w:val="样式 标题 2 + (西文) Times New Roman (中文) 宋体 行距: 固定值 20 磅"/>
    <w:basedOn w:val="3"/>
    <w:qFormat/>
    <w:uiPriority w:val="0"/>
    <w:pPr>
      <w:numPr>
        <w:ilvl w:val="0"/>
        <w:numId w:val="0"/>
      </w:numPr>
      <w:tabs>
        <w:tab w:val="left" w:pos="1429"/>
      </w:tabs>
      <w:adjustRightInd/>
      <w:spacing w:before="180" w:after="60" w:line="400" w:lineRule="exact"/>
      <w:ind w:left="709"/>
    </w:pPr>
    <w:rPr>
      <w:rFonts w:ascii="Times New Roman" w:hAnsi="Times New Roman" w:eastAsia="宋体" w:cs="宋体"/>
      <w:b/>
      <w:sz w:val="28"/>
      <w:szCs w:val="20"/>
    </w:rPr>
  </w:style>
  <w:style w:type="paragraph" w:customStyle="1" w:styleId="402">
    <w:name w:val="样式 标题 3 + (中文) 宋体 加粗 左侧:  1.25 厘米 行距: 固定值 20 磅"/>
    <w:basedOn w:val="4"/>
    <w:qFormat/>
    <w:uiPriority w:val="0"/>
    <w:pPr>
      <w:numPr>
        <w:ilvl w:val="0"/>
        <w:numId w:val="0"/>
      </w:numPr>
      <w:tabs>
        <w:tab w:val="left" w:pos="1429"/>
      </w:tabs>
      <w:adjustRightInd/>
      <w:spacing w:before="60" w:line="400" w:lineRule="exact"/>
      <w:ind w:left="709"/>
    </w:pPr>
    <w:rPr>
      <w:rFonts w:cs="宋体"/>
      <w:szCs w:val="20"/>
    </w:rPr>
  </w:style>
  <w:style w:type="paragraph" w:customStyle="1" w:styleId="403">
    <w:name w:val="样式 标题 3 + (中文) 宋体 段前: 0 磅 行距: 固定值 20 磅"/>
    <w:basedOn w:val="4"/>
    <w:qFormat/>
    <w:uiPriority w:val="0"/>
    <w:pPr>
      <w:numPr>
        <w:ilvl w:val="0"/>
        <w:numId w:val="0"/>
      </w:numPr>
      <w:tabs>
        <w:tab w:val="left" w:pos="1429"/>
      </w:tabs>
      <w:adjustRightInd/>
      <w:spacing w:line="400" w:lineRule="exact"/>
      <w:ind w:left="709"/>
    </w:pPr>
    <w:rPr>
      <w:rFonts w:cs="宋体"/>
      <w:b w:val="0"/>
      <w:bCs w:val="0"/>
      <w:szCs w:val="20"/>
    </w:rPr>
  </w:style>
  <w:style w:type="paragraph" w:customStyle="1" w:styleId="404">
    <w:name w:val="样式 目录 1 + 首行缩进:  2 字符"/>
    <w:basedOn w:val="45"/>
    <w:qFormat/>
    <w:uiPriority w:val="0"/>
    <w:rPr>
      <w:rFonts w:eastAsia="宋体" w:cs="宋体" w:asciiTheme="minorHAnsi" w:hAnsiTheme="minorHAnsi"/>
      <w:b w:val="0"/>
      <w:sz w:val="20"/>
      <w:szCs w:val="20"/>
    </w:rPr>
  </w:style>
  <w:style w:type="paragraph" w:customStyle="1" w:styleId="405">
    <w:name w:val="内容"/>
    <w:basedOn w:val="1"/>
    <w:qFormat/>
    <w:uiPriority w:val="0"/>
    <w:pPr>
      <w:spacing w:line="360" w:lineRule="auto"/>
    </w:pPr>
    <w:rPr>
      <w:rFonts w:ascii="Times New Roman" w:hAnsi="Times New Roman"/>
      <w:sz w:val="28"/>
      <w:szCs w:val="20"/>
    </w:rPr>
  </w:style>
  <w:style w:type="paragraph" w:customStyle="1" w:styleId="406">
    <w:name w:val="文本框文字"/>
    <w:basedOn w:val="1"/>
    <w:next w:val="18"/>
    <w:qFormat/>
    <w:uiPriority w:val="0"/>
    <w:pPr>
      <w:jc w:val="center"/>
    </w:pPr>
    <w:rPr>
      <w:rFonts w:ascii="Times New Roman" w:hAnsi="Times New Roman"/>
      <w:szCs w:val="24"/>
    </w:rPr>
  </w:style>
  <w:style w:type="paragraph" w:customStyle="1" w:styleId="407">
    <w:name w:val="符号后文字"/>
    <w:basedOn w:val="18"/>
    <w:qFormat/>
    <w:uiPriority w:val="0"/>
    <w:pPr>
      <w:spacing w:before="62" w:line="400" w:lineRule="exact"/>
      <w:ind w:firstLine="480"/>
      <w:outlineLvl w:val="0"/>
    </w:pPr>
    <w:rPr>
      <w:rFonts w:ascii="Times New Roman" w:hAnsi="Times New Roman"/>
      <w:kern w:val="0"/>
      <w:sz w:val="24"/>
      <w:szCs w:val="20"/>
      <w:u w:val="single"/>
    </w:rPr>
  </w:style>
  <w:style w:type="paragraph" w:customStyle="1" w:styleId="408">
    <w:name w:val="图表名A"/>
    <w:qFormat/>
    <w:uiPriority w:val="0"/>
    <w:pPr>
      <w:tabs>
        <w:tab w:val="left" w:pos="0"/>
      </w:tabs>
      <w:adjustRightInd w:val="0"/>
      <w:snapToGrid w:val="0"/>
      <w:spacing w:beforeLines="50" w:afterLines="50"/>
      <w:jc w:val="center"/>
    </w:pPr>
    <w:rPr>
      <w:rFonts w:ascii="Times New Roman" w:hAnsi="Times New Roman" w:eastAsia="宋体" w:cs="Times New Roman"/>
      <w:b/>
      <w:snapToGrid w:val="0"/>
      <w:sz w:val="24"/>
      <w:lang w:val="en-US" w:eastAsia="zh-CN" w:bidi="ar-SA"/>
    </w:rPr>
  </w:style>
  <w:style w:type="character" w:customStyle="1" w:styleId="409">
    <w:name w:val="a"/>
    <w:basedOn w:val="74"/>
    <w:qFormat/>
    <w:uiPriority w:val="0"/>
  </w:style>
  <w:style w:type="paragraph" w:customStyle="1" w:styleId="410">
    <w:name w:val="xl24"/>
    <w:basedOn w:val="1"/>
    <w:qFormat/>
    <w:uiPriority w:val="0"/>
    <w:pPr>
      <w:widowControl/>
      <w:spacing w:before="100" w:beforeAutospacing="1" w:after="100" w:afterAutospacing="1"/>
      <w:jc w:val="center"/>
    </w:pPr>
    <w:rPr>
      <w:rFonts w:ascii="Arial Unicode MS" w:hAnsi="Arial Unicode MS"/>
      <w:kern w:val="0"/>
      <w:sz w:val="20"/>
      <w:szCs w:val="20"/>
    </w:rPr>
  </w:style>
  <w:style w:type="paragraph" w:customStyle="1" w:styleId="411">
    <w:name w:val="纯文本2"/>
    <w:basedOn w:val="1"/>
    <w:next w:val="36"/>
    <w:qFormat/>
    <w:uiPriority w:val="0"/>
    <w:pPr>
      <w:adjustRightInd w:val="0"/>
      <w:spacing w:line="312" w:lineRule="atLeast"/>
      <w:textAlignment w:val="baseline"/>
    </w:pPr>
    <w:rPr>
      <w:rFonts w:ascii="宋体" w:hAnsi="Courier New" w:cs="Courier New"/>
    </w:rPr>
  </w:style>
  <w:style w:type="paragraph" w:customStyle="1" w:styleId="412">
    <w:name w:val="公式"/>
    <w:next w:val="1"/>
    <w:qFormat/>
    <w:uiPriority w:val="0"/>
    <w:pPr>
      <w:jc w:val="center"/>
    </w:pPr>
    <w:rPr>
      <w:rFonts w:ascii="Times New Roman" w:hAnsi="Times New Roman" w:eastAsia="宋体" w:cs="Times New Roman"/>
      <w:kern w:val="2"/>
      <w:sz w:val="24"/>
      <w:szCs w:val="24"/>
      <w:lang w:val="en-US" w:eastAsia="zh-CN" w:bidi="ar-SA"/>
    </w:rPr>
  </w:style>
  <w:style w:type="paragraph" w:customStyle="1" w:styleId="413">
    <w:name w:val="符号后文字2"/>
    <w:basedOn w:val="1"/>
    <w:qFormat/>
    <w:uiPriority w:val="0"/>
    <w:pPr>
      <w:tabs>
        <w:tab w:val="left" w:pos="1191"/>
      </w:tabs>
      <w:spacing w:beforeLines="20" w:line="400" w:lineRule="exact"/>
      <w:ind w:left="1191" w:hanging="1191"/>
    </w:pPr>
    <w:rPr>
      <w:rFonts w:ascii="Times New Roman" w:hAnsi="Times New Roman"/>
      <w:sz w:val="24"/>
      <w:szCs w:val="24"/>
    </w:rPr>
  </w:style>
  <w:style w:type="paragraph" w:customStyle="1" w:styleId="414">
    <w:name w:val="5"/>
    <w:basedOn w:val="1"/>
    <w:next w:val="36"/>
    <w:qFormat/>
    <w:uiPriority w:val="0"/>
    <w:pPr>
      <w:adjustRightInd w:val="0"/>
      <w:spacing w:line="312" w:lineRule="atLeast"/>
      <w:textAlignment w:val="baseline"/>
    </w:pPr>
    <w:rPr>
      <w:rFonts w:ascii="宋体" w:hAnsi="Courier New" w:cs="Courier New"/>
    </w:rPr>
  </w:style>
  <w:style w:type="paragraph" w:customStyle="1" w:styleId="415">
    <w:name w:val="符号 Char"/>
    <w:basedOn w:val="7"/>
    <w:link w:val="416"/>
    <w:qFormat/>
    <w:uiPriority w:val="0"/>
    <w:pPr>
      <w:widowControl/>
      <w:tabs>
        <w:tab w:val="left" w:pos="280"/>
        <w:tab w:val="left" w:pos="560"/>
      </w:tabs>
      <w:spacing w:after="0" w:line="360" w:lineRule="auto"/>
      <w:ind w:firstLine="480" w:firstLineChars="200"/>
    </w:pPr>
    <w:rPr>
      <w:rFonts w:ascii="新宋体" w:hAnsi="Times New Roman" w:eastAsia="新宋体"/>
      <w:iCs/>
      <w:kern w:val="0"/>
      <w:sz w:val="24"/>
      <w:szCs w:val="24"/>
    </w:rPr>
  </w:style>
  <w:style w:type="character" w:customStyle="1" w:styleId="416">
    <w:name w:val="符号 Char Char"/>
    <w:link w:val="415"/>
    <w:qFormat/>
    <w:uiPriority w:val="0"/>
    <w:rPr>
      <w:rFonts w:ascii="新宋体" w:eastAsia="新宋体"/>
      <w:iCs/>
      <w:sz w:val="24"/>
      <w:szCs w:val="24"/>
    </w:rPr>
  </w:style>
  <w:style w:type="paragraph" w:customStyle="1" w:styleId="417">
    <w:name w:val="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418">
    <w:name w:val="Char Char Char Char Char Char Char Char Char2 Char Char Char Char Char Char Char Char Char"/>
    <w:basedOn w:val="1"/>
    <w:qFormat/>
    <w:uiPriority w:val="0"/>
    <w:pPr>
      <w:spacing w:line="360" w:lineRule="auto"/>
      <w:ind w:firstLine="200" w:firstLineChars="200"/>
    </w:pPr>
    <w:rPr>
      <w:rFonts w:ascii="宋体" w:hAnsi="宋体" w:cs="宋体"/>
      <w:sz w:val="24"/>
      <w:szCs w:val="24"/>
    </w:rPr>
  </w:style>
  <w:style w:type="character" w:customStyle="1" w:styleId="419">
    <w:name w:val="正文（首行缩进两字）"/>
    <w:qFormat/>
    <w:uiPriority w:val="0"/>
    <w:rPr>
      <w:rFonts w:eastAsia="宋体"/>
      <w:kern w:val="2"/>
      <w:sz w:val="21"/>
      <w:lang w:val="en-US" w:eastAsia="zh-CN" w:bidi="ar-SA"/>
    </w:rPr>
  </w:style>
  <w:style w:type="paragraph" w:customStyle="1" w:styleId="420">
    <w:name w:val="12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421">
    <w:name w:val="黑体"/>
    <w:basedOn w:val="1"/>
    <w:next w:val="392"/>
    <w:qFormat/>
    <w:uiPriority w:val="0"/>
    <w:pPr>
      <w:tabs>
        <w:tab w:val="left" w:pos="785"/>
      </w:tabs>
      <w:spacing w:afterLines="20" w:line="400" w:lineRule="exact"/>
      <w:ind w:left="-29" w:firstLine="454"/>
    </w:pPr>
    <w:rPr>
      <w:rFonts w:ascii="Times New Roman" w:hAnsi="Times New Roman"/>
      <w:color w:val="FF0000"/>
      <w:sz w:val="24"/>
      <w:szCs w:val="24"/>
    </w:rPr>
  </w:style>
  <w:style w:type="paragraph" w:customStyle="1" w:styleId="422">
    <w:name w:val="符号"/>
    <w:basedOn w:val="7"/>
    <w:qFormat/>
    <w:uiPriority w:val="0"/>
    <w:pPr>
      <w:widowControl/>
      <w:tabs>
        <w:tab w:val="left" w:pos="280"/>
        <w:tab w:val="left" w:pos="560"/>
      </w:tabs>
      <w:spacing w:after="0" w:line="360" w:lineRule="auto"/>
      <w:ind w:firstLine="480" w:firstLineChars="200"/>
    </w:pPr>
    <w:rPr>
      <w:rFonts w:ascii="新宋体" w:hAnsi="Times New Roman" w:eastAsia="新宋体"/>
      <w:iCs/>
      <w:kern w:val="0"/>
      <w:sz w:val="24"/>
      <w:szCs w:val="24"/>
    </w:rPr>
  </w:style>
  <w:style w:type="paragraph" w:customStyle="1" w:styleId="423">
    <w:name w:val="样式 正文文本正文文字 + 居中 段后: 0 磅 行距: 最小值 12 磅"/>
    <w:basedOn w:val="7"/>
    <w:qFormat/>
    <w:uiPriority w:val="0"/>
    <w:pPr>
      <w:spacing w:after="0" w:line="240" w:lineRule="atLeast"/>
      <w:jc w:val="center"/>
    </w:pPr>
    <w:rPr>
      <w:rFonts w:ascii="Times New Roman" w:hAnsi="Times New Roman"/>
      <w:kern w:val="0"/>
      <w:sz w:val="20"/>
      <w:szCs w:val="20"/>
    </w:rPr>
  </w:style>
  <w:style w:type="paragraph" w:customStyle="1" w:styleId="424">
    <w:name w:val="7"/>
    <w:basedOn w:val="1"/>
    <w:next w:val="7"/>
    <w:qFormat/>
    <w:uiPriority w:val="0"/>
    <w:pPr>
      <w:spacing w:line="240" w:lineRule="atLeast"/>
      <w:jc w:val="center"/>
    </w:pPr>
    <w:rPr>
      <w:rFonts w:ascii="Times New Roman" w:hAnsi="Times New Roman"/>
      <w:szCs w:val="24"/>
    </w:rPr>
  </w:style>
  <w:style w:type="character" w:customStyle="1" w:styleId="425">
    <w:name w:val="正文文本4"/>
    <w:qFormat/>
    <w:uiPriority w:val="0"/>
    <w:rPr>
      <w:rFonts w:eastAsia="宋体"/>
      <w:kern w:val="2"/>
      <w:sz w:val="21"/>
      <w:szCs w:val="24"/>
      <w:lang w:val="en-US" w:eastAsia="zh-CN" w:bidi="ar-SA"/>
    </w:rPr>
  </w:style>
  <w:style w:type="character" w:customStyle="1" w:styleId="426">
    <w:name w:val="tpc_content1"/>
    <w:qFormat/>
    <w:uiPriority w:val="0"/>
    <w:rPr>
      <w:sz w:val="20"/>
      <w:szCs w:val="20"/>
    </w:rPr>
  </w:style>
  <w:style w:type="character" w:customStyle="1" w:styleId="427">
    <w:name w:val="正文非缩进 Char"/>
    <w:qFormat/>
    <w:uiPriority w:val="0"/>
    <w:rPr>
      <w:rFonts w:eastAsia="宋体"/>
      <w:kern w:val="2"/>
      <w:sz w:val="21"/>
      <w:lang w:val="en-US" w:eastAsia="zh-CN" w:bidi="ar-SA"/>
    </w:rPr>
  </w:style>
  <w:style w:type="paragraph" w:customStyle="1" w:styleId="428">
    <w:name w:val="12 Char Char Char Char Char Char Char Char Char Char"/>
    <w:basedOn w:val="1"/>
    <w:qFormat/>
    <w:uiPriority w:val="0"/>
    <w:pPr>
      <w:spacing w:line="360" w:lineRule="auto"/>
      <w:ind w:firstLine="200" w:firstLineChars="200"/>
    </w:pPr>
    <w:rPr>
      <w:rFonts w:ascii="宋体" w:hAnsi="宋体" w:cs="宋体"/>
      <w:sz w:val="24"/>
      <w:szCs w:val="24"/>
    </w:rPr>
  </w:style>
  <w:style w:type="character" w:customStyle="1" w:styleId="429">
    <w:name w:val="正文缩进1"/>
    <w:qFormat/>
    <w:uiPriority w:val="0"/>
    <w:rPr>
      <w:rFonts w:eastAsia="宋体"/>
      <w:kern w:val="2"/>
      <w:sz w:val="24"/>
      <w:lang w:val="en-US" w:eastAsia="zh-CN" w:bidi="ar-SA"/>
    </w:rPr>
  </w:style>
  <w:style w:type="character" w:customStyle="1" w:styleId="430">
    <w:name w:val="0"/>
    <w:qFormat/>
    <w:uiPriority w:val="0"/>
    <w:rPr>
      <w:sz w:val="18"/>
    </w:rPr>
  </w:style>
  <w:style w:type="paragraph" w:customStyle="1" w:styleId="431">
    <w:name w:val="正文(首行缩进)"/>
    <w:basedOn w:val="1"/>
    <w:qFormat/>
    <w:uiPriority w:val="0"/>
    <w:pPr>
      <w:spacing w:line="360" w:lineRule="auto"/>
      <w:ind w:firstLine="480" w:firstLineChars="200"/>
    </w:pPr>
    <w:rPr>
      <w:rFonts w:ascii="宋体" w:hAnsi="宋体"/>
      <w:kern w:val="24"/>
      <w:sz w:val="24"/>
      <w:szCs w:val="20"/>
    </w:rPr>
  </w:style>
  <w:style w:type="paragraph" w:customStyle="1" w:styleId="432">
    <w:name w:val="Char Char Char Char Char Char Char Char Char2 Char Char 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433">
    <w:name w:val="表格11"/>
    <w:basedOn w:val="1"/>
    <w:qFormat/>
    <w:uiPriority w:val="0"/>
    <w:pPr>
      <w:snapToGrid w:val="0"/>
      <w:jc w:val="center"/>
    </w:pPr>
    <w:rPr>
      <w:rFonts w:ascii="Times New Roman" w:hAnsi="Times New Roman"/>
      <w:kern w:val="0"/>
    </w:rPr>
  </w:style>
  <w:style w:type="paragraph" w:customStyle="1" w:styleId="434">
    <w:name w:val="样式 正文文本正文文字 Char"/>
    <w:basedOn w:val="7"/>
    <w:qFormat/>
    <w:uiPriority w:val="0"/>
    <w:pPr>
      <w:spacing w:after="0" w:line="240" w:lineRule="atLeast"/>
      <w:jc w:val="center"/>
    </w:pPr>
    <w:rPr>
      <w:rFonts w:ascii="Times New Roman" w:hAnsi="Times New Roman"/>
      <w:bCs/>
      <w:kern w:val="0"/>
      <w:sz w:val="20"/>
      <w:szCs w:val="24"/>
    </w:rPr>
  </w:style>
  <w:style w:type="paragraph" w:customStyle="1" w:styleId="435">
    <w:name w:val="正文文本1 Char1 Char Char Char Char Char Char Char"/>
    <w:basedOn w:val="1"/>
    <w:next w:val="7"/>
    <w:qFormat/>
    <w:uiPriority w:val="0"/>
    <w:pPr>
      <w:spacing w:line="240" w:lineRule="atLeast"/>
      <w:jc w:val="center"/>
    </w:pPr>
    <w:rPr>
      <w:rFonts w:ascii="Times New Roman" w:hAnsi="Times New Roman"/>
      <w:szCs w:val="24"/>
    </w:rPr>
  </w:style>
  <w:style w:type="paragraph" w:customStyle="1" w:styleId="436">
    <w:name w:val="样式 正文文本正文文字"/>
    <w:basedOn w:val="7"/>
    <w:qFormat/>
    <w:uiPriority w:val="0"/>
    <w:pPr>
      <w:spacing w:after="0" w:line="240" w:lineRule="atLeast"/>
      <w:jc w:val="center"/>
    </w:pPr>
    <w:rPr>
      <w:rFonts w:ascii="Times New Roman" w:hAnsi="Times New Roman"/>
      <w:bCs/>
      <w:kern w:val="0"/>
      <w:sz w:val="20"/>
      <w:szCs w:val="24"/>
    </w:rPr>
  </w:style>
  <w:style w:type="character" w:customStyle="1" w:styleId="437">
    <w:name w:val="viewinfo"/>
    <w:qFormat/>
    <w:uiPriority w:val="0"/>
    <w:rPr>
      <w:rFonts w:hint="default"/>
      <w:sz w:val="18"/>
      <w:szCs w:val="18"/>
      <w:u w:val="none"/>
    </w:rPr>
  </w:style>
  <w:style w:type="paragraph" w:customStyle="1" w:styleId="438">
    <w:name w:val="下划线"/>
    <w:basedOn w:val="1"/>
    <w:next w:val="1"/>
    <w:qFormat/>
    <w:uiPriority w:val="0"/>
    <w:pPr>
      <w:spacing w:beforeLines="50" w:line="400" w:lineRule="exact"/>
      <w:ind w:firstLine="480" w:firstLineChars="200"/>
    </w:pPr>
    <w:rPr>
      <w:rFonts w:ascii="Times New Roman" w:hAnsi="Times New Roman"/>
      <w:bCs/>
      <w:color w:val="000000"/>
      <w:sz w:val="24"/>
      <w:szCs w:val="24"/>
    </w:rPr>
  </w:style>
  <w:style w:type="paragraph" w:customStyle="1" w:styleId="439">
    <w:name w:val="8"/>
    <w:basedOn w:val="1"/>
    <w:next w:val="28"/>
    <w:qFormat/>
    <w:uiPriority w:val="0"/>
    <w:pPr>
      <w:spacing w:afterLines="20" w:line="400" w:lineRule="exact"/>
      <w:ind w:firstLine="480" w:firstLineChars="200"/>
    </w:pPr>
    <w:rPr>
      <w:rFonts w:ascii="Times New Roman" w:hAnsi="Times New Roman"/>
      <w:sz w:val="24"/>
      <w:szCs w:val="24"/>
    </w:rPr>
  </w:style>
  <w:style w:type="character" w:customStyle="1" w:styleId="440">
    <w:name w:val="样式 黑色"/>
    <w:qFormat/>
    <w:uiPriority w:val="0"/>
    <w:rPr>
      <w:rFonts w:eastAsia="宋体"/>
      <w:color w:val="000000"/>
      <w:sz w:val="24"/>
      <w:szCs w:val="24"/>
      <w:u w:val="none"/>
      <w:vertAlign w:val="baseline"/>
    </w:rPr>
  </w:style>
  <w:style w:type="character" w:customStyle="1" w:styleId="441">
    <w:name w:val="title1"/>
    <w:basedOn w:val="74"/>
    <w:qFormat/>
    <w:uiPriority w:val="0"/>
  </w:style>
  <w:style w:type="paragraph" w:customStyle="1" w:styleId="442">
    <w:name w:val="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443">
    <w:name w:val="图表"/>
    <w:basedOn w:val="58"/>
    <w:next w:val="1"/>
    <w:qFormat/>
    <w:uiPriority w:val="0"/>
    <w:pPr>
      <w:spacing w:beforeLines="50" w:line="240" w:lineRule="auto"/>
      <w:ind w:left="0"/>
    </w:pPr>
    <w:rPr>
      <w:bCs/>
      <w:sz w:val="24"/>
      <w:szCs w:val="24"/>
    </w:rPr>
  </w:style>
  <w:style w:type="character" w:customStyle="1" w:styleId="444">
    <w:name w:val="zhengw1"/>
    <w:qFormat/>
    <w:uiPriority w:val="0"/>
    <w:rPr>
      <w:rFonts w:hint="default"/>
      <w:sz w:val="24"/>
      <w:szCs w:val="24"/>
    </w:rPr>
  </w:style>
  <w:style w:type="paragraph" w:customStyle="1" w:styleId="445">
    <w:name w:val="样式 标题 2 + 段前: 0.5 行 段后: 0.5 行"/>
    <w:basedOn w:val="3"/>
    <w:qFormat/>
    <w:uiPriority w:val="0"/>
    <w:pPr>
      <w:numPr>
        <w:ilvl w:val="0"/>
        <w:numId w:val="0"/>
      </w:numPr>
      <w:tabs>
        <w:tab w:val="left" w:pos="576"/>
      </w:tabs>
      <w:adjustRightInd/>
      <w:snapToGrid/>
      <w:spacing w:before="120" w:after="120" w:line="400" w:lineRule="exact"/>
      <w:ind w:left="576" w:hanging="576"/>
    </w:pPr>
    <w:rPr>
      <w:rFonts w:ascii="Times New Roman" w:hAnsi="Times New Roman"/>
      <w:bCs w:val="0"/>
      <w:sz w:val="28"/>
    </w:rPr>
  </w:style>
  <w:style w:type="character" w:customStyle="1" w:styleId="446">
    <w:name w:val="dectext1"/>
    <w:qFormat/>
    <w:uiPriority w:val="0"/>
    <w:rPr>
      <w:rFonts w:hint="eastAsia" w:ascii="宋体" w:hAnsi="宋体" w:eastAsia="宋体"/>
      <w:color w:val="333333"/>
      <w:sz w:val="18"/>
      <w:szCs w:val="18"/>
      <w:u w:val="none"/>
    </w:rPr>
  </w:style>
  <w:style w:type="paragraph" w:customStyle="1" w:styleId="447">
    <w:name w:val="ST20_5"/>
    <w:qFormat/>
    <w:uiPriority w:val="0"/>
    <w:pPr>
      <w:widowControl w:val="0"/>
      <w:autoSpaceDE w:val="0"/>
      <w:autoSpaceDN w:val="0"/>
      <w:adjustRightInd w:val="0"/>
      <w:jc w:val="both"/>
      <w:textAlignment w:val="baseline"/>
    </w:pPr>
    <w:rPr>
      <w:rFonts w:ascii="宋体" w:hAnsi="Tms Rmn" w:eastAsia="宋体" w:cs="Times New Roman"/>
      <w:sz w:val="21"/>
      <w:lang w:val="en-US" w:eastAsia="zh-CN" w:bidi="ar-SA"/>
    </w:rPr>
  </w:style>
  <w:style w:type="character" w:customStyle="1" w:styleId="448">
    <w:name w:val="正文文本3"/>
    <w:qFormat/>
    <w:uiPriority w:val="0"/>
    <w:rPr>
      <w:rFonts w:eastAsia="宋体"/>
      <w:kern w:val="2"/>
      <w:sz w:val="21"/>
      <w:szCs w:val="24"/>
      <w:lang w:val="en-US" w:eastAsia="zh-CN" w:bidi="ar-SA"/>
    </w:rPr>
  </w:style>
  <w:style w:type="character" w:customStyle="1" w:styleId="449">
    <w:name w:val="样式 正文文本正文文字 Char Char"/>
    <w:qFormat/>
    <w:uiPriority w:val="0"/>
    <w:rPr>
      <w:rFonts w:eastAsia="宋体"/>
      <w:bCs/>
      <w:kern w:val="2"/>
      <w:sz w:val="21"/>
      <w:szCs w:val="24"/>
      <w:lang w:val="en-US" w:eastAsia="zh-CN" w:bidi="ar-SA"/>
    </w:rPr>
  </w:style>
  <w:style w:type="paragraph" w:customStyle="1" w:styleId="450">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Arial Unicode MS"/>
      <w:kern w:val="0"/>
      <w:sz w:val="20"/>
      <w:szCs w:val="20"/>
    </w:rPr>
  </w:style>
  <w:style w:type="paragraph" w:customStyle="1" w:styleId="451">
    <w:name w:val="6"/>
    <w:basedOn w:val="1"/>
    <w:next w:val="7"/>
    <w:qFormat/>
    <w:uiPriority w:val="0"/>
    <w:pPr>
      <w:spacing w:line="240" w:lineRule="atLeast"/>
      <w:jc w:val="center"/>
    </w:pPr>
    <w:rPr>
      <w:rFonts w:ascii="Times New Roman" w:hAnsi="Times New Roman"/>
      <w:szCs w:val="24"/>
    </w:rPr>
  </w:style>
  <w:style w:type="paragraph" w:customStyle="1" w:styleId="452">
    <w:name w:val="Char1"/>
    <w:basedOn w:val="1"/>
    <w:link w:val="453"/>
    <w:qFormat/>
    <w:uiPriority w:val="0"/>
    <w:pPr>
      <w:spacing w:line="360" w:lineRule="auto"/>
      <w:ind w:firstLine="200" w:firstLineChars="200"/>
    </w:pPr>
    <w:rPr>
      <w:rFonts w:ascii="宋体" w:hAnsi="宋体"/>
      <w:kern w:val="0"/>
      <w:sz w:val="24"/>
      <w:szCs w:val="24"/>
    </w:rPr>
  </w:style>
  <w:style w:type="character" w:customStyle="1" w:styleId="453">
    <w:name w:val="Char Char1"/>
    <w:link w:val="452"/>
    <w:qFormat/>
    <w:uiPriority w:val="0"/>
    <w:rPr>
      <w:rFonts w:ascii="宋体" w:hAnsi="宋体"/>
      <w:sz w:val="24"/>
      <w:szCs w:val="24"/>
    </w:rPr>
  </w:style>
  <w:style w:type="paragraph" w:customStyle="1" w:styleId="454">
    <w:name w:val="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455">
    <w:name w:val="正文居中"/>
    <w:basedOn w:val="1"/>
    <w:qFormat/>
    <w:uiPriority w:val="0"/>
    <w:pPr>
      <w:adjustRightInd w:val="0"/>
      <w:snapToGrid w:val="0"/>
      <w:jc w:val="center"/>
    </w:pPr>
    <w:rPr>
      <w:rFonts w:ascii="Times New Roman" w:hAnsi="Times New Roman"/>
      <w:sz w:val="24"/>
      <w:szCs w:val="24"/>
    </w:rPr>
  </w:style>
  <w:style w:type="paragraph" w:customStyle="1" w:styleId="456">
    <w:name w:val="正文首行缩进:2字符"/>
    <w:basedOn w:val="1"/>
    <w:qFormat/>
    <w:uiPriority w:val="0"/>
    <w:pPr>
      <w:ind w:firstLine="560" w:firstLineChars="200"/>
    </w:pPr>
    <w:rPr>
      <w:rFonts w:ascii="Times New Roman" w:hAnsi="Times New Roman" w:cs="宋体"/>
      <w:sz w:val="28"/>
      <w:szCs w:val="20"/>
    </w:rPr>
  </w:style>
  <w:style w:type="paragraph" w:customStyle="1" w:styleId="457">
    <w:name w:val="Char Char Char"/>
    <w:basedOn w:val="1"/>
    <w:qFormat/>
    <w:uiPriority w:val="0"/>
    <w:pPr>
      <w:spacing w:line="360" w:lineRule="auto"/>
      <w:ind w:firstLine="200" w:firstLineChars="200"/>
    </w:pPr>
    <w:rPr>
      <w:rFonts w:ascii="宋体" w:hAnsi="宋体" w:cs="宋体"/>
      <w:sz w:val="24"/>
      <w:szCs w:val="24"/>
    </w:rPr>
  </w:style>
  <w:style w:type="paragraph" w:customStyle="1" w:styleId="458">
    <w:name w:val="Char Char Char Char Char Char Char Char Char Char Char Char Char Char Char Char Char Char Char Char Char Char Char Char"/>
    <w:basedOn w:val="1"/>
    <w:qFormat/>
    <w:uiPriority w:val="0"/>
    <w:pPr>
      <w:spacing w:line="360" w:lineRule="auto"/>
      <w:ind w:firstLine="200" w:firstLineChars="200"/>
    </w:pPr>
    <w:rPr>
      <w:rFonts w:ascii="宋体" w:hAnsi="宋体" w:cs="宋体"/>
      <w:sz w:val="24"/>
      <w:szCs w:val="24"/>
    </w:rPr>
  </w:style>
  <w:style w:type="character" w:customStyle="1" w:styleId="459">
    <w:name w:val="highlight1"/>
    <w:qFormat/>
    <w:uiPriority w:val="0"/>
    <w:rPr>
      <w:sz w:val="21"/>
      <w:szCs w:val="21"/>
    </w:rPr>
  </w:style>
  <w:style w:type="paragraph" w:customStyle="1" w:styleId="460">
    <w:name w:val="Char Char Char Char Char Char Char Char Char Char Char Char Char Char Char Char Char Char Char Char Char 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461">
    <w:name w:val="12 Char Char Char Char"/>
    <w:basedOn w:val="1"/>
    <w:qFormat/>
    <w:uiPriority w:val="0"/>
    <w:pPr>
      <w:spacing w:line="360" w:lineRule="auto"/>
      <w:ind w:firstLine="200" w:firstLineChars="200"/>
    </w:pPr>
    <w:rPr>
      <w:rFonts w:ascii="宋体" w:hAnsi="宋体" w:cs="宋体"/>
      <w:sz w:val="24"/>
      <w:szCs w:val="24"/>
    </w:rPr>
  </w:style>
  <w:style w:type="paragraph" w:customStyle="1" w:styleId="462">
    <w:name w:val="Char Char Char Char Char Char Char Char Char Char Char Char 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463">
    <w:name w:val="Char Char Char Char Char Char1 Char Char Char1 Char"/>
    <w:basedOn w:val="1"/>
    <w:qFormat/>
    <w:uiPriority w:val="0"/>
    <w:pPr>
      <w:adjustRightInd w:val="0"/>
      <w:snapToGrid w:val="0"/>
      <w:spacing w:line="360" w:lineRule="auto"/>
      <w:ind w:left="5652" w:firstLine="360" w:firstLineChars="200"/>
      <w:jc w:val="left"/>
    </w:pPr>
    <w:rPr>
      <w:rFonts w:ascii="仿宋_GB2312" w:hAnsi="仿宋_GB2312" w:eastAsia="仿宋_GB2312" w:cs="宋体"/>
      <w:sz w:val="24"/>
      <w:szCs w:val="24"/>
    </w:rPr>
  </w:style>
  <w:style w:type="paragraph" w:customStyle="1" w:styleId="464">
    <w:name w:val="报告正文"/>
    <w:basedOn w:val="1"/>
    <w:qFormat/>
    <w:uiPriority w:val="99"/>
    <w:pPr>
      <w:spacing w:before="50" w:line="360" w:lineRule="auto"/>
      <w:ind w:firstLine="540"/>
    </w:pPr>
    <w:rPr>
      <w:rFonts w:ascii="Times New Roman" w:hAnsi="Times New Roman"/>
      <w:sz w:val="24"/>
      <w:szCs w:val="24"/>
    </w:rPr>
  </w:style>
  <w:style w:type="character" w:customStyle="1" w:styleId="465">
    <w:name w:val="Char5 Char Char"/>
    <w:qFormat/>
    <w:uiPriority w:val="0"/>
    <w:rPr>
      <w:rFonts w:eastAsia="宋体"/>
      <w:kern w:val="2"/>
      <w:sz w:val="18"/>
      <w:lang w:val="en-US" w:eastAsia="zh-CN" w:bidi="ar-SA"/>
    </w:rPr>
  </w:style>
  <w:style w:type="paragraph" w:customStyle="1" w:styleId="466">
    <w:name w:val="Char Char Char Char Char Char"/>
    <w:basedOn w:val="1"/>
    <w:qFormat/>
    <w:uiPriority w:val="0"/>
    <w:pPr>
      <w:spacing w:line="360" w:lineRule="auto"/>
      <w:ind w:firstLine="200" w:firstLineChars="200"/>
    </w:pPr>
    <w:rPr>
      <w:rFonts w:ascii="宋体" w:hAnsi="宋体" w:cs="宋体"/>
      <w:sz w:val="24"/>
      <w:szCs w:val="24"/>
    </w:rPr>
  </w:style>
  <w:style w:type="character" w:customStyle="1" w:styleId="467">
    <w:name w:val="正文文字 3 Char Char Char"/>
    <w:qFormat/>
    <w:uiPriority w:val="0"/>
    <w:rPr>
      <w:rFonts w:eastAsia="宋体"/>
      <w:kern w:val="2"/>
      <w:sz w:val="21"/>
      <w:lang w:val="en-US" w:eastAsia="zh-CN" w:bidi="ar-SA"/>
    </w:rPr>
  </w:style>
  <w:style w:type="character" w:customStyle="1" w:styleId="468">
    <w:name w:val="纯文本2 Char"/>
    <w:qFormat/>
    <w:uiPriority w:val="0"/>
    <w:rPr>
      <w:rFonts w:ascii="宋体" w:hAnsi="Courier New" w:eastAsia="宋体"/>
      <w:kern w:val="2"/>
      <w:sz w:val="21"/>
      <w:lang w:val="en-US" w:eastAsia="zh-CN" w:bidi="ar-SA"/>
    </w:rPr>
  </w:style>
  <w:style w:type="character" w:customStyle="1" w:styleId="469">
    <w:name w:val="普通文字1"/>
    <w:qFormat/>
    <w:uiPriority w:val="0"/>
    <w:rPr>
      <w:rFonts w:ascii="宋体" w:hAnsi="Courier New" w:eastAsia="宋体"/>
      <w:kern w:val="2"/>
      <w:sz w:val="21"/>
      <w:lang w:val="en-US" w:eastAsia="zh-CN" w:bidi="ar-SA"/>
    </w:rPr>
  </w:style>
  <w:style w:type="paragraph" w:customStyle="1" w:styleId="470">
    <w:name w:val="黑宋体"/>
    <w:basedOn w:val="5"/>
    <w:qFormat/>
    <w:uiPriority w:val="0"/>
    <w:pPr>
      <w:numPr>
        <w:ilvl w:val="0"/>
        <w:numId w:val="0"/>
      </w:numPr>
      <w:tabs>
        <w:tab w:val="left" w:pos="720"/>
      </w:tabs>
      <w:adjustRightInd/>
      <w:snapToGrid/>
      <w:spacing w:afterLines="50" w:line="300" w:lineRule="auto"/>
      <w:ind w:firstLine="482" w:firstLineChars="200"/>
      <w:jc w:val="left"/>
      <w:textAlignment w:val="baseline"/>
      <w:outlineLvl w:val="9"/>
    </w:pPr>
    <w:rPr>
      <w:rFonts w:ascii="楷体_GB2312" w:eastAsia="楷体_GB2312"/>
      <w:bCs w:val="0"/>
      <w:color w:val="000000"/>
      <w:kern w:val="0"/>
    </w:rPr>
  </w:style>
  <w:style w:type="paragraph" w:customStyle="1" w:styleId="471">
    <w:name w:val="18"/>
    <w:basedOn w:val="1"/>
    <w:next w:val="31"/>
    <w:qFormat/>
    <w:uiPriority w:val="0"/>
    <w:pPr>
      <w:adjustRightInd w:val="0"/>
      <w:spacing w:afterLines="20" w:line="400" w:lineRule="exact"/>
      <w:jc w:val="center"/>
      <w:textAlignment w:val="baseline"/>
    </w:pPr>
    <w:rPr>
      <w:rFonts w:ascii="Times New Roman" w:hAnsi="Times New Roman"/>
      <w:b/>
      <w:szCs w:val="24"/>
    </w:rPr>
  </w:style>
  <w:style w:type="paragraph" w:customStyle="1" w:styleId="472">
    <w:name w:val="17"/>
    <w:basedOn w:val="1"/>
    <w:next w:val="31"/>
    <w:qFormat/>
    <w:uiPriority w:val="0"/>
    <w:pPr>
      <w:adjustRightInd w:val="0"/>
      <w:spacing w:afterLines="20" w:line="400" w:lineRule="exact"/>
      <w:jc w:val="center"/>
      <w:textAlignment w:val="baseline"/>
    </w:pPr>
    <w:rPr>
      <w:rFonts w:ascii="Times New Roman" w:hAnsi="Times New Roman"/>
      <w:b/>
      <w:szCs w:val="24"/>
    </w:rPr>
  </w:style>
  <w:style w:type="paragraph" w:customStyle="1" w:styleId="473">
    <w:name w:val="16"/>
    <w:basedOn w:val="1"/>
    <w:next w:val="31"/>
    <w:qFormat/>
    <w:uiPriority w:val="0"/>
    <w:pPr>
      <w:adjustRightInd w:val="0"/>
      <w:spacing w:afterLines="20" w:line="400" w:lineRule="exact"/>
      <w:jc w:val="center"/>
      <w:textAlignment w:val="baseline"/>
    </w:pPr>
    <w:rPr>
      <w:rFonts w:ascii="Times New Roman" w:hAnsi="Times New Roman"/>
      <w:b/>
      <w:szCs w:val="24"/>
    </w:rPr>
  </w:style>
  <w:style w:type="paragraph" w:customStyle="1" w:styleId="474">
    <w:name w:val="样式 标题 3 + (中文) 宋体"/>
    <w:basedOn w:val="4"/>
    <w:qFormat/>
    <w:uiPriority w:val="0"/>
    <w:pPr>
      <w:numPr>
        <w:ilvl w:val="0"/>
        <w:numId w:val="0"/>
      </w:numPr>
      <w:adjustRightInd/>
      <w:snapToGrid/>
      <w:spacing w:before="120" w:after="60" w:line="500" w:lineRule="exact"/>
      <w:jc w:val="left"/>
    </w:pPr>
    <w:rPr>
      <w:b w:val="0"/>
      <w:szCs w:val="24"/>
    </w:rPr>
  </w:style>
  <w:style w:type="paragraph" w:customStyle="1" w:styleId="475">
    <w:name w:val="正文文本缩进 21"/>
    <w:basedOn w:val="1"/>
    <w:qFormat/>
    <w:uiPriority w:val="0"/>
    <w:pPr>
      <w:autoSpaceDE w:val="0"/>
      <w:autoSpaceDN w:val="0"/>
      <w:adjustRightInd w:val="0"/>
      <w:ind w:firstLine="510"/>
      <w:jc w:val="left"/>
      <w:textAlignment w:val="baseline"/>
    </w:pPr>
    <w:rPr>
      <w:rFonts w:ascii="Times New Roman" w:hAnsi="Times New Roman"/>
      <w:kern w:val="0"/>
      <w:sz w:val="24"/>
      <w:szCs w:val="20"/>
    </w:rPr>
  </w:style>
  <w:style w:type="paragraph" w:customStyle="1" w:styleId="476">
    <w:name w:val="xl32"/>
    <w:basedOn w:val="1"/>
    <w:qFormat/>
    <w:uiPriority w:val="0"/>
    <w:pPr>
      <w:widowControl/>
      <w:spacing w:before="100" w:beforeAutospacing="1" w:after="100" w:afterAutospacing="1"/>
      <w:jc w:val="center"/>
      <w:textAlignment w:val="center"/>
    </w:pPr>
    <w:rPr>
      <w:rFonts w:hint="eastAsia" w:ascii="宋体" w:hAnsi="宋体"/>
      <w:kern w:val="0"/>
      <w:sz w:val="24"/>
      <w:szCs w:val="24"/>
    </w:rPr>
  </w:style>
  <w:style w:type="paragraph" w:customStyle="1" w:styleId="477">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szCs w:val="24"/>
    </w:rPr>
  </w:style>
  <w:style w:type="paragraph" w:customStyle="1" w:styleId="47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szCs w:val="24"/>
    </w:rPr>
  </w:style>
  <w:style w:type="paragraph" w:customStyle="1" w:styleId="479">
    <w:name w:val="xl3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hint="eastAsia" w:ascii="宋体" w:hAnsi="宋体"/>
      <w:kern w:val="0"/>
      <w:sz w:val="24"/>
      <w:szCs w:val="24"/>
    </w:rPr>
  </w:style>
  <w:style w:type="paragraph" w:customStyle="1" w:styleId="480">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szCs w:val="24"/>
    </w:rPr>
  </w:style>
  <w:style w:type="paragraph" w:customStyle="1" w:styleId="481">
    <w:name w:val="xl3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int="eastAsia" w:ascii="宋体" w:hAnsi="宋体"/>
      <w:kern w:val="0"/>
      <w:sz w:val="24"/>
      <w:szCs w:val="24"/>
    </w:rPr>
  </w:style>
  <w:style w:type="paragraph" w:customStyle="1" w:styleId="482">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szCs w:val="24"/>
    </w:rPr>
  </w:style>
  <w:style w:type="paragraph" w:customStyle="1" w:styleId="483">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szCs w:val="24"/>
    </w:rPr>
  </w:style>
  <w:style w:type="paragraph" w:customStyle="1" w:styleId="484">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2"/>
      <w:szCs w:val="22"/>
    </w:rPr>
  </w:style>
  <w:style w:type="paragraph" w:customStyle="1" w:styleId="485">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2"/>
      <w:szCs w:val="22"/>
    </w:rPr>
  </w:style>
  <w:style w:type="paragraph" w:customStyle="1" w:styleId="486">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2"/>
      <w:szCs w:val="22"/>
    </w:rPr>
  </w:style>
  <w:style w:type="paragraph" w:customStyle="1" w:styleId="487">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2"/>
      <w:szCs w:val="22"/>
    </w:rPr>
  </w:style>
  <w:style w:type="paragraph" w:customStyle="1" w:styleId="488">
    <w:name w:val="xl44"/>
    <w:basedOn w:val="1"/>
    <w:qFormat/>
    <w:uiPriority w:val="0"/>
    <w:pPr>
      <w:widowControl/>
      <w:spacing w:before="100" w:beforeAutospacing="1" w:after="100" w:afterAutospacing="1"/>
      <w:jc w:val="center"/>
      <w:textAlignment w:val="center"/>
    </w:pPr>
    <w:rPr>
      <w:rFonts w:hint="eastAsia" w:ascii="宋体" w:hAnsi="宋体"/>
      <w:kern w:val="0"/>
      <w:sz w:val="22"/>
      <w:szCs w:val="22"/>
    </w:rPr>
  </w:style>
  <w:style w:type="paragraph" w:customStyle="1" w:styleId="489">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color w:val="FF00FF"/>
      <w:kern w:val="0"/>
      <w:sz w:val="22"/>
      <w:szCs w:val="22"/>
    </w:rPr>
  </w:style>
  <w:style w:type="paragraph" w:customStyle="1" w:styleId="490">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color w:val="FF00FF"/>
      <w:kern w:val="0"/>
      <w:sz w:val="22"/>
      <w:szCs w:val="22"/>
    </w:rPr>
  </w:style>
  <w:style w:type="paragraph" w:customStyle="1" w:styleId="491">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color w:val="FF00FF"/>
      <w:kern w:val="0"/>
      <w:sz w:val="22"/>
      <w:szCs w:val="22"/>
    </w:rPr>
  </w:style>
  <w:style w:type="paragraph" w:customStyle="1" w:styleId="492">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2"/>
      <w:szCs w:val="22"/>
    </w:rPr>
  </w:style>
  <w:style w:type="paragraph" w:customStyle="1" w:styleId="493">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2"/>
      <w:szCs w:val="22"/>
    </w:rPr>
  </w:style>
  <w:style w:type="paragraph" w:customStyle="1" w:styleId="494">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2"/>
      <w:szCs w:val="22"/>
    </w:rPr>
  </w:style>
  <w:style w:type="paragraph" w:customStyle="1" w:styleId="495">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2"/>
      <w:szCs w:val="22"/>
    </w:rPr>
  </w:style>
  <w:style w:type="paragraph" w:customStyle="1" w:styleId="496">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color w:val="FF0000"/>
      <w:kern w:val="0"/>
      <w:sz w:val="22"/>
      <w:szCs w:val="22"/>
    </w:rPr>
  </w:style>
  <w:style w:type="paragraph" w:customStyle="1" w:styleId="497">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2"/>
      <w:szCs w:val="22"/>
    </w:rPr>
  </w:style>
  <w:style w:type="paragraph" w:customStyle="1" w:styleId="498">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2"/>
      <w:szCs w:val="22"/>
    </w:rPr>
  </w:style>
  <w:style w:type="paragraph" w:customStyle="1" w:styleId="499">
    <w:name w:val="xl5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hint="eastAsia" w:ascii="宋体" w:hAnsi="宋体"/>
      <w:kern w:val="0"/>
      <w:sz w:val="22"/>
      <w:szCs w:val="22"/>
    </w:rPr>
  </w:style>
  <w:style w:type="paragraph" w:customStyle="1" w:styleId="500">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szCs w:val="24"/>
    </w:rPr>
  </w:style>
  <w:style w:type="paragraph" w:customStyle="1" w:styleId="501">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szCs w:val="24"/>
    </w:rPr>
  </w:style>
  <w:style w:type="paragraph" w:customStyle="1" w:styleId="502">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szCs w:val="24"/>
    </w:rPr>
  </w:style>
  <w:style w:type="paragraph" w:customStyle="1" w:styleId="503">
    <w:name w:val="xl59"/>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textAlignment w:val="center"/>
    </w:pPr>
    <w:rPr>
      <w:rFonts w:hint="eastAsia" w:ascii="宋体" w:hAnsi="宋体"/>
      <w:kern w:val="0"/>
      <w:sz w:val="24"/>
      <w:szCs w:val="24"/>
    </w:rPr>
  </w:style>
  <w:style w:type="paragraph" w:customStyle="1" w:styleId="504">
    <w:name w:val="xl6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textAlignment w:val="center"/>
    </w:pPr>
    <w:rPr>
      <w:rFonts w:hint="eastAsia" w:ascii="宋体" w:hAnsi="宋体"/>
      <w:kern w:val="0"/>
      <w:sz w:val="24"/>
      <w:szCs w:val="24"/>
    </w:rPr>
  </w:style>
  <w:style w:type="paragraph" w:customStyle="1" w:styleId="505">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szCs w:val="24"/>
    </w:rPr>
  </w:style>
  <w:style w:type="paragraph" w:customStyle="1" w:styleId="506">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szCs w:val="24"/>
    </w:rPr>
  </w:style>
  <w:style w:type="paragraph" w:customStyle="1" w:styleId="507">
    <w:name w:val="xl63"/>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textAlignment w:val="center"/>
    </w:pPr>
    <w:rPr>
      <w:rFonts w:hint="eastAsia" w:ascii="宋体" w:hAnsi="宋体"/>
      <w:kern w:val="0"/>
      <w:sz w:val="24"/>
      <w:szCs w:val="24"/>
    </w:rPr>
  </w:style>
  <w:style w:type="paragraph" w:customStyle="1" w:styleId="508">
    <w:name w:val="xl64"/>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textAlignment w:val="center"/>
    </w:pPr>
    <w:rPr>
      <w:rFonts w:hint="eastAsia" w:ascii="宋体" w:hAnsi="宋体"/>
      <w:kern w:val="0"/>
      <w:sz w:val="24"/>
      <w:szCs w:val="24"/>
    </w:rPr>
  </w:style>
  <w:style w:type="paragraph" w:customStyle="1" w:styleId="509">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2"/>
      <w:szCs w:val="22"/>
    </w:rPr>
  </w:style>
  <w:style w:type="paragraph" w:customStyle="1" w:styleId="51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color w:val="FF0000"/>
      <w:kern w:val="0"/>
      <w:sz w:val="22"/>
      <w:szCs w:val="22"/>
    </w:rPr>
  </w:style>
  <w:style w:type="paragraph" w:customStyle="1" w:styleId="51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0"/>
      <w:szCs w:val="20"/>
    </w:rPr>
  </w:style>
  <w:style w:type="paragraph" w:customStyle="1" w:styleId="512">
    <w:name w:val="xl3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color w:val="FF0000"/>
      <w:kern w:val="0"/>
      <w:sz w:val="20"/>
      <w:szCs w:val="20"/>
    </w:rPr>
  </w:style>
  <w:style w:type="paragraph" w:customStyle="1" w:styleId="513">
    <w:name w:val="xl31"/>
    <w:basedOn w:val="1"/>
    <w:qFormat/>
    <w:uiPriority w:val="0"/>
    <w:pPr>
      <w:widowControl/>
      <w:spacing w:before="100" w:beforeAutospacing="1" w:after="100" w:afterAutospacing="1"/>
      <w:jc w:val="left"/>
      <w:textAlignment w:val="center"/>
    </w:pPr>
    <w:rPr>
      <w:rFonts w:ascii="Arial Unicode MS" w:hAnsi="Arial Unicode MS"/>
      <w:kern w:val="0"/>
      <w:sz w:val="24"/>
      <w:szCs w:val="24"/>
    </w:rPr>
  </w:style>
  <w:style w:type="paragraph" w:customStyle="1" w:styleId="514">
    <w:name w:val="表格 Char Char"/>
    <w:basedOn w:val="1"/>
    <w:qFormat/>
    <w:uiPriority w:val="0"/>
    <w:pPr>
      <w:widowControl/>
      <w:adjustRightInd w:val="0"/>
      <w:snapToGrid w:val="0"/>
      <w:jc w:val="center"/>
    </w:pPr>
    <w:rPr>
      <w:rFonts w:ascii="宋体" w:hAnsi="宋体"/>
      <w:kern w:val="0"/>
    </w:rPr>
  </w:style>
  <w:style w:type="paragraph" w:customStyle="1" w:styleId="515">
    <w:name w:val="XCHG论文正文"/>
    <w:basedOn w:val="1"/>
    <w:qFormat/>
    <w:uiPriority w:val="0"/>
    <w:pPr>
      <w:spacing w:line="288" w:lineRule="auto"/>
      <w:ind w:firstLine="480" w:firstLineChars="200"/>
    </w:pPr>
    <w:rPr>
      <w:rFonts w:ascii="Times New Roman" w:hAnsi="Times New Roman"/>
      <w:color w:val="000000"/>
      <w:sz w:val="24"/>
      <w:szCs w:val="24"/>
    </w:rPr>
  </w:style>
  <w:style w:type="character" w:customStyle="1" w:styleId="516">
    <w:name w:val="XCHG论文正文 Char"/>
    <w:qFormat/>
    <w:uiPriority w:val="0"/>
    <w:rPr>
      <w:rFonts w:eastAsia="宋体"/>
      <w:color w:val="000000"/>
      <w:kern w:val="2"/>
      <w:sz w:val="24"/>
      <w:szCs w:val="24"/>
      <w:lang w:val="en-US" w:eastAsia="zh-CN" w:bidi="ar-SA"/>
    </w:rPr>
  </w:style>
  <w:style w:type="paragraph" w:customStyle="1" w:styleId="517">
    <w:name w:val="字母编号2"/>
    <w:basedOn w:val="1"/>
    <w:qFormat/>
    <w:uiPriority w:val="0"/>
    <w:pPr>
      <w:tabs>
        <w:tab w:val="left" w:pos="817"/>
      </w:tabs>
      <w:spacing w:line="300" w:lineRule="auto"/>
      <w:ind w:firstLine="200" w:firstLineChars="200"/>
      <w:textAlignment w:val="center"/>
    </w:pPr>
    <w:rPr>
      <w:rFonts w:ascii="Times New Roman" w:hAnsi="Times New Roman"/>
      <w:sz w:val="24"/>
      <w:szCs w:val="24"/>
    </w:rPr>
  </w:style>
  <w:style w:type="paragraph" w:customStyle="1" w:styleId="518">
    <w:name w:val="图表1"/>
    <w:basedOn w:val="1"/>
    <w:qFormat/>
    <w:uiPriority w:val="0"/>
    <w:pPr>
      <w:snapToGrid w:val="0"/>
      <w:spacing w:line="240" w:lineRule="atLeast"/>
      <w:jc w:val="center"/>
    </w:pPr>
    <w:rPr>
      <w:rFonts w:ascii="Times New Roman" w:hAnsi="Times New Roman" w:eastAsia="楷体_GB2312"/>
      <w:sz w:val="24"/>
      <w:szCs w:val="24"/>
    </w:rPr>
  </w:style>
  <w:style w:type="character" w:customStyle="1" w:styleId="519">
    <w:name w:val="ourfont"/>
    <w:basedOn w:val="74"/>
    <w:qFormat/>
    <w:uiPriority w:val="0"/>
  </w:style>
  <w:style w:type="paragraph" w:customStyle="1" w:styleId="520">
    <w:name w:val="标题11"/>
    <w:basedOn w:val="1"/>
    <w:qFormat/>
    <w:uiPriority w:val="0"/>
    <w:rPr>
      <w:rFonts w:ascii="Times New Roman" w:hAnsi="Times New Roman"/>
    </w:rPr>
  </w:style>
  <w:style w:type="paragraph" w:customStyle="1" w:styleId="521">
    <w:name w:val="图文"/>
    <w:basedOn w:val="1"/>
    <w:qFormat/>
    <w:uiPriority w:val="0"/>
    <w:pPr>
      <w:adjustRightInd w:val="0"/>
      <w:snapToGrid w:val="0"/>
    </w:pPr>
    <w:rPr>
      <w:rFonts w:ascii="楷体_GB2312" w:hAnsi="Times New Roman" w:eastAsia="楷体_GB2312"/>
      <w:sz w:val="30"/>
      <w:szCs w:val="24"/>
    </w:rPr>
  </w:style>
  <w:style w:type="paragraph" w:customStyle="1" w:styleId="522">
    <w:name w:val="样式 段后: 3.1 磅 行距: 固定值 20 磅"/>
    <w:basedOn w:val="1"/>
    <w:qFormat/>
    <w:uiPriority w:val="0"/>
    <w:pPr>
      <w:spacing w:after="62" w:line="400" w:lineRule="exact"/>
      <w:ind w:firstLine="482"/>
    </w:pPr>
    <w:rPr>
      <w:rFonts w:ascii="Times New Roman" w:hAnsi="Times New Roman" w:cs="宋体"/>
      <w:color w:val="0000FF"/>
      <w:sz w:val="24"/>
      <w:szCs w:val="20"/>
    </w:rPr>
  </w:style>
  <w:style w:type="paragraph" w:customStyle="1" w:styleId="523">
    <w:name w:val="样式 首行缩进:  0.85 厘米 段后: 3.1 磅 行距: 固定值 20 磅"/>
    <w:basedOn w:val="1"/>
    <w:qFormat/>
    <w:uiPriority w:val="0"/>
    <w:pPr>
      <w:spacing w:afterLines="20" w:line="400" w:lineRule="exact"/>
      <w:ind w:firstLine="482"/>
    </w:pPr>
    <w:rPr>
      <w:rFonts w:ascii="Times New Roman" w:hAnsi="Times New Roman" w:cs="宋体"/>
      <w:sz w:val="24"/>
      <w:szCs w:val="20"/>
    </w:rPr>
  </w:style>
  <w:style w:type="character" w:customStyle="1" w:styleId="524">
    <w:name w:val="f141"/>
    <w:qFormat/>
    <w:uiPriority w:val="0"/>
    <w:rPr>
      <w:sz w:val="23"/>
      <w:szCs w:val="23"/>
    </w:rPr>
  </w:style>
  <w:style w:type="character" w:customStyle="1" w:styleId="525">
    <w:name w:val="正文文本1 Char1 Char Char Char Char Char Char Char Char"/>
    <w:qFormat/>
    <w:uiPriority w:val="0"/>
    <w:rPr>
      <w:rFonts w:eastAsia="宋体"/>
      <w:kern w:val="2"/>
      <w:sz w:val="21"/>
      <w:szCs w:val="24"/>
      <w:lang w:val="en-US" w:eastAsia="zh-CN" w:bidi="ar-SA"/>
    </w:rPr>
  </w:style>
  <w:style w:type="paragraph" w:customStyle="1" w:styleId="526">
    <w:name w:val="样式 标题 4 + 红色"/>
    <w:basedOn w:val="5"/>
    <w:qFormat/>
    <w:uiPriority w:val="0"/>
    <w:pPr>
      <w:numPr>
        <w:ilvl w:val="0"/>
        <w:numId w:val="0"/>
      </w:numPr>
      <w:tabs>
        <w:tab w:val="left" w:pos="720"/>
        <w:tab w:val="left" w:pos="1922"/>
      </w:tabs>
      <w:adjustRightInd/>
      <w:snapToGrid/>
      <w:spacing w:beforeLines="50" w:afterLines="20" w:line="240" w:lineRule="auto"/>
      <w:ind w:left="1922" w:hanging="420"/>
    </w:pPr>
    <w:rPr>
      <w:rFonts w:ascii="Arial" w:hAnsi="Arial" w:eastAsia="宋体"/>
      <w:b w:val="0"/>
      <w:bCs w:val="0"/>
      <w:color w:val="FF0000"/>
      <w:kern w:val="0"/>
    </w:rPr>
  </w:style>
  <w:style w:type="paragraph" w:customStyle="1" w:styleId="527">
    <w:name w:val="样式5"/>
    <w:basedOn w:val="18"/>
    <w:qFormat/>
    <w:uiPriority w:val="0"/>
    <w:pPr>
      <w:spacing w:afterLines="20" w:line="400" w:lineRule="exact"/>
      <w:ind w:firstLine="482" w:firstLineChars="0"/>
    </w:pPr>
    <w:rPr>
      <w:rFonts w:ascii="Times New Roman" w:hAnsi="Times New Roman"/>
      <w:kern w:val="0"/>
      <w:sz w:val="24"/>
      <w:szCs w:val="20"/>
    </w:rPr>
  </w:style>
  <w:style w:type="paragraph" w:customStyle="1" w:styleId="528">
    <w:name w:val="样式6"/>
    <w:basedOn w:val="1"/>
    <w:qFormat/>
    <w:uiPriority w:val="0"/>
    <w:pPr>
      <w:spacing w:afterLines="20" w:line="400" w:lineRule="exact"/>
      <w:ind w:firstLine="482"/>
    </w:pPr>
    <w:rPr>
      <w:rFonts w:ascii="Times New Roman" w:hAnsi="Times New Roman"/>
      <w:sz w:val="24"/>
      <w:szCs w:val="20"/>
    </w:rPr>
  </w:style>
  <w:style w:type="paragraph" w:customStyle="1" w:styleId="529">
    <w:name w:val="样式7"/>
    <w:basedOn w:val="1"/>
    <w:qFormat/>
    <w:uiPriority w:val="0"/>
    <w:pPr>
      <w:spacing w:afterLines="20" w:line="400" w:lineRule="exact"/>
      <w:ind w:firstLine="482"/>
    </w:pPr>
    <w:rPr>
      <w:rFonts w:ascii="Times New Roman" w:hAnsi="Times New Roman"/>
      <w:sz w:val="24"/>
      <w:szCs w:val="20"/>
    </w:rPr>
  </w:style>
  <w:style w:type="paragraph" w:customStyle="1" w:styleId="530">
    <w:name w:val="样式8"/>
    <w:basedOn w:val="1"/>
    <w:qFormat/>
    <w:uiPriority w:val="0"/>
    <w:pPr>
      <w:spacing w:afterLines="20" w:line="400" w:lineRule="exact"/>
      <w:ind w:firstLine="482"/>
    </w:pPr>
    <w:rPr>
      <w:rFonts w:ascii="Times New Roman" w:hAnsi="Times New Roman"/>
      <w:sz w:val="24"/>
      <w:szCs w:val="20"/>
    </w:rPr>
  </w:style>
  <w:style w:type="paragraph" w:customStyle="1" w:styleId="531">
    <w:name w:val="Char Char Char Char"/>
    <w:basedOn w:val="1"/>
    <w:qFormat/>
    <w:uiPriority w:val="0"/>
    <w:pPr>
      <w:spacing w:line="360" w:lineRule="auto"/>
      <w:ind w:firstLine="200" w:firstLineChars="200"/>
    </w:pPr>
    <w:rPr>
      <w:rFonts w:ascii="宋体" w:hAnsi="宋体" w:cs="宋体"/>
      <w:sz w:val="24"/>
      <w:szCs w:val="24"/>
    </w:rPr>
  </w:style>
  <w:style w:type="paragraph" w:customStyle="1" w:styleId="532">
    <w:name w:val="简单回函地址"/>
    <w:basedOn w:val="1"/>
    <w:qFormat/>
    <w:uiPriority w:val="0"/>
    <w:rPr>
      <w:rFonts w:ascii="Times New Roman" w:hAnsi="Times New Roman"/>
      <w:szCs w:val="24"/>
    </w:rPr>
  </w:style>
  <w:style w:type="paragraph" w:customStyle="1" w:styleId="533">
    <w:name w:val="xl102"/>
    <w:basedOn w:val="1"/>
    <w:qFormat/>
    <w:uiPriority w:val="0"/>
    <w:pPr>
      <w:widowControl/>
      <w:pBdr>
        <w:right w:val="single" w:color="auto" w:sz="8" w:space="0"/>
      </w:pBdr>
      <w:spacing w:before="100" w:beforeAutospacing="1" w:after="100" w:afterAutospacing="1"/>
      <w:jc w:val="center"/>
    </w:pPr>
    <w:rPr>
      <w:rFonts w:ascii="Times New Roman" w:hAnsi="Times New Roman" w:eastAsia="Arial Unicode MS"/>
      <w:kern w:val="0"/>
      <w:sz w:val="22"/>
      <w:szCs w:val="22"/>
    </w:rPr>
  </w:style>
  <w:style w:type="paragraph" w:customStyle="1" w:styleId="534">
    <w:name w:val="xl101"/>
    <w:basedOn w:val="1"/>
    <w:qFormat/>
    <w:uiPriority w:val="0"/>
    <w:pPr>
      <w:widowControl/>
      <w:pBdr>
        <w:bottom w:val="single" w:color="auto" w:sz="4" w:space="0"/>
        <w:right w:val="single" w:color="auto" w:sz="8" w:space="0"/>
      </w:pBdr>
      <w:spacing w:before="100" w:beforeAutospacing="1" w:after="100" w:afterAutospacing="1"/>
    </w:pPr>
    <w:rPr>
      <w:rFonts w:ascii="Times New Roman" w:hAnsi="Times New Roman" w:eastAsia="Arial Unicode MS"/>
      <w:kern w:val="0"/>
      <w:sz w:val="22"/>
      <w:szCs w:val="22"/>
    </w:rPr>
  </w:style>
  <w:style w:type="paragraph" w:customStyle="1" w:styleId="535">
    <w:name w:val="xl22"/>
    <w:basedOn w:val="1"/>
    <w:qFormat/>
    <w:uiPriority w:val="0"/>
    <w:pPr>
      <w:widowControl/>
      <w:spacing w:before="100" w:beforeAutospacing="1" w:after="100" w:afterAutospacing="1"/>
      <w:jc w:val="center"/>
    </w:pPr>
    <w:rPr>
      <w:rFonts w:hint="eastAsia" w:ascii="宋体" w:hAnsi="宋体"/>
      <w:kern w:val="0"/>
      <w:sz w:val="24"/>
      <w:szCs w:val="24"/>
    </w:rPr>
  </w:style>
  <w:style w:type="paragraph" w:customStyle="1" w:styleId="536">
    <w:name w:val="PP 行"/>
    <w:basedOn w:val="44"/>
    <w:qFormat/>
    <w:uiPriority w:val="0"/>
  </w:style>
  <w:style w:type="paragraph" w:customStyle="1" w:styleId="537">
    <w:name w:val="font1"/>
    <w:basedOn w:val="1"/>
    <w:qFormat/>
    <w:uiPriority w:val="0"/>
    <w:pPr>
      <w:widowControl/>
      <w:spacing w:before="100" w:beforeAutospacing="1" w:after="100" w:afterAutospacing="1"/>
      <w:jc w:val="left"/>
    </w:pPr>
    <w:rPr>
      <w:rFonts w:hint="eastAsia" w:ascii="宋体" w:hAnsi="宋体"/>
      <w:kern w:val="0"/>
      <w:sz w:val="24"/>
      <w:szCs w:val="24"/>
    </w:rPr>
  </w:style>
  <w:style w:type="character" w:customStyle="1" w:styleId="538">
    <w:name w:val="表名 Char"/>
    <w:qFormat/>
    <w:uiPriority w:val="0"/>
    <w:rPr>
      <w:rFonts w:ascii="宋体" w:hAnsi="Courier New" w:eastAsia="仿宋_GB2312" w:cs="Courier New"/>
      <w:b/>
      <w:sz w:val="28"/>
      <w:szCs w:val="21"/>
    </w:rPr>
  </w:style>
  <w:style w:type="character" w:customStyle="1" w:styleId="539">
    <w:name w:val="zt1"/>
    <w:basedOn w:val="74"/>
    <w:qFormat/>
    <w:uiPriority w:val="0"/>
  </w:style>
  <w:style w:type="paragraph" w:customStyle="1" w:styleId="540">
    <w:name w:val="样式 左侧:  0.98 厘米"/>
    <w:basedOn w:val="1"/>
    <w:qFormat/>
    <w:uiPriority w:val="0"/>
    <w:pPr>
      <w:adjustRightInd w:val="0"/>
      <w:snapToGrid w:val="0"/>
      <w:spacing w:line="490" w:lineRule="exact"/>
      <w:ind w:firstLine="560" w:firstLineChars="200"/>
    </w:pPr>
    <w:rPr>
      <w:rFonts w:ascii="Times New Roman" w:hAnsi="Times New Roman" w:eastAsia="仿宋_GB2312"/>
      <w:sz w:val="28"/>
      <w:szCs w:val="20"/>
    </w:rPr>
  </w:style>
  <w:style w:type="paragraph" w:customStyle="1" w:styleId="541">
    <w:name w:val="样式 样式 表格 + 左侧:  0.98 厘米 + 居中"/>
    <w:basedOn w:val="1"/>
    <w:qFormat/>
    <w:uiPriority w:val="0"/>
    <w:pPr>
      <w:adjustRightInd w:val="0"/>
      <w:snapToGrid w:val="0"/>
      <w:spacing w:before="100" w:beforeAutospacing="1" w:after="100" w:afterAutospacing="1" w:line="300" w:lineRule="auto"/>
      <w:jc w:val="center"/>
    </w:pPr>
    <w:rPr>
      <w:rFonts w:ascii="Arial" w:hAnsi="Arial"/>
      <w:snapToGrid w:val="0"/>
      <w:kern w:val="0"/>
      <w:szCs w:val="20"/>
    </w:rPr>
  </w:style>
  <w:style w:type="paragraph" w:customStyle="1" w:styleId="542">
    <w:name w:val="样式 样式 正文文本缩进 + 段后: 0 磅 + 首行缩进:  2 字符"/>
    <w:basedOn w:val="1"/>
    <w:qFormat/>
    <w:uiPriority w:val="0"/>
    <w:pPr>
      <w:spacing w:line="360" w:lineRule="auto"/>
      <w:ind w:firstLine="480" w:firstLineChars="200"/>
    </w:pPr>
    <w:rPr>
      <w:rFonts w:ascii="宋体" w:hAnsi="宋体" w:cs="宋体"/>
      <w:sz w:val="24"/>
      <w:szCs w:val="20"/>
    </w:rPr>
  </w:style>
  <w:style w:type="paragraph" w:customStyle="1" w:styleId="543">
    <w:name w:val="样式 正文首行缩进 + 首行缩进:  1 字符"/>
    <w:basedOn w:val="6"/>
    <w:next w:val="6"/>
    <w:qFormat/>
    <w:uiPriority w:val="0"/>
    <w:pPr>
      <w:adjustRightInd/>
      <w:snapToGrid/>
    </w:pPr>
    <w:rPr>
      <w:rFonts w:cs="宋体"/>
      <w:kern w:val="0"/>
      <w:szCs w:val="24"/>
    </w:rPr>
  </w:style>
  <w:style w:type="paragraph" w:customStyle="1" w:styleId="544">
    <w:name w:val="14"/>
    <w:basedOn w:val="1"/>
    <w:next w:val="18"/>
    <w:qFormat/>
    <w:uiPriority w:val="0"/>
    <w:pPr>
      <w:spacing w:line="420" w:lineRule="exact"/>
      <w:ind w:firstLine="480"/>
    </w:pPr>
    <w:rPr>
      <w:rFonts w:ascii="Times New Roman" w:hAnsi="Times New Roman"/>
      <w:szCs w:val="20"/>
    </w:rPr>
  </w:style>
  <w:style w:type="paragraph" w:customStyle="1" w:styleId="545">
    <w:name w:val="默认段落字体 Para Char Char Char Char Char Char Char Char Char Char"/>
    <w:basedOn w:val="1"/>
    <w:qFormat/>
    <w:uiPriority w:val="0"/>
    <w:rPr>
      <w:rFonts w:ascii="Times New Roman" w:hAnsi="Times New Roman"/>
      <w:szCs w:val="24"/>
    </w:rPr>
  </w:style>
  <w:style w:type="paragraph" w:customStyle="1" w:styleId="546">
    <w:name w:val="11"/>
    <w:basedOn w:val="1"/>
    <w:qFormat/>
    <w:uiPriority w:val="0"/>
    <w:pPr>
      <w:spacing w:line="360" w:lineRule="auto"/>
      <w:ind w:firstLine="200" w:firstLineChars="200"/>
    </w:pPr>
    <w:rPr>
      <w:rFonts w:ascii="宋体" w:hAnsi="宋体" w:cs="宋体"/>
      <w:sz w:val="24"/>
      <w:szCs w:val="24"/>
    </w:rPr>
  </w:style>
  <w:style w:type="paragraph" w:customStyle="1" w:styleId="547">
    <w:name w:val="9"/>
    <w:basedOn w:val="1"/>
    <w:next w:val="31"/>
    <w:qFormat/>
    <w:uiPriority w:val="0"/>
    <w:pPr>
      <w:adjustRightInd w:val="0"/>
      <w:spacing w:afterLines="20" w:line="400" w:lineRule="exact"/>
      <w:jc w:val="center"/>
      <w:textAlignment w:val="baseline"/>
    </w:pPr>
    <w:rPr>
      <w:rFonts w:ascii="Times New Roman" w:hAnsi="Times New Roman"/>
      <w:b/>
      <w:szCs w:val="24"/>
    </w:rPr>
  </w:style>
  <w:style w:type="paragraph" w:customStyle="1" w:styleId="548">
    <w:name w:val="XCHG论文正文 Char Char Char Char"/>
    <w:basedOn w:val="1"/>
    <w:qFormat/>
    <w:uiPriority w:val="0"/>
    <w:pPr>
      <w:spacing w:line="288" w:lineRule="auto"/>
      <w:ind w:firstLine="480" w:firstLineChars="200"/>
    </w:pPr>
    <w:rPr>
      <w:rFonts w:ascii="Times New Roman" w:hAnsi="Times New Roman"/>
      <w:color w:val="000000"/>
      <w:sz w:val="24"/>
      <w:szCs w:val="24"/>
    </w:rPr>
  </w:style>
  <w:style w:type="character" w:customStyle="1" w:styleId="549">
    <w:name w:val="XCHG论文正文 Char Char Char Char Char"/>
    <w:qFormat/>
    <w:uiPriority w:val="0"/>
    <w:rPr>
      <w:rFonts w:eastAsia="宋体"/>
      <w:color w:val="000000"/>
      <w:kern w:val="2"/>
      <w:sz w:val="24"/>
      <w:szCs w:val="24"/>
      <w:lang w:val="en-US" w:eastAsia="zh-CN" w:bidi="ar-SA"/>
    </w:rPr>
  </w:style>
  <w:style w:type="character" w:customStyle="1" w:styleId="550">
    <w:name w:val="普通文字 Char Char Char Char Char Char Char Char Char Char Char Char Char Char Char Char Char Char Char Char Char Char Char Char1 Char Char Char"/>
    <w:qFormat/>
    <w:uiPriority w:val="0"/>
    <w:rPr>
      <w:rFonts w:ascii="宋体" w:hAnsi="Courier New" w:eastAsia="宋体"/>
      <w:kern w:val="2"/>
      <w:sz w:val="21"/>
      <w:lang w:val="en-US" w:eastAsia="zh-CN" w:bidi="ar-SA"/>
    </w:rPr>
  </w:style>
  <w:style w:type="character" w:customStyle="1" w:styleId="551">
    <w:name w:val="XCHG论文正文 Char Char"/>
    <w:qFormat/>
    <w:uiPriority w:val="0"/>
    <w:rPr>
      <w:rFonts w:eastAsia="宋体"/>
      <w:color w:val="000000"/>
      <w:kern w:val="2"/>
      <w:sz w:val="24"/>
      <w:szCs w:val="24"/>
      <w:lang w:val="en-US" w:eastAsia="zh-CN" w:bidi="ar-SA"/>
    </w:rPr>
  </w:style>
  <w:style w:type="paragraph" w:customStyle="1" w:styleId="552">
    <w:name w:val="XCHG论文正文 Char Char Char"/>
    <w:basedOn w:val="1"/>
    <w:qFormat/>
    <w:uiPriority w:val="0"/>
    <w:pPr>
      <w:spacing w:line="288" w:lineRule="auto"/>
      <w:ind w:firstLine="480" w:firstLineChars="200"/>
    </w:pPr>
    <w:rPr>
      <w:rFonts w:ascii="Times New Roman" w:hAnsi="Times New Roman"/>
      <w:color w:val="000000"/>
      <w:sz w:val="24"/>
      <w:szCs w:val="24"/>
    </w:rPr>
  </w:style>
  <w:style w:type="paragraph" w:customStyle="1" w:styleId="553">
    <w:name w:val="13"/>
    <w:basedOn w:val="1"/>
    <w:next w:val="18"/>
    <w:qFormat/>
    <w:uiPriority w:val="0"/>
    <w:pPr>
      <w:spacing w:line="420" w:lineRule="exact"/>
      <w:ind w:firstLine="480"/>
    </w:pPr>
    <w:rPr>
      <w:rFonts w:ascii="Times New Roman" w:hAnsi="Times New Roman"/>
      <w:szCs w:val="20"/>
    </w:rPr>
  </w:style>
  <w:style w:type="paragraph" w:customStyle="1" w:styleId="554">
    <w:name w:val="12"/>
    <w:basedOn w:val="1"/>
    <w:next w:val="18"/>
    <w:qFormat/>
    <w:uiPriority w:val="0"/>
    <w:pPr>
      <w:spacing w:line="420" w:lineRule="exact"/>
      <w:ind w:firstLine="480"/>
    </w:pPr>
    <w:rPr>
      <w:rFonts w:ascii="Times New Roman" w:hAnsi="Times New Roman"/>
      <w:szCs w:val="20"/>
    </w:rPr>
  </w:style>
  <w:style w:type="character" w:customStyle="1" w:styleId="555">
    <w:name w:val="表格 Char Char Char"/>
    <w:qFormat/>
    <w:uiPriority w:val="0"/>
    <w:rPr>
      <w:rFonts w:ascii="宋体" w:hAnsi="宋体" w:eastAsia="宋体"/>
      <w:sz w:val="21"/>
      <w:szCs w:val="21"/>
      <w:lang w:val="en-US" w:eastAsia="zh-CN" w:bidi="ar-SA"/>
    </w:rPr>
  </w:style>
  <w:style w:type="character" w:customStyle="1" w:styleId="556">
    <w:name w:val="特点1"/>
    <w:qFormat/>
    <w:uiPriority w:val="0"/>
    <w:rPr>
      <w:rFonts w:eastAsia="宋体"/>
      <w:kern w:val="2"/>
      <w:sz w:val="24"/>
      <w:lang w:val="en-US" w:eastAsia="zh-CN" w:bidi="ar-SA"/>
    </w:rPr>
  </w:style>
  <w:style w:type="character" w:customStyle="1" w:styleId="557">
    <w:name w:val="表格 Char Char Char Char"/>
    <w:qFormat/>
    <w:uiPriority w:val="0"/>
    <w:rPr>
      <w:rFonts w:ascii="宋体" w:hAnsi="宋体" w:eastAsia="宋体"/>
      <w:kern w:val="2"/>
      <w:sz w:val="21"/>
      <w:szCs w:val="21"/>
      <w:lang w:val="en-US" w:eastAsia="zh-CN" w:bidi="ar-SA"/>
    </w:rPr>
  </w:style>
  <w:style w:type="character" w:customStyle="1" w:styleId="558">
    <w:name w:val="XCHG论文正文 Char Char Char Char Char Char"/>
    <w:qFormat/>
    <w:uiPriority w:val="0"/>
    <w:rPr>
      <w:rFonts w:eastAsia="宋体"/>
      <w:color w:val="000000"/>
      <w:kern w:val="2"/>
      <w:sz w:val="24"/>
      <w:szCs w:val="24"/>
      <w:lang w:val="en-US" w:eastAsia="zh-CN" w:bidi="ar-SA"/>
    </w:rPr>
  </w:style>
  <w:style w:type="paragraph" w:customStyle="1" w:styleId="559">
    <w:name w:val="Char Char Char Char Char Char Char Char Char2 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560">
    <w:name w:val="12 Char Char Char"/>
    <w:basedOn w:val="1"/>
    <w:qFormat/>
    <w:uiPriority w:val="0"/>
    <w:pPr>
      <w:spacing w:line="360" w:lineRule="auto"/>
      <w:ind w:firstLine="200" w:firstLineChars="200"/>
    </w:pPr>
    <w:rPr>
      <w:rFonts w:ascii="宋体" w:hAnsi="宋体" w:cs="宋体"/>
      <w:sz w:val="24"/>
      <w:szCs w:val="24"/>
    </w:rPr>
  </w:style>
  <w:style w:type="paragraph" w:customStyle="1" w:styleId="561">
    <w:name w:val="Char Char Char Char Char Char Char Char Char1"/>
    <w:basedOn w:val="1"/>
    <w:qFormat/>
    <w:uiPriority w:val="0"/>
    <w:pPr>
      <w:spacing w:line="360" w:lineRule="auto"/>
      <w:ind w:firstLine="200" w:firstLineChars="200"/>
    </w:pPr>
    <w:rPr>
      <w:rFonts w:ascii="宋体" w:hAnsi="宋体" w:cs="宋体"/>
      <w:sz w:val="24"/>
      <w:szCs w:val="24"/>
    </w:rPr>
  </w:style>
  <w:style w:type="paragraph" w:customStyle="1" w:styleId="562">
    <w:name w:val="表格 Char Char Char Char Char"/>
    <w:basedOn w:val="1"/>
    <w:link w:val="563"/>
    <w:qFormat/>
    <w:uiPriority w:val="0"/>
    <w:pPr>
      <w:widowControl/>
      <w:adjustRightInd w:val="0"/>
      <w:snapToGrid w:val="0"/>
      <w:jc w:val="center"/>
    </w:pPr>
    <w:rPr>
      <w:rFonts w:ascii="宋体" w:hAnsi="宋体"/>
      <w:kern w:val="0"/>
      <w:sz w:val="20"/>
    </w:rPr>
  </w:style>
  <w:style w:type="character" w:customStyle="1" w:styleId="563">
    <w:name w:val="表格 Char Char Char Char Char Char"/>
    <w:link w:val="562"/>
    <w:qFormat/>
    <w:uiPriority w:val="0"/>
    <w:rPr>
      <w:rFonts w:ascii="宋体" w:hAnsi="宋体"/>
      <w:szCs w:val="21"/>
    </w:rPr>
  </w:style>
  <w:style w:type="paragraph" w:customStyle="1" w:styleId="564">
    <w:name w:val="XCHG论文正文 Char Char Char Char Char Char Char"/>
    <w:basedOn w:val="1"/>
    <w:link w:val="565"/>
    <w:qFormat/>
    <w:uiPriority w:val="0"/>
    <w:pPr>
      <w:spacing w:line="288" w:lineRule="auto"/>
      <w:ind w:firstLine="480" w:firstLineChars="200"/>
    </w:pPr>
    <w:rPr>
      <w:rFonts w:ascii="Times New Roman" w:hAnsi="Times New Roman"/>
      <w:color w:val="000000"/>
      <w:kern w:val="0"/>
      <w:sz w:val="24"/>
      <w:szCs w:val="24"/>
    </w:rPr>
  </w:style>
  <w:style w:type="character" w:customStyle="1" w:styleId="565">
    <w:name w:val="XCHG论文正文 Char Char Char Char Char Char Char Char"/>
    <w:link w:val="564"/>
    <w:qFormat/>
    <w:uiPriority w:val="0"/>
    <w:rPr>
      <w:color w:val="000000"/>
      <w:sz w:val="24"/>
      <w:szCs w:val="24"/>
    </w:rPr>
  </w:style>
  <w:style w:type="character" w:customStyle="1" w:styleId="566">
    <w:name w:val="文本条款 Char"/>
    <w:qFormat/>
    <w:uiPriority w:val="0"/>
    <w:rPr>
      <w:rFonts w:eastAsia="宋体"/>
      <w:kern w:val="2"/>
      <w:sz w:val="24"/>
      <w:lang w:val="en-US" w:eastAsia="zh-CN" w:bidi="ar-SA"/>
    </w:rPr>
  </w:style>
  <w:style w:type="paragraph" w:customStyle="1" w:styleId="567">
    <w:name w:val="12 Char Char Char Char Char Char"/>
    <w:basedOn w:val="1"/>
    <w:qFormat/>
    <w:uiPriority w:val="0"/>
    <w:pPr>
      <w:spacing w:line="360" w:lineRule="auto"/>
      <w:ind w:firstLine="200" w:firstLineChars="200"/>
    </w:pPr>
    <w:rPr>
      <w:rFonts w:ascii="宋体" w:hAnsi="宋体" w:cs="宋体"/>
      <w:sz w:val="24"/>
      <w:szCs w:val="24"/>
    </w:rPr>
  </w:style>
  <w:style w:type="character" w:customStyle="1" w:styleId="568">
    <w:name w:val="s4 Char Char1"/>
    <w:qFormat/>
    <w:uiPriority w:val="0"/>
    <w:rPr>
      <w:rFonts w:eastAsia="宋体"/>
      <w:kern w:val="2"/>
      <w:sz w:val="24"/>
      <w:lang w:val="en-US" w:eastAsia="zh-CN" w:bidi="ar-SA"/>
    </w:rPr>
  </w:style>
  <w:style w:type="character" w:customStyle="1" w:styleId="569">
    <w:name w:val="表格 Char Char Char Char Char Char Char"/>
    <w:qFormat/>
    <w:uiPriority w:val="0"/>
    <w:rPr>
      <w:rFonts w:ascii="宋体" w:hAnsi="宋体" w:eastAsia="宋体"/>
      <w:kern w:val="2"/>
      <w:sz w:val="21"/>
      <w:szCs w:val="21"/>
      <w:lang w:val="en-US" w:eastAsia="zh-CN" w:bidi="ar-SA"/>
    </w:rPr>
  </w:style>
  <w:style w:type="character" w:customStyle="1" w:styleId="570">
    <w:name w:val="XCHG论文正文 Char Char Char Char Char Char Char Char Char"/>
    <w:qFormat/>
    <w:uiPriority w:val="0"/>
    <w:rPr>
      <w:rFonts w:eastAsia="宋体"/>
      <w:color w:val="000000"/>
      <w:kern w:val="2"/>
      <w:sz w:val="24"/>
      <w:szCs w:val="24"/>
      <w:lang w:val="en-US" w:eastAsia="zh-CN" w:bidi="ar-SA"/>
    </w:rPr>
  </w:style>
  <w:style w:type="paragraph" w:customStyle="1" w:styleId="571">
    <w:name w:val="12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572">
    <w:name w:val="样式 宋体 小五 居中2"/>
    <w:basedOn w:val="1"/>
    <w:qFormat/>
    <w:uiPriority w:val="0"/>
    <w:pPr>
      <w:spacing w:line="420" w:lineRule="exact"/>
      <w:ind w:firstLine="425"/>
      <w:jc w:val="center"/>
    </w:pPr>
    <w:rPr>
      <w:rFonts w:ascii="宋体" w:hAnsi="宋体" w:cs="宋体"/>
      <w:kern w:val="0"/>
      <w:sz w:val="18"/>
      <w:szCs w:val="20"/>
    </w:rPr>
  </w:style>
  <w:style w:type="character" w:customStyle="1" w:styleId="573">
    <w:name w:val="表格 Char Char Char Char Char Char Char Char"/>
    <w:qFormat/>
    <w:uiPriority w:val="0"/>
    <w:rPr>
      <w:rFonts w:ascii="宋体" w:hAnsi="宋体" w:eastAsia="宋体"/>
      <w:kern w:val="2"/>
      <w:sz w:val="21"/>
      <w:szCs w:val="21"/>
      <w:lang w:val="en-US" w:eastAsia="zh-CN" w:bidi="ar-SA"/>
    </w:rPr>
  </w:style>
  <w:style w:type="character" w:customStyle="1" w:styleId="574">
    <w:name w:val="XCHG论文正文 Char Char Char Char Char Char Char Char Char Char"/>
    <w:qFormat/>
    <w:uiPriority w:val="0"/>
    <w:rPr>
      <w:rFonts w:eastAsia="宋体"/>
      <w:color w:val="000000"/>
      <w:kern w:val="2"/>
      <w:sz w:val="24"/>
      <w:szCs w:val="24"/>
      <w:lang w:val="en-US" w:eastAsia="zh-CN" w:bidi="ar-SA"/>
    </w:rPr>
  </w:style>
  <w:style w:type="paragraph" w:customStyle="1" w:styleId="575">
    <w:name w:val="正文 1"/>
    <w:basedOn w:val="1"/>
    <w:qFormat/>
    <w:uiPriority w:val="0"/>
    <w:pPr>
      <w:spacing w:line="480" w:lineRule="exact"/>
      <w:ind w:firstLine="567"/>
    </w:pPr>
    <w:rPr>
      <w:rFonts w:ascii="Times New Roman" w:hAnsi="Times New Roman"/>
      <w:sz w:val="28"/>
      <w:szCs w:val="20"/>
    </w:rPr>
  </w:style>
  <w:style w:type="paragraph" w:customStyle="1" w:styleId="576">
    <w:name w:val="默认段落字体 Para Char Char Char Char Char Char Char Char Char Char1 Char Char Char Char"/>
    <w:basedOn w:val="1"/>
    <w:qFormat/>
    <w:uiPriority w:val="0"/>
    <w:rPr>
      <w:rFonts w:ascii="Times New Roman" w:hAnsi="Times New Roman"/>
      <w:szCs w:val="24"/>
    </w:rPr>
  </w:style>
  <w:style w:type="paragraph" w:customStyle="1" w:styleId="577">
    <w:name w:val="样式 小四 居中"/>
    <w:qFormat/>
    <w:uiPriority w:val="0"/>
    <w:pPr>
      <w:widowControl w:val="0"/>
      <w:spacing w:before="60" w:after="60"/>
      <w:jc w:val="center"/>
    </w:pPr>
    <w:rPr>
      <w:rFonts w:ascii="楷体_GB2312" w:hAnsi="Times New Roman" w:eastAsia="楷体_GB2312" w:cs="Times New Roman"/>
      <w:bCs/>
      <w:kern w:val="2"/>
      <w:sz w:val="24"/>
      <w:szCs w:val="24"/>
      <w:lang w:val="en-US" w:eastAsia="zh-CN" w:bidi="ar-SA"/>
    </w:rPr>
  </w:style>
  <w:style w:type="paragraph" w:customStyle="1" w:styleId="578">
    <w:name w:val="Char Char Char Char Char Char Char Char Char2 Char Char Char Char Char Char Char Char Char Char Char Char1"/>
    <w:basedOn w:val="1"/>
    <w:qFormat/>
    <w:uiPriority w:val="0"/>
    <w:pPr>
      <w:spacing w:line="360" w:lineRule="auto"/>
      <w:ind w:firstLine="200" w:firstLineChars="200"/>
    </w:pPr>
    <w:rPr>
      <w:rFonts w:ascii="宋体" w:hAnsi="宋体" w:cs="宋体"/>
      <w:sz w:val="24"/>
      <w:szCs w:val="24"/>
    </w:rPr>
  </w:style>
  <w:style w:type="paragraph" w:customStyle="1" w:styleId="579">
    <w:name w:val="WPS Plain"/>
    <w:qFormat/>
    <w:uiPriority w:val="0"/>
    <w:rPr>
      <w:rFonts w:ascii="Times New Roman" w:hAnsi="Times New Roman" w:eastAsia="宋体" w:cs="Times New Roman"/>
      <w:lang w:val="en-US" w:eastAsia="zh-CN" w:bidi="ar-SA"/>
    </w:rPr>
  </w:style>
  <w:style w:type="paragraph" w:customStyle="1" w:styleId="580">
    <w:name w:val="1 Char Char Char Char Char Char Char"/>
    <w:basedOn w:val="1"/>
    <w:qFormat/>
    <w:uiPriority w:val="0"/>
    <w:rPr>
      <w:rFonts w:ascii="Times New Roman" w:hAnsi="Times New Roman"/>
      <w:bCs/>
      <w:kern w:val="0"/>
      <w:szCs w:val="24"/>
    </w:rPr>
  </w:style>
  <w:style w:type="paragraph" w:customStyle="1" w:styleId="581">
    <w:name w:val="Char Char Char Char Char Char Char Char Char Char1"/>
    <w:basedOn w:val="1"/>
    <w:qFormat/>
    <w:uiPriority w:val="0"/>
    <w:pPr>
      <w:spacing w:line="360" w:lineRule="auto"/>
      <w:ind w:firstLine="200" w:firstLineChars="200"/>
    </w:pPr>
    <w:rPr>
      <w:rFonts w:ascii="宋体" w:hAnsi="宋体" w:cs="宋体"/>
      <w:sz w:val="24"/>
      <w:szCs w:val="24"/>
    </w:rPr>
  </w:style>
  <w:style w:type="character" w:customStyle="1" w:styleId="582">
    <w:name w:val="标题 4 Char Char Char1"/>
    <w:qFormat/>
    <w:uiPriority w:val="0"/>
    <w:rPr>
      <w:rFonts w:ascii="Arial" w:hAnsi="Arial" w:eastAsia="黑体"/>
      <w:b/>
      <w:bCs/>
      <w:kern w:val="2"/>
      <w:sz w:val="28"/>
      <w:szCs w:val="28"/>
      <w:lang w:val="en-US" w:eastAsia="zh-CN" w:bidi="ar-SA"/>
    </w:rPr>
  </w:style>
  <w:style w:type="paragraph" w:customStyle="1" w:styleId="583">
    <w:name w:val="表格（小）"/>
    <w:basedOn w:val="1"/>
    <w:qFormat/>
    <w:uiPriority w:val="0"/>
    <w:pPr>
      <w:adjustRightInd w:val="0"/>
      <w:snapToGrid w:val="0"/>
    </w:pPr>
    <w:rPr>
      <w:rFonts w:ascii="Times New Roman" w:hAnsi="Times New Roman"/>
      <w:kern w:val="0"/>
      <w:szCs w:val="20"/>
    </w:rPr>
  </w:style>
  <w:style w:type="paragraph" w:customStyle="1" w:styleId="584">
    <w:name w:val="样式 haydonli + 首行缩进:  2 字符"/>
    <w:basedOn w:val="1"/>
    <w:qFormat/>
    <w:uiPriority w:val="0"/>
    <w:pPr>
      <w:adjustRightInd w:val="0"/>
      <w:snapToGrid w:val="0"/>
      <w:spacing w:line="420" w:lineRule="exact"/>
      <w:ind w:firstLine="480" w:firstLineChars="200"/>
    </w:pPr>
    <w:rPr>
      <w:rFonts w:ascii="宋体" w:hAnsi="宋体" w:cs="宋体"/>
      <w:kern w:val="0"/>
      <w:sz w:val="24"/>
      <w:szCs w:val="24"/>
    </w:rPr>
  </w:style>
  <w:style w:type="paragraph" w:customStyle="1" w:styleId="585">
    <w:name w:val="haydonli"/>
    <w:basedOn w:val="1"/>
    <w:link w:val="586"/>
    <w:qFormat/>
    <w:uiPriority w:val="0"/>
    <w:pPr>
      <w:snapToGrid w:val="0"/>
      <w:ind w:firstLine="420" w:firstLineChars="200"/>
      <w:jc w:val="center"/>
    </w:pPr>
    <w:rPr>
      <w:rFonts w:ascii="宋体" w:hAnsi="宋体"/>
      <w:snapToGrid w:val="0"/>
      <w:color w:val="000000"/>
      <w:kern w:val="0"/>
      <w:sz w:val="20"/>
    </w:rPr>
  </w:style>
  <w:style w:type="character" w:customStyle="1" w:styleId="586">
    <w:name w:val="haydonli Char"/>
    <w:link w:val="585"/>
    <w:qFormat/>
    <w:uiPriority w:val="0"/>
    <w:rPr>
      <w:rFonts w:ascii="宋体" w:hAnsi="宋体"/>
      <w:snapToGrid w:val="0"/>
      <w:color w:val="000000"/>
      <w:szCs w:val="21"/>
    </w:rPr>
  </w:style>
  <w:style w:type="paragraph" w:customStyle="1" w:styleId="587">
    <w:name w:val="Char Char Char Char Char Char Char Char Char Char Char Char Char2"/>
    <w:basedOn w:val="1"/>
    <w:qFormat/>
    <w:uiPriority w:val="0"/>
    <w:pPr>
      <w:tabs>
        <w:tab w:val="left" w:pos="1191"/>
      </w:tabs>
      <w:spacing w:line="360" w:lineRule="auto"/>
      <w:ind w:firstLine="200" w:firstLineChars="200"/>
    </w:pPr>
    <w:rPr>
      <w:rFonts w:ascii="宋体" w:hAnsi="宋体" w:cs="宋体"/>
      <w:sz w:val="24"/>
      <w:szCs w:val="24"/>
    </w:rPr>
  </w:style>
  <w:style w:type="paragraph" w:customStyle="1" w:styleId="588">
    <w:name w:val="表后文"/>
    <w:basedOn w:val="1"/>
    <w:qFormat/>
    <w:uiPriority w:val="0"/>
    <w:pPr>
      <w:tabs>
        <w:tab w:val="left" w:pos="1191"/>
      </w:tabs>
      <w:adjustRightInd w:val="0"/>
      <w:spacing w:before="120" w:line="400" w:lineRule="exact"/>
      <w:ind w:firstLine="601"/>
      <w:textAlignment w:val="baseline"/>
    </w:pPr>
    <w:rPr>
      <w:rFonts w:ascii="Times New Roman" w:hAnsi="Times New Roman" w:eastAsia="楷体_GB2312"/>
      <w:spacing w:val="8"/>
      <w:kern w:val="0"/>
      <w:sz w:val="28"/>
      <w:szCs w:val="20"/>
    </w:rPr>
  </w:style>
  <w:style w:type="character" w:customStyle="1" w:styleId="589">
    <w:name w:val="正文文字 2 Char Char"/>
    <w:qFormat/>
    <w:uiPriority w:val="0"/>
    <w:rPr>
      <w:rFonts w:eastAsia="宋体"/>
      <w:kern w:val="2"/>
      <w:sz w:val="18"/>
      <w:szCs w:val="24"/>
      <w:lang w:val="en-US" w:eastAsia="zh-CN" w:bidi="ar-SA"/>
    </w:rPr>
  </w:style>
  <w:style w:type="paragraph" w:customStyle="1" w:styleId="590">
    <w:name w:val="Char Char Char Char Char Char Char Char Char Char Char Char Char3"/>
    <w:basedOn w:val="1"/>
    <w:qFormat/>
    <w:uiPriority w:val="0"/>
    <w:pPr>
      <w:spacing w:line="360" w:lineRule="auto"/>
      <w:ind w:firstLine="200" w:firstLineChars="200"/>
    </w:pPr>
    <w:rPr>
      <w:rFonts w:ascii="宋体" w:hAnsi="宋体" w:cs="宋体"/>
      <w:sz w:val="24"/>
      <w:szCs w:val="24"/>
    </w:rPr>
  </w:style>
  <w:style w:type="paragraph" w:customStyle="1" w:styleId="591">
    <w:name w:val="Char Char Char 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592">
    <w:name w:val="12 Char"/>
    <w:basedOn w:val="1"/>
    <w:qFormat/>
    <w:uiPriority w:val="0"/>
    <w:pPr>
      <w:spacing w:line="360" w:lineRule="auto"/>
      <w:ind w:firstLine="200" w:firstLineChars="200"/>
    </w:pPr>
    <w:rPr>
      <w:rFonts w:ascii="宋体" w:hAnsi="宋体" w:cs="宋体"/>
      <w:sz w:val="24"/>
      <w:szCs w:val="24"/>
    </w:rPr>
  </w:style>
  <w:style w:type="paragraph" w:customStyle="1" w:styleId="593">
    <w:name w:val="Char Char Char Char Char Char 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594">
    <w:name w:val="Char Char Char1"/>
    <w:basedOn w:val="1"/>
    <w:qFormat/>
    <w:uiPriority w:val="0"/>
    <w:pPr>
      <w:spacing w:line="360" w:lineRule="auto"/>
      <w:ind w:firstLine="200" w:firstLineChars="200"/>
    </w:pPr>
    <w:rPr>
      <w:rFonts w:ascii="宋体" w:hAnsi="宋体" w:cs="宋体"/>
      <w:sz w:val="24"/>
      <w:szCs w:val="24"/>
    </w:rPr>
  </w:style>
  <w:style w:type="paragraph" w:customStyle="1" w:styleId="595">
    <w:name w:val="样式 正文文本缩进 3正文文字缩进 3 + 首行缩进:  1.18 厘米"/>
    <w:basedOn w:val="55"/>
    <w:qFormat/>
    <w:uiPriority w:val="0"/>
    <w:pPr>
      <w:tabs>
        <w:tab w:val="left" w:pos="8790"/>
      </w:tabs>
      <w:adjustRightInd w:val="0"/>
      <w:snapToGrid w:val="0"/>
      <w:spacing w:before="40" w:after="0" w:line="276" w:lineRule="auto"/>
      <w:ind w:left="-37" w:leftChars="0" w:firstLine="667"/>
    </w:pPr>
    <w:rPr>
      <w:rFonts w:ascii="Arial" w:hAnsi="Arial" w:cs="宋体"/>
      <w:snapToGrid w:val="0"/>
      <w:color w:val="000000"/>
      <w:spacing w:val="6"/>
      <w:kern w:val="28"/>
      <w:sz w:val="24"/>
      <w:szCs w:val="20"/>
    </w:rPr>
  </w:style>
  <w:style w:type="paragraph" w:customStyle="1" w:styleId="596">
    <w:name w:val="Char Char Char Char Char Char Char Char1 Char Char Char Char"/>
    <w:basedOn w:val="1"/>
    <w:qFormat/>
    <w:uiPriority w:val="0"/>
    <w:rPr>
      <w:rFonts w:ascii="Times New Roman" w:hAnsi="Times New Roman"/>
      <w:szCs w:val="24"/>
    </w:rPr>
  </w:style>
  <w:style w:type="paragraph" w:customStyle="1" w:styleId="597">
    <w:name w:val="样式 观音岩正文段落 + 段前: 0.5 行 段后: 0.5 行"/>
    <w:basedOn w:val="1"/>
    <w:qFormat/>
    <w:uiPriority w:val="0"/>
    <w:pPr>
      <w:adjustRightInd w:val="0"/>
      <w:snapToGrid w:val="0"/>
      <w:spacing w:line="360" w:lineRule="auto"/>
      <w:ind w:firstLine="482"/>
    </w:pPr>
    <w:rPr>
      <w:rFonts w:ascii="Arial" w:hAnsi="Arial" w:cs="宋体"/>
      <w:sz w:val="24"/>
      <w:szCs w:val="20"/>
    </w:rPr>
  </w:style>
  <w:style w:type="paragraph" w:customStyle="1" w:styleId="598">
    <w:name w:val="正文1 小四"/>
    <w:basedOn w:val="1"/>
    <w:qFormat/>
    <w:uiPriority w:val="0"/>
    <w:pPr>
      <w:adjustRightInd w:val="0"/>
      <w:spacing w:line="420" w:lineRule="exact"/>
      <w:ind w:firstLine="200" w:firstLineChars="200"/>
      <w:jc w:val="left"/>
      <w:textAlignment w:val="baseline"/>
    </w:pPr>
    <w:rPr>
      <w:rFonts w:ascii="Times New Roman" w:hAnsi="Times New Roman"/>
      <w:kern w:val="0"/>
      <w:sz w:val="24"/>
      <w:szCs w:val="20"/>
    </w:rPr>
  </w:style>
  <w:style w:type="paragraph" w:customStyle="1" w:styleId="599">
    <w:name w:val="Char Char2 Char Char Char Char"/>
    <w:basedOn w:val="4"/>
    <w:qFormat/>
    <w:uiPriority w:val="0"/>
    <w:pPr>
      <w:numPr>
        <w:ilvl w:val="0"/>
        <w:numId w:val="0"/>
      </w:numPr>
      <w:tabs>
        <w:tab w:val="left" w:pos="900"/>
      </w:tabs>
      <w:adjustRightInd/>
      <w:spacing w:before="120" w:after="120"/>
      <w:ind w:left="542" w:leftChars="-12" w:firstLine="200" w:firstLineChars="200"/>
      <w:jc w:val="left"/>
    </w:pPr>
    <w:rPr>
      <w:rFonts w:eastAsia="黑体"/>
      <w:b w:val="0"/>
      <w:bCs w:val="0"/>
      <w:snapToGrid w:val="0"/>
      <w:szCs w:val="24"/>
    </w:rPr>
  </w:style>
  <w:style w:type="paragraph" w:customStyle="1" w:styleId="600">
    <w:name w:val="Char Char Char Char1 Char Char Char1"/>
    <w:basedOn w:val="4"/>
    <w:next w:val="129"/>
    <w:qFormat/>
    <w:uiPriority w:val="0"/>
    <w:pPr>
      <w:numPr>
        <w:ilvl w:val="0"/>
        <w:numId w:val="0"/>
      </w:numPr>
      <w:tabs>
        <w:tab w:val="left" w:pos="1260"/>
      </w:tabs>
      <w:adjustRightInd/>
      <w:snapToGrid/>
      <w:spacing w:beforeLines="50" w:afterLines="20"/>
      <w:ind w:left="1260" w:hanging="420"/>
    </w:pPr>
    <w:rPr>
      <w:rFonts w:ascii="宋体" w:hAnsi="宋体" w:eastAsia="黑体" w:cs="宋体"/>
      <w:b w:val="0"/>
      <w:bCs w:val="0"/>
      <w:szCs w:val="24"/>
    </w:rPr>
  </w:style>
  <w:style w:type="paragraph" w:customStyle="1" w:styleId="601">
    <w:name w:val="样式 标题 3Section条标题1.1.1标题 33标题 13(F4)小节标题4(C+F3)标题 3 Cha..."/>
    <w:basedOn w:val="4"/>
    <w:qFormat/>
    <w:uiPriority w:val="0"/>
    <w:pPr>
      <w:numPr>
        <w:ilvl w:val="0"/>
        <w:numId w:val="0"/>
      </w:numPr>
      <w:tabs>
        <w:tab w:val="left" w:pos="1260"/>
      </w:tabs>
      <w:adjustRightInd/>
      <w:snapToGrid/>
      <w:spacing w:beforeLines="50" w:afterLines="20" w:line="400" w:lineRule="exact"/>
      <w:ind w:left="1260" w:hanging="420"/>
    </w:pPr>
    <w:rPr>
      <w:rFonts w:eastAsia="黑体" w:cs="宋体"/>
      <w:b w:val="0"/>
      <w:bCs w:val="0"/>
      <w:color w:val="FF0000"/>
      <w:szCs w:val="20"/>
    </w:rPr>
  </w:style>
  <w:style w:type="character" w:customStyle="1" w:styleId="602">
    <w:name w:val="标题1.1.1.1.1 Char1"/>
    <w:qFormat/>
    <w:uiPriority w:val="0"/>
    <w:rPr>
      <w:rFonts w:ascii="黑体" w:hAnsi="宋体" w:eastAsia="黑体"/>
      <w:kern w:val="2"/>
      <w:sz w:val="24"/>
      <w:lang w:val="en-US" w:eastAsia="zh-CN" w:bidi="ar-SA"/>
    </w:rPr>
  </w:style>
  <w:style w:type="character" w:customStyle="1" w:styleId="603">
    <w:name w:val="dc1"/>
    <w:qFormat/>
    <w:uiPriority w:val="0"/>
    <w:rPr>
      <w:rFonts w:hint="eastAsia" w:ascii="宋体" w:hAnsi="宋体" w:eastAsia="宋体"/>
      <w:sz w:val="18"/>
      <w:szCs w:val="18"/>
    </w:rPr>
  </w:style>
  <w:style w:type="character" w:customStyle="1" w:styleId="604">
    <w:name w:val="11p"/>
    <w:basedOn w:val="74"/>
    <w:qFormat/>
    <w:uiPriority w:val="0"/>
  </w:style>
  <w:style w:type="character" w:customStyle="1" w:styleId="605">
    <w:name w:val="readnewstitle"/>
    <w:basedOn w:val="74"/>
    <w:qFormat/>
    <w:uiPriority w:val="0"/>
  </w:style>
  <w:style w:type="character" w:customStyle="1" w:styleId="606">
    <w:name w:val="lh22px"/>
    <w:basedOn w:val="74"/>
    <w:qFormat/>
    <w:uiPriority w:val="0"/>
  </w:style>
  <w:style w:type="character" w:customStyle="1" w:styleId="607">
    <w:name w:val="标题 1.1 Char"/>
    <w:qFormat/>
    <w:uiPriority w:val="0"/>
    <w:rPr>
      <w:rFonts w:eastAsia="黑体"/>
      <w:kern w:val="2"/>
      <w:sz w:val="28"/>
      <w:szCs w:val="32"/>
      <w:lang w:val="en-US" w:eastAsia="zh-CN" w:bidi="ar-SA"/>
    </w:rPr>
  </w:style>
  <w:style w:type="character" w:customStyle="1" w:styleId="608">
    <w:name w:val="zye"/>
    <w:basedOn w:val="74"/>
    <w:qFormat/>
    <w:uiPriority w:val="0"/>
  </w:style>
  <w:style w:type="character" w:customStyle="1" w:styleId="609">
    <w:name w:val="Char Char10"/>
    <w:qFormat/>
    <w:uiPriority w:val="0"/>
    <w:rPr>
      <w:rFonts w:ascii="Calibri" w:hAnsi="Calibri" w:eastAsia="宋体"/>
      <w:b/>
      <w:bCs/>
      <w:kern w:val="2"/>
      <w:sz w:val="32"/>
      <w:szCs w:val="32"/>
      <w:lang w:val="en-US" w:eastAsia="zh-CN" w:bidi="ar-SA"/>
    </w:rPr>
  </w:style>
  <w:style w:type="paragraph" w:customStyle="1" w:styleId="610">
    <w:name w:val="Char Char1 Char Char Char Char"/>
    <w:basedOn w:val="1"/>
    <w:qFormat/>
    <w:uiPriority w:val="0"/>
    <w:rPr>
      <w:rFonts w:ascii="Times New Roman" w:hAnsi="Times New Roman"/>
      <w:szCs w:val="24"/>
    </w:rPr>
  </w:style>
  <w:style w:type="paragraph" w:customStyle="1" w:styleId="611">
    <w:name w:val="标题C"/>
    <w:qFormat/>
    <w:uiPriority w:val="0"/>
    <w:pPr>
      <w:tabs>
        <w:tab w:val="left" w:pos="0"/>
      </w:tabs>
      <w:adjustRightInd w:val="0"/>
      <w:snapToGrid w:val="0"/>
      <w:spacing w:before="300"/>
      <w:outlineLvl w:val="2"/>
    </w:pPr>
    <w:rPr>
      <w:rFonts w:ascii="Times New Roman" w:hAnsi="Times New Roman" w:eastAsia="宋体" w:cs="Times New Roman"/>
      <w:b/>
      <w:snapToGrid w:val="0"/>
      <w:sz w:val="28"/>
      <w:lang w:val="en-US" w:eastAsia="zh-CN" w:bidi="ar-SA"/>
    </w:rPr>
  </w:style>
  <w:style w:type="paragraph" w:customStyle="1" w:styleId="612">
    <w:name w:val="正文new"/>
    <w:basedOn w:val="1"/>
    <w:qFormat/>
    <w:uiPriority w:val="0"/>
    <w:pPr>
      <w:spacing w:line="360" w:lineRule="auto"/>
      <w:ind w:firstLine="200" w:firstLineChars="200"/>
    </w:pPr>
    <w:rPr>
      <w:rFonts w:ascii="Times New Roman" w:hAnsi="Times New Roman" w:cs="宋体"/>
      <w:sz w:val="28"/>
      <w:szCs w:val="20"/>
    </w:rPr>
  </w:style>
  <w:style w:type="paragraph" w:customStyle="1" w:styleId="613">
    <w:name w:val="报告书正文 Char Char"/>
    <w:basedOn w:val="1"/>
    <w:qFormat/>
    <w:uiPriority w:val="0"/>
    <w:pPr>
      <w:spacing w:line="300" w:lineRule="auto"/>
      <w:ind w:firstLine="480" w:firstLineChars="200"/>
    </w:pPr>
    <w:rPr>
      <w:rFonts w:ascii="Times New Roman" w:hAnsi="Times New Roman"/>
      <w:color w:val="000000"/>
      <w:sz w:val="24"/>
      <w:szCs w:val="24"/>
    </w:rPr>
  </w:style>
  <w:style w:type="paragraph" w:customStyle="1" w:styleId="614">
    <w:name w:val="1 Char"/>
    <w:basedOn w:val="1"/>
    <w:qFormat/>
    <w:uiPriority w:val="0"/>
    <w:pPr>
      <w:keepNext/>
      <w:keepLines/>
      <w:spacing w:before="120" w:after="60"/>
      <w:jc w:val="left"/>
      <w:outlineLvl w:val="2"/>
    </w:pPr>
    <w:rPr>
      <w:rFonts w:ascii="Times New Roman" w:hAnsi="Times New Roman"/>
      <w:bCs/>
      <w:kern w:val="0"/>
      <w:szCs w:val="24"/>
    </w:rPr>
  </w:style>
  <w:style w:type="paragraph" w:customStyle="1" w:styleId="615">
    <w:name w:val="正文格式"/>
    <w:basedOn w:val="1"/>
    <w:semiHidden/>
    <w:qFormat/>
    <w:uiPriority w:val="0"/>
    <w:pPr>
      <w:spacing w:line="360" w:lineRule="auto"/>
      <w:ind w:firstLine="482"/>
    </w:pPr>
    <w:rPr>
      <w:rFonts w:ascii="宋体" w:hAnsi="Times New Roman"/>
      <w:sz w:val="24"/>
      <w:szCs w:val="24"/>
    </w:rPr>
  </w:style>
  <w:style w:type="character" w:customStyle="1" w:styleId="616">
    <w:name w:val="a61"/>
    <w:qFormat/>
    <w:uiPriority w:val="0"/>
    <w:rPr>
      <w:rFonts w:hint="eastAsia" w:ascii="宋体" w:hAnsi="宋体" w:eastAsia="宋体"/>
      <w:sz w:val="23"/>
      <w:szCs w:val="23"/>
    </w:rPr>
  </w:style>
  <w:style w:type="character" w:customStyle="1" w:styleId="617">
    <w:name w:val="表头 Char"/>
    <w:qFormat/>
    <w:uiPriority w:val="0"/>
    <w:rPr>
      <w:rFonts w:ascii="宋体" w:hAnsi="宋体" w:eastAsia="宋体" w:cs="Times New Roman"/>
      <w:b/>
      <w:bCs/>
      <w:szCs w:val="21"/>
    </w:rPr>
  </w:style>
  <w:style w:type="paragraph" w:customStyle="1" w:styleId="618">
    <w:name w:val="Char1 Char Char Char"/>
    <w:basedOn w:val="1"/>
    <w:qFormat/>
    <w:uiPriority w:val="0"/>
    <w:pPr>
      <w:spacing w:line="360" w:lineRule="auto"/>
      <w:ind w:firstLine="200" w:firstLineChars="200"/>
    </w:pPr>
    <w:rPr>
      <w:rFonts w:ascii="宋体" w:hAnsi="宋体" w:cs="宋体"/>
      <w:sz w:val="24"/>
      <w:szCs w:val="24"/>
    </w:rPr>
  </w:style>
  <w:style w:type="character" w:customStyle="1" w:styleId="619">
    <w:name w:val="ft"/>
    <w:qFormat/>
    <w:uiPriority w:val="0"/>
  </w:style>
  <w:style w:type="character" w:customStyle="1" w:styleId="620">
    <w:name w:val="labeltitle1"/>
    <w:qFormat/>
    <w:uiPriority w:val="0"/>
    <w:rPr>
      <w:b/>
      <w:bCs/>
      <w:sz w:val="39"/>
      <w:szCs w:val="39"/>
    </w:rPr>
  </w:style>
  <w:style w:type="paragraph" w:styleId="621">
    <w:name w:val="No Spacing"/>
    <w:qFormat/>
    <w:uiPriority w:val="1"/>
    <w:pPr>
      <w:widowControl w:val="0"/>
      <w:ind w:firstLine="425"/>
      <w:jc w:val="both"/>
    </w:pPr>
    <w:rPr>
      <w:rFonts w:ascii="Times New Roman" w:hAnsi="Times New Roman" w:eastAsia="宋体" w:cs="Times New Roman"/>
      <w:kern w:val="2"/>
      <w:sz w:val="24"/>
      <w:lang w:val="en-US" w:eastAsia="zh-CN" w:bidi="ar-SA"/>
    </w:rPr>
  </w:style>
  <w:style w:type="paragraph" w:customStyle="1" w:styleId="622">
    <w:name w:val="Char Char Char Char1 Char Char Char2"/>
    <w:basedOn w:val="4"/>
    <w:next w:val="129"/>
    <w:qFormat/>
    <w:uiPriority w:val="0"/>
    <w:pPr>
      <w:numPr>
        <w:ilvl w:val="0"/>
        <w:numId w:val="0"/>
      </w:numPr>
      <w:tabs>
        <w:tab w:val="left" w:pos="1260"/>
      </w:tabs>
      <w:adjustRightInd/>
      <w:snapToGrid/>
      <w:spacing w:before="50" w:after="20"/>
      <w:ind w:left="1260" w:hanging="420"/>
    </w:pPr>
    <w:rPr>
      <w:rFonts w:ascii="宋体" w:hAnsi="宋体" w:eastAsia="楷体" w:cs="宋体"/>
      <w:bCs w:val="0"/>
      <w:i/>
      <w:szCs w:val="24"/>
    </w:rPr>
  </w:style>
  <w:style w:type="paragraph" w:customStyle="1" w:styleId="623">
    <w:name w:val="表文"/>
    <w:basedOn w:val="172"/>
    <w:qFormat/>
    <w:uiPriority w:val="0"/>
    <w:pPr>
      <w:spacing w:beforeLines="20" w:after="20" w:afterLines="20" w:line="240" w:lineRule="auto"/>
      <w:ind w:left="-25" w:leftChars="-25" w:right="-25" w:rightChars="-25" w:firstLine="200"/>
    </w:pPr>
    <w:rPr>
      <w:rFonts w:ascii="宋体" w:hAnsi="宋体"/>
      <w:b w:val="0"/>
      <w:kern w:val="0"/>
      <w:sz w:val="18"/>
      <w:szCs w:val="21"/>
    </w:rPr>
  </w:style>
  <w:style w:type="paragraph" w:customStyle="1" w:styleId="624">
    <w:name w:val="Char Char Char2"/>
    <w:basedOn w:val="1"/>
    <w:qFormat/>
    <w:uiPriority w:val="0"/>
    <w:rPr>
      <w:rFonts w:ascii="Times New Roman" w:hAnsi="Times New Roman"/>
    </w:rPr>
  </w:style>
  <w:style w:type="character" w:customStyle="1" w:styleId="625">
    <w:name w:val="apple-style-span"/>
    <w:qFormat/>
    <w:uiPriority w:val="0"/>
  </w:style>
  <w:style w:type="table" w:customStyle="1" w:styleId="626">
    <w:name w:val="典雅型1"/>
    <w:basedOn w:val="71"/>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627">
    <w:name w:val="典雅型2"/>
    <w:basedOn w:val="71"/>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628">
    <w:name w:val="典雅型3"/>
    <w:basedOn w:val="71"/>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629">
    <w:name w:val="典雅型4"/>
    <w:basedOn w:val="71"/>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630">
    <w:name w:val="典雅型5"/>
    <w:basedOn w:val="71"/>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631">
    <w:name w:val="典雅型6"/>
    <w:basedOn w:val="71"/>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paragraph" w:customStyle="1" w:styleId="632">
    <w:name w:val="ming－正文"/>
    <w:basedOn w:val="1"/>
    <w:qFormat/>
    <w:uiPriority w:val="0"/>
    <w:pPr>
      <w:spacing w:line="360" w:lineRule="auto"/>
      <w:ind w:firstLine="200" w:firstLineChars="200"/>
    </w:pPr>
    <w:rPr>
      <w:rFonts w:ascii="Times New Roman" w:hAnsi="Times New Roman"/>
      <w:sz w:val="28"/>
      <w:szCs w:val="28"/>
    </w:rPr>
  </w:style>
  <w:style w:type="paragraph" w:customStyle="1" w:styleId="633">
    <w:name w:val="T正文"/>
    <w:qFormat/>
    <w:uiPriority w:val="0"/>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634">
    <w:name w:val="why－正文"/>
    <w:basedOn w:val="1"/>
    <w:qFormat/>
    <w:uiPriority w:val="0"/>
    <w:pPr>
      <w:tabs>
        <w:tab w:val="left" w:pos="900"/>
      </w:tabs>
      <w:spacing w:line="360" w:lineRule="auto"/>
      <w:ind w:firstLine="480" w:firstLineChars="200"/>
    </w:pPr>
    <w:rPr>
      <w:rFonts w:ascii="Times New Roman" w:hAnsi="Times New Roman"/>
      <w:sz w:val="24"/>
      <w:szCs w:val="28"/>
    </w:rPr>
  </w:style>
  <w:style w:type="character" w:customStyle="1" w:styleId="635">
    <w:name w:val="Mention"/>
    <w:basedOn w:val="74"/>
    <w:semiHidden/>
    <w:unhideWhenUsed/>
    <w:qFormat/>
    <w:uiPriority w:val="99"/>
    <w:rPr>
      <w:color w:val="2B579A"/>
      <w:shd w:val="clear" w:color="auto" w:fill="E6E6E6"/>
    </w:rPr>
  </w:style>
  <w:style w:type="paragraph" w:customStyle="1" w:styleId="636">
    <w:name w:val="标题 61"/>
    <w:basedOn w:val="1"/>
    <w:qFormat/>
    <w:uiPriority w:val="1"/>
    <w:pPr>
      <w:ind w:left="120"/>
      <w:jc w:val="left"/>
      <w:outlineLvl w:val="6"/>
    </w:pPr>
    <w:rPr>
      <w:rFonts w:ascii="Courier New" w:hAnsi="Courier New" w:eastAsia="Courier New" w:cs="黑体"/>
      <w:b/>
      <w:bCs/>
      <w:kern w:val="0"/>
      <w:sz w:val="30"/>
      <w:szCs w:val="30"/>
      <w:lang w:eastAsia="en-US"/>
    </w:rPr>
  </w:style>
  <w:style w:type="character" w:customStyle="1" w:styleId="637">
    <w:name w:val="font121"/>
    <w:basedOn w:val="74"/>
    <w:qFormat/>
    <w:uiPriority w:val="0"/>
    <w:rPr>
      <w:rFonts w:hint="eastAsia" w:ascii="宋体" w:hAnsi="宋体" w:eastAsia="宋体" w:cs="宋体"/>
      <w:color w:val="000000"/>
      <w:sz w:val="22"/>
      <w:szCs w:val="22"/>
      <w:u w:val="none"/>
    </w:rPr>
  </w:style>
  <w:style w:type="character" w:customStyle="1" w:styleId="638">
    <w:name w:val="font131"/>
    <w:basedOn w:val="74"/>
    <w:qFormat/>
    <w:uiPriority w:val="0"/>
    <w:rPr>
      <w:rFonts w:hint="eastAsia" w:ascii="宋体" w:hAnsi="宋体" w:eastAsia="宋体" w:cs="宋体"/>
      <w:color w:val="000000"/>
      <w:sz w:val="22"/>
      <w:szCs w:val="22"/>
      <w:u w:val="none"/>
    </w:rPr>
  </w:style>
  <w:style w:type="character" w:customStyle="1" w:styleId="639">
    <w:name w:val="font81"/>
    <w:basedOn w:val="74"/>
    <w:qFormat/>
    <w:uiPriority w:val="0"/>
    <w:rPr>
      <w:rFonts w:hint="default" w:ascii="Times New Roman" w:hAnsi="Times New Roman" w:cs="Times New Roman"/>
      <w:b/>
      <w:color w:val="000000"/>
      <w:sz w:val="22"/>
      <w:szCs w:val="22"/>
      <w:u w:val="none"/>
    </w:rPr>
  </w:style>
  <w:style w:type="character" w:customStyle="1" w:styleId="640">
    <w:name w:val="font141"/>
    <w:basedOn w:val="74"/>
    <w:qFormat/>
    <w:uiPriority w:val="0"/>
    <w:rPr>
      <w:rFonts w:hint="eastAsia" w:ascii="宋体" w:hAnsi="宋体" w:eastAsia="宋体" w:cs="宋体"/>
      <w:color w:val="000000"/>
      <w:sz w:val="21"/>
      <w:szCs w:val="21"/>
      <w:u w:val="none"/>
    </w:rPr>
  </w:style>
  <w:style w:type="character" w:customStyle="1" w:styleId="641">
    <w:name w:val="font161"/>
    <w:basedOn w:val="74"/>
    <w:qFormat/>
    <w:uiPriority w:val="0"/>
    <w:rPr>
      <w:rFonts w:hint="eastAsia" w:ascii="宋体" w:hAnsi="宋体" w:eastAsia="宋体" w:cs="宋体"/>
      <w:b/>
      <w:color w:val="000000"/>
      <w:sz w:val="22"/>
      <w:szCs w:val="22"/>
      <w:u w:val="none"/>
    </w:rPr>
  </w:style>
  <w:style w:type="character" w:customStyle="1" w:styleId="642">
    <w:name w:val="font61"/>
    <w:basedOn w:val="74"/>
    <w:qFormat/>
    <w:uiPriority w:val="0"/>
    <w:rPr>
      <w:rFonts w:hint="eastAsia" w:ascii="宋体" w:hAnsi="宋体" w:eastAsia="宋体" w:cs="宋体"/>
      <w:color w:val="000000"/>
      <w:sz w:val="22"/>
      <w:szCs w:val="22"/>
      <w:u w:val="none"/>
    </w:rPr>
  </w:style>
  <w:style w:type="paragraph" w:customStyle="1" w:styleId="643">
    <w:name w:val="001正文"/>
    <w:basedOn w:val="1"/>
    <w:qFormat/>
    <w:uiPriority w:val="0"/>
    <w:pPr>
      <w:spacing w:line="360" w:lineRule="auto"/>
      <w:ind w:firstLine="200" w:firstLineChars="200"/>
    </w:pPr>
    <w:rPr>
      <w:rFonts w:ascii="Times New Roman" w:hAnsi="宋体"/>
      <w:color w:val="000000"/>
      <w:sz w:val="24"/>
      <w:szCs w:val="24"/>
    </w:rPr>
  </w:style>
  <w:style w:type="character" w:customStyle="1" w:styleId="644">
    <w:name w:val="on"/>
    <w:basedOn w:val="74"/>
    <w:qFormat/>
    <w:uiPriority w:val="0"/>
    <w:rPr>
      <w:color w:val="FFFFFF"/>
      <w:shd w:val="clear" w:color="auto" w:fill="1F71FC"/>
    </w:rPr>
  </w:style>
  <w:style w:type="character" w:customStyle="1" w:styleId="645">
    <w:name w:val="font91"/>
    <w:basedOn w:val="74"/>
    <w:qFormat/>
    <w:uiPriority w:val="0"/>
    <w:rPr>
      <w:rFonts w:hint="default" w:ascii="Times New Roman" w:hAnsi="Times New Roman" w:cs="Times New Roman"/>
      <w:b/>
      <w:color w:val="000000"/>
      <w:sz w:val="22"/>
      <w:szCs w:val="22"/>
      <w:u w:val="none"/>
    </w:rPr>
  </w:style>
  <w:style w:type="character" w:customStyle="1" w:styleId="646">
    <w:name w:val="font71"/>
    <w:basedOn w:val="74"/>
    <w:qFormat/>
    <w:uiPriority w:val="0"/>
    <w:rPr>
      <w:rFonts w:hint="eastAsia" w:ascii="宋体" w:hAnsi="宋体" w:eastAsia="宋体" w:cs="宋体"/>
      <w:color w:val="000000"/>
      <w:sz w:val="22"/>
      <w:szCs w:val="22"/>
      <w:u w:val="none"/>
    </w:rPr>
  </w:style>
  <w:style w:type="character" w:customStyle="1" w:styleId="647">
    <w:name w:val="font111"/>
    <w:basedOn w:val="74"/>
    <w:qFormat/>
    <w:uiPriority w:val="0"/>
    <w:rPr>
      <w:rFonts w:hint="default" w:ascii="Times New Roman" w:hAnsi="Times New Roman" w:cs="Times New Roman"/>
      <w:b/>
      <w:color w:val="000000"/>
      <w:sz w:val="36"/>
      <w:szCs w:val="36"/>
      <w:u w:val="none"/>
    </w:rPr>
  </w:style>
  <w:style w:type="character" w:customStyle="1" w:styleId="648">
    <w:name w:val="font101"/>
    <w:basedOn w:val="74"/>
    <w:qFormat/>
    <w:uiPriority w:val="0"/>
    <w:rPr>
      <w:rFonts w:hint="eastAsia" w:ascii="宋体" w:hAnsi="宋体" w:eastAsia="宋体" w:cs="宋体"/>
      <w:color w:val="000000"/>
      <w:sz w:val="36"/>
      <w:szCs w:val="36"/>
      <w:u w:val="none"/>
    </w:rPr>
  </w:style>
  <w:style w:type="character" w:customStyle="1" w:styleId="649">
    <w:name w:val="font01"/>
    <w:basedOn w:val="74"/>
    <w:qFormat/>
    <w:uiPriority w:val="0"/>
    <w:rPr>
      <w:rFonts w:hint="eastAsia" w:ascii="宋体" w:hAnsi="宋体" w:eastAsia="宋体" w:cs="宋体"/>
      <w:b/>
      <w:color w:val="000000"/>
      <w:sz w:val="22"/>
      <w:szCs w:val="22"/>
      <w:u w:val="none"/>
    </w:rPr>
  </w:style>
  <w:style w:type="character" w:customStyle="1" w:styleId="650">
    <w:name w:val="pic"/>
    <w:basedOn w:val="74"/>
    <w:qFormat/>
    <w:uiPriority w:val="0"/>
  </w:style>
  <w:style w:type="character" w:customStyle="1" w:styleId="651">
    <w:name w:val="text"/>
    <w:basedOn w:val="74"/>
    <w:qFormat/>
    <w:uiPriority w:val="0"/>
    <w:rPr>
      <w:color w:val="888888"/>
      <w:sz w:val="18"/>
      <w:szCs w:val="18"/>
    </w:rPr>
  </w:style>
  <w:style w:type="character" w:customStyle="1" w:styleId="652">
    <w:name w:val="sels"/>
    <w:basedOn w:val="74"/>
    <w:qFormat/>
    <w:uiPriority w:val="0"/>
    <w:rPr>
      <w:bdr w:val="single" w:color="DAB76A" w:sz="6" w:space="0"/>
      <w:shd w:val="clear" w:color="auto" w:fill="FFFFFF"/>
    </w:rPr>
  </w:style>
  <w:style w:type="character" w:customStyle="1" w:styleId="653">
    <w:name w:val="sel"/>
    <w:basedOn w:val="74"/>
    <w:qFormat/>
    <w:uiPriority w:val="0"/>
  </w:style>
  <w:style w:type="character" w:customStyle="1" w:styleId="654">
    <w:name w:val="bds_more"/>
    <w:basedOn w:val="74"/>
    <w:qFormat/>
    <w:uiPriority w:val="0"/>
    <w:rPr>
      <w:rFonts w:hint="eastAsia" w:ascii="宋体" w:hAnsi="宋体" w:eastAsia="宋体" w:cs="宋体"/>
    </w:rPr>
  </w:style>
  <w:style w:type="character" w:customStyle="1" w:styleId="655">
    <w:name w:val="bds_more1"/>
    <w:basedOn w:val="74"/>
    <w:qFormat/>
    <w:uiPriority w:val="0"/>
  </w:style>
  <w:style w:type="character" w:customStyle="1" w:styleId="656">
    <w:name w:val="bds_more2"/>
    <w:basedOn w:val="74"/>
    <w:qFormat/>
    <w:uiPriority w:val="0"/>
  </w:style>
  <w:style w:type="character" w:customStyle="1" w:styleId="657">
    <w:name w:val="bds_nopic"/>
    <w:basedOn w:val="74"/>
    <w:qFormat/>
    <w:uiPriority w:val="0"/>
  </w:style>
  <w:style w:type="character" w:customStyle="1" w:styleId="658">
    <w:name w:val="bds_nopic1"/>
    <w:basedOn w:val="74"/>
    <w:qFormat/>
    <w:uiPriority w:val="0"/>
  </w:style>
  <w:style w:type="character" w:customStyle="1" w:styleId="659">
    <w:name w:val="bds_nopic2"/>
    <w:basedOn w:val="74"/>
    <w:qFormat/>
    <w:uiPriority w:val="0"/>
  </w:style>
  <w:style w:type="paragraph" w:customStyle="1" w:styleId="660">
    <w:name w:val="表格字体"/>
    <w:qFormat/>
    <w:uiPriority w:val="0"/>
    <w:pPr>
      <w:jc w:val="center"/>
    </w:pPr>
    <w:rPr>
      <w:rFonts w:ascii="Times New Roman" w:hAnsi="Times New Roman" w:eastAsia="宋体" w:cs="Times New Roman"/>
      <w:color w:val="000000"/>
      <w:sz w:val="21"/>
      <w:szCs w:val="21"/>
      <w:lang w:val="en-US" w:eastAsia="zh-CN" w:bidi="ar-SA"/>
    </w:rPr>
  </w:style>
  <w:style w:type="paragraph" w:customStyle="1" w:styleId="661">
    <w:name w:val="WPSOffice手动目录 2"/>
    <w:qFormat/>
    <w:uiPriority w:val="0"/>
    <w:pPr>
      <w:ind w:left="200" w:leftChars="200"/>
    </w:pPr>
    <w:rPr>
      <w:rFonts w:ascii="Calibri" w:hAnsi="Calibri" w:eastAsia="宋体" w:cs="Times New Roman"/>
      <w:lang w:val="en-US" w:eastAsia="zh-CN" w:bidi="ar-SA"/>
    </w:rPr>
  </w:style>
  <w:style w:type="paragraph" w:customStyle="1" w:styleId="662">
    <w:name w:val="WPSOffice手动目录 3"/>
    <w:qFormat/>
    <w:uiPriority w:val="0"/>
    <w:pPr>
      <w:ind w:left="400" w:leftChars="400"/>
    </w:pPr>
    <w:rPr>
      <w:rFonts w:ascii="Calibri" w:hAnsi="Calibri" w:eastAsia="宋体" w:cs="Times New Roman"/>
      <w:lang w:val="en-US" w:eastAsia="zh-CN" w:bidi="ar-SA"/>
    </w:rPr>
  </w:style>
  <w:style w:type="character" w:customStyle="1" w:styleId="663">
    <w:name w:val="keyword-span-wrap"/>
    <w:basedOn w:val="74"/>
    <w:qFormat/>
    <w:uiPriority w:val="0"/>
    <w:rPr>
      <w:color w:val="19A97B"/>
    </w:rPr>
  </w:style>
  <w:style w:type="character" w:customStyle="1" w:styleId="664">
    <w:name w:val="wx-space"/>
    <w:basedOn w:val="74"/>
    <w:qFormat/>
    <w:uiPriority w:val="0"/>
  </w:style>
  <w:style w:type="character" w:customStyle="1" w:styleId="665">
    <w:name w:val="wx-space1"/>
    <w:basedOn w:val="74"/>
    <w:qFormat/>
    <w:uiPriority w:val="0"/>
  </w:style>
  <w:style w:type="character" w:customStyle="1" w:styleId="666">
    <w:name w:val="hover37"/>
    <w:basedOn w:val="74"/>
    <w:qFormat/>
    <w:uiPriority w:val="0"/>
    <w:rPr>
      <w:color w:val="47932F"/>
      <w:u w:val="none"/>
      <w:bdr w:val="single" w:color="47932F" w:sz="6" w:space="0"/>
    </w:rPr>
  </w:style>
  <w:style w:type="character" w:customStyle="1" w:styleId="667">
    <w:name w:val="hover38"/>
    <w:basedOn w:val="74"/>
    <w:qFormat/>
    <w:uiPriority w:val="0"/>
    <w:rPr>
      <w:color w:val="000000"/>
      <w:shd w:val="clear" w:color="auto" w:fill="FFFFFF"/>
    </w:rPr>
  </w:style>
  <w:style w:type="character" w:customStyle="1" w:styleId="668">
    <w:name w:val="layui-this"/>
    <w:basedOn w:val="74"/>
    <w:qFormat/>
    <w:uiPriority w:val="0"/>
    <w:rPr>
      <w:bdr w:val="single" w:color="EEEEEE" w:sz="6" w:space="0"/>
      <w:shd w:val="clear" w:color="auto" w:fill="FFFFFF"/>
    </w:rPr>
  </w:style>
  <w:style w:type="character" w:customStyle="1" w:styleId="669">
    <w:name w:val="first-child"/>
    <w:basedOn w:val="74"/>
    <w:qFormat/>
    <w:uiPriority w:val="0"/>
  </w:style>
  <w:style w:type="character" w:customStyle="1" w:styleId="670">
    <w:name w:val="button"/>
    <w:basedOn w:val="74"/>
    <w:qFormat/>
    <w:uiPriority w:val="0"/>
  </w:style>
  <w:style w:type="character" w:customStyle="1" w:styleId="671">
    <w:name w:val="hover"/>
    <w:basedOn w:val="74"/>
    <w:qFormat/>
    <w:uiPriority w:val="0"/>
    <w:rPr>
      <w:color w:val="47932F"/>
      <w:u w:val="none"/>
      <w:bdr w:val="single" w:color="47932F" w:sz="6" w:space="0"/>
    </w:rPr>
  </w:style>
  <w:style w:type="character" w:customStyle="1" w:styleId="672">
    <w:name w:val="hover1"/>
    <w:basedOn w:val="74"/>
    <w:qFormat/>
    <w:uiPriority w:val="0"/>
    <w:rPr>
      <w:color w:val="000000"/>
      <w:shd w:val="clear" w:color="auto" w:fill="FFFFFF"/>
    </w:rPr>
  </w:style>
  <w:style w:type="paragraph" w:customStyle="1" w:styleId="673">
    <w:name w:val="修订111"/>
    <w:hidden/>
    <w:unhideWhenUsed/>
    <w:qFormat/>
    <w:uiPriority w:val="99"/>
    <w:rPr>
      <w:rFonts w:ascii="Calibri" w:hAnsi="Calibri" w:eastAsia="宋体" w:cs="Times New Roman"/>
      <w:kern w:val="2"/>
      <w:sz w:val="21"/>
      <w:szCs w:val="22"/>
      <w:lang w:val="en-US" w:eastAsia="zh-CN" w:bidi="ar-SA"/>
    </w:rPr>
  </w:style>
  <w:style w:type="paragraph" w:customStyle="1" w:styleId="67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75">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676">
    <w:name w:val="图表脚注"/>
    <w:next w:val="674"/>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677">
    <w:name w:val="修订2"/>
    <w:hidden/>
    <w:unhideWhenUsed/>
    <w:qFormat/>
    <w:uiPriority w:val="99"/>
    <w:rPr>
      <w:rFonts w:ascii="Calibri" w:hAnsi="Calibri" w:eastAsia="宋体" w:cs="Times New Roman"/>
      <w:kern w:val="2"/>
      <w:sz w:val="21"/>
      <w:szCs w:val="22"/>
      <w:lang w:val="en-US" w:eastAsia="zh-CN" w:bidi="ar-SA"/>
    </w:rPr>
  </w:style>
  <w:style w:type="paragraph" w:customStyle="1" w:styleId="678">
    <w:name w:val="Normal_0"/>
    <w:qFormat/>
    <w:uiPriority w:val="0"/>
    <w:rPr>
      <w:rFonts w:ascii="Times New Roman" w:hAnsi="Times New Roman" w:eastAsia="Times New Roman" w:cs="Times New Roman"/>
      <w:sz w:val="24"/>
      <w:szCs w:val="24"/>
      <w:lang w:val="en-US" w:eastAsia="zh-CN" w:bidi="ar-SA"/>
    </w:rPr>
  </w:style>
  <w:style w:type="paragraph" w:customStyle="1" w:styleId="679">
    <w:name w:val="TOC 标题2"/>
    <w:basedOn w:val="2"/>
    <w:next w:val="1"/>
    <w:unhideWhenUsed/>
    <w:qFormat/>
    <w:uiPriority w:val="0"/>
    <w:pPr>
      <w:widowControl/>
      <w:numPr>
        <w:numId w:val="0"/>
      </w:numPr>
      <w:adjustRightInd/>
      <w:snapToGrid/>
      <w:spacing w:before="480" w:line="276" w:lineRule="auto"/>
      <w:jc w:val="left"/>
      <w:outlineLvl w:val="9"/>
    </w:pPr>
    <w:rPr>
      <w:rFonts w:asciiTheme="majorHAnsi" w:hAnsiTheme="majorHAnsi" w:eastAsiaTheme="majorEastAsia" w:cstheme="majorBidi"/>
      <w:b/>
      <w:color w:val="2E75B6" w:themeColor="accent1" w:themeShade="BF"/>
      <w:kern w:val="0"/>
      <w:sz w:val="28"/>
      <w:szCs w:val="28"/>
    </w:rPr>
  </w:style>
  <w:style w:type="paragraph" w:customStyle="1" w:styleId="680">
    <w:name w:val="样式 样式 正文缩进文本条款表格标题正文（首行缩进两字） Char Char Char Char Char Char Char....2"/>
    <w:basedOn w:val="1"/>
    <w:link w:val="681"/>
    <w:qFormat/>
    <w:uiPriority w:val="0"/>
    <w:pPr>
      <w:snapToGrid w:val="0"/>
      <w:spacing w:line="360" w:lineRule="auto"/>
      <w:ind w:firstLine="200" w:firstLineChars="200"/>
    </w:pPr>
    <w:rPr>
      <w:rFonts w:ascii="Times New Roman" w:hAnsi="Times New Roman" w:cs="宋体"/>
      <w:color w:val="000000"/>
      <w:sz w:val="28"/>
      <w:szCs w:val="20"/>
    </w:rPr>
  </w:style>
  <w:style w:type="character" w:customStyle="1" w:styleId="681">
    <w:name w:val="样式 样式 正文缩进文本条款表格标题正文（首行缩进两字） Char Char Char Char Char Char Char....2 Char"/>
    <w:link w:val="680"/>
    <w:qFormat/>
    <w:uiPriority w:val="0"/>
    <w:rPr>
      <w:rFonts w:cs="宋体"/>
      <w:color w:val="000000"/>
      <w:kern w:val="2"/>
      <w:sz w:val="28"/>
    </w:rPr>
  </w:style>
  <w:style w:type="paragraph" w:customStyle="1" w:styleId="682">
    <w:name w:val="监利表格注释"/>
    <w:basedOn w:val="58"/>
    <w:next w:val="1"/>
    <w:qFormat/>
    <w:uiPriority w:val="0"/>
    <w:pPr>
      <w:tabs>
        <w:tab w:val="left" w:pos="180"/>
      </w:tabs>
      <w:spacing w:before="0" w:line="560" w:lineRule="exact"/>
      <w:ind w:left="0"/>
    </w:pPr>
    <w:rPr>
      <w:rFonts w:eastAsiaTheme="minorEastAsia"/>
      <w:sz w:val="24"/>
      <w:szCs w:val="24"/>
    </w:rPr>
  </w:style>
  <w:style w:type="paragraph" w:customStyle="1" w:styleId="683">
    <w:name w:val="监利正文"/>
    <w:basedOn w:val="1"/>
    <w:next w:val="1"/>
    <w:qFormat/>
    <w:uiPriority w:val="0"/>
    <w:pPr>
      <w:ind w:firstLine="577" w:firstLineChars="200"/>
    </w:pPr>
    <w:rPr>
      <w:rFonts w:ascii="仿宋_GB2312" w:hAnsi="Times New Roman" w:eastAsia="仿宋_GB2312"/>
      <w:color w:val="000000"/>
      <w:sz w:val="28"/>
      <w:szCs w:val="28"/>
    </w:rPr>
  </w:style>
  <w:style w:type="paragraph" w:customStyle="1" w:styleId="684">
    <w:name w:val="样式 监利正文 + 首行缩进:  2 字符"/>
    <w:basedOn w:val="683"/>
    <w:qFormat/>
    <w:uiPriority w:val="0"/>
    <w:rPr>
      <w:rFonts w:cs="宋体"/>
      <w:szCs w:val="20"/>
    </w:rPr>
  </w:style>
  <w:style w:type="paragraph" w:customStyle="1" w:styleId="685">
    <w:name w:val="0(1)"/>
    <w:basedOn w:val="18"/>
    <w:qFormat/>
    <w:uiPriority w:val="0"/>
    <w:pPr>
      <w:tabs>
        <w:tab w:val="left" w:pos="1080"/>
      </w:tabs>
      <w:adjustRightInd w:val="0"/>
      <w:spacing w:line="440" w:lineRule="exact"/>
      <w:ind w:left="720" w:firstLine="0" w:firstLineChars="0"/>
    </w:pPr>
    <w:rPr>
      <w:rFonts w:ascii="Times New Roman"/>
      <w:sz w:val="24"/>
      <w:szCs w:val="24"/>
      <w:u w:color="000000"/>
    </w:rPr>
  </w:style>
  <w:style w:type="paragraph" w:customStyle="1" w:styleId="686">
    <w:name w:val="4正文"/>
    <w:basedOn w:val="1"/>
    <w:qFormat/>
    <w:uiPriority w:val="0"/>
    <w:pPr>
      <w:adjustRightInd w:val="0"/>
      <w:spacing w:line="480" w:lineRule="exact"/>
      <w:ind w:firstLine="560" w:firstLineChars="200"/>
      <w:jc w:val="left"/>
      <w:textAlignment w:val="baseline"/>
    </w:pPr>
    <w:rPr>
      <w:rFonts w:ascii="宋体" w:hAnsi="宋体"/>
      <w:kern w:val="0"/>
      <w:sz w:val="28"/>
      <w:szCs w:val="28"/>
    </w:rPr>
  </w:style>
  <w:style w:type="paragraph" w:customStyle="1" w:styleId="687">
    <w:name w:val="样式 样式 样式 样式 表头4 + 段前: 0.5 行 + 段前: 0.15 行 段后: 0.05 行 + 段前: 0.15 行..."/>
    <w:basedOn w:val="1"/>
    <w:qFormat/>
    <w:uiPriority w:val="0"/>
    <w:pPr>
      <w:spacing w:beforeLines="15" w:afterLines="5" w:line="480" w:lineRule="atLeast"/>
      <w:jc w:val="left"/>
    </w:pPr>
    <w:rPr>
      <w:rFonts w:ascii="Times New Roman" w:hAnsi="Times New Roman" w:cs="宋体"/>
      <w:b/>
      <w:sz w:val="24"/>
      <w:szCs w:val="24"/>
    </w:rPr>
  </w:style>
  <w:style w:type="paragraph" w:customStyle="1" w:styleId="688">
    <w:name w:val="样式 小4居中 +"/>
    <w:basedOn w:val="1"/>
    <w:link w:val="689"/>
    <w:qFormat/>
    <w:uiPriority w:val="0"/>
    <w:pPr>
      <w:snapToGrid w:val="0"/>
      <w:spacing w:beforeLines="15" w:afterLines="15" w:line="320" w:lineRule="atLeast"/>
      <w:jc w:val="center"/>
    </w:pPr>
    <w:rPr>
      <w:rFonts w:ascii="Times New Roman" w:hAnsi="Times New Roman"/>
      <w:kern w:val="0"/>
      <w:sz w:val="24"/>
      <w:szCs w:val="24"/>
    </w:rPr>
  </w:style>
  <w:style w:type="character" w:customStyle="1" w:styleId="689">
    <w:name w:val="样式 小4居中 + Char"/>
    <w:link w:val="688"/>
    <w:qFormat/>
    <w:uiPriority w:val="0"/>
    <w:rPr>
      <w:sz w:val="24"/>
      <w:szCs w:val="24"/>
    </w:rPr>
  </w:style>
  <w:style w:type="character" w:customStyle="1" w:styleId="690">
    <w:name w:val="列表 Char"/>
    <w:qFormat/>
    <w:uiPriority w:val="0"/>
    <w:rPr>
      <w:rFonts w:eastAsia="黑体"/>
      <w:kern w:val="2"/>
      <w:sz w:val="22"/>
      <w:lang w:val="en-US" w:eastAsia="zh-CN"/>
    </w:rPr>
  </w:style>
  <w:style w:type="paragraph" w:customStyle="1" w:styleId="691">
    <w:name w:val="正文表头"/>
    <w:basedOn w:val="1"/>
    <w:link w:val="692"/>
    <w:qFormat/>
    <w:uiPriority w:val="0"/>
    <w:pPr>
      <w:widowControl/>
      <w:autoSpaceDE w:val="0"/>
      <w:autoSpaceDN w:val="0"/>
      <w:adjustRightInd w:val="0"/>
      <w:spacing w:beforeLines="50" w:afterLines="50" w:line="360" w:lineRule="auto"/>
      <w:jc w:val="center"/>
    </w:pPr>
    <w:rPr>
      <w:rFonts w:ascii="Times New Roman" w:hAnsi="Times New Roman"/>
      <w:b/>
      <w:color w:val="000000"/>
      <w:kern w:val="0"/>
      <w:sz w:val="24"/>
      <w:szCs w:val="24"/>
    </w:rPr>
  </w:style>
  <w:style w:type="character" w:customStyle="1" w:styleId="692">
    <w:name w:val="正文表头 Char"/>
    <w:basedOn w:val="74"/>
    <w:link w:val="691"/>
    <w:qFormat/>
    <w:uiPriority w:val="0"/>
    <w:rPr>
      <w:rFonts w:ascii="Times New Roman" w:hAnsi="Times New Roman" w:eastAsia="宋体" w:cs="Times New Roman"/>
      <w:b/>
      <w:color w:val="000000"/>
      <w:sz w:val="24"/>
      <w:szCs w:val="24"/>
    </w:rPr>
  </w:style>
  <w:style w:type="paragraph" w:customStyle="1" w:styleId="693">
    <w:name w:val="M表中字体"/>
    <w:qFormat/>
    <w:uiPriority w:val="0"/>
    <w:pPr>
      <w:adjustRightInd w:val="0"/>
      <w:snapToGrid w:val="0"/>
      <w:jc w:val="center"/>
    </w:pPr>
    <w:rPr>
      <w:rFonts w:ascii="Times New Roman" w:hAnsi="Times New Roman" w:eastAsia="宋体" w:cs="Times New Roman"/>
      <w:kern w:val="2"/>
      <w:sz w:val="21"/>
      <w:szCs w:val="21"/>
      <w:lang w:val="en-US" w:eastAsia="zh-CN" w:bidi="ar-SA"/>
    </w:rPr>
  </w:style>
  <w:style w:type="paragraph" w:customStyle="1" w:styleId="694">
    <w:name w:val="Char Char Char Char11"/>
    <w:basedOn w:val="1"/>
    <w:qFormat/>
    <w:uiPriority w:val="0"/>
    <w:pPr>
      <w:widowControl/>
      <w:spacing w:before="80"/>
    </w:pPr>
    <w:rPr>
      <w:rFonts w:ascii="宋体" w:hAnsi="宋体" w:cs="Courier New"/>
      <w:color w:val="000000"/>
      <w:spacing w:val="-10"/>
      <w:kern w:val="16"/>
      <w:sz w:val="32"/>
      <w:szCs w:val="32"/>
    </w:rPr>
  </w:style>
  <w:style w:type="paragraph" w:customStyle="1" w:styleId="695">
    <w:name w:val="修订11"/>
    <w:hidden/>
    <w:unhideWhenUsed/>
    <w:qFormat/>
    <w:uiPriority w:val="99"/>
    <w:rPr>
      <w:rFonts w:ascii="Calibri" w:hAnsi="Calibri" w:eastAsia="宋体" w:cs="Times New Roman"/>
      <w:kern w:val="2"/>
      <w:sz w:val="21"/>
      <w:szCs w:val="22"/>
      <w:lang w:val="en-US" w:eastAsia="zh-CN" w:bidi="ar-SA"/>
    </w:rPr>
  </w:style>
  <w:style w:type="paragraph" w:customStyle="1" w:styleId="696">
    <w:name w:val="正文表格"/>
    <w:basedOn w:val="1"/>
    <w:link w:val="697"/>
    <w:qFormat/>
    <w:uiPriority w:val="0"/>
    <w:pPr>
      <w:widowControl/>
      <w:jc w:val="center"/>
    </w:pPr>
    <w:rPr>
      <w:rFonts w:ascii="Times New Roman" w:hAnsi="Times New Roman"/>
    </w:rPr>
  </w:style>
  <w:style w:type="character" w:customStyle="1" w:styleId="697">
    <w:name w:val="正文表格 Char"/>
    <w:basedOn w:val="74"/>
    <w:link w:val="696"/>
    <w:qFormat/>
    <w:uiPriority w:val="0"/>
    <w:rPr>
      <w:rFonts w:ascii="Times New Roman" w:hAnsi="Times New Roman" w:eastAsia="宋体" w:cs="Times New Roman"/>
      <w:kern w:val="2"/>
      <w:sz w:val="21"/>
      <w:szCs w:val="21"/>
    </w:rPr>
  </w:style>
  <w:style w:type="character" w:customStyle="1" w:styleId="698">
    <w:name w:val="列出段落 Char2"/>
    <w:basedOn w:val="74"/>
    <w:qFormat/>
    <w:uiPriority w:val="1"/>
    <w:rPr>
      <w:rFonts w:eastAsia="宋体"/>
      <w:kern w:val="2"/>
      <w:sz w:val="24"/>
      <w:szCs w:val="24"/>
      <w:lang w:val="en-US" w:eastAsia="zh-CN" w:bidi="ar-SA"/>
    </w:rPr>
  </w:style>
  <w:style w:type="paragraph" w:customStyle="1" w:styleId="699">
    <w:name w:val="表内格式"/>
    <w:basedOn w:val="1"/>
    <w:link w:val="700"/>
    <w:qFormat/>
    <w:uiPriority w:val="0"/>
    <w:pPr>
      <w:widowControl/>
      <w:spacing w:beforeLines="50" w:afterLines="50"/>
      <w:jc w:val="center"/>
    </w:pPr>
    <w:rPr>
      <w:rFonts w:ascii="Times New Roman" w:hAnsi="Times New Roman"/>
      <w:sz w:val="18"/>
      <w:szCs w:val="20"/>
    </w:rPr>
  </w:style>
  <w:style w:type="character" w:customStyle="1" w:styleId="700">
    <w:name w:val="表内格式 Char1"/>
    <w:link w:val="699"/>
    <w:qFormat/>
    <w:uiPriority w:val="0"/>
    <w:rPr>
      <w:rFonts w:ascii="Times New Roman" w:hAnsi="Times New Roman" w:eastAsia="宋体" w:cs="Times New Roman"/>
      <w:kern w:val="2"/>
      <w:sz w:val="18"/>
    </w:rPr>
  </w:style>
  <w:style w:type="character" w:customStyle="1" w:styleId="701">
    <w:name w:val="公标题1 Char"/>
    <w:link w:val="702"/>
    <w:qFormat/>
    <w:uiPriority w:val="0"/>
    <w:rPr>
      <w:rFonts w:ascii="黑体" w:hAnsi="宋体" w:eastAsia="黑体"/>
      <w:sz w:val="36"/>
      <w:szCs w:val="24"/>
    </w:rPr>
  </w:style>
  <w:style w:type="paragraph" w:customStyle="1" w:styleId="702">
    <w:name w:val="公标题1"/>
    <w:basedOn w:val="1"/>
    <w:link w:val="701"/>
    <w:qFormat/>
    <w:uiPriority w:val="0"/>
    <w:pPr>
      <w:adjustRightInd w:val="0"/>
      <w:snapToGrid w:val="0"/>
      <w:spacing w:before="70" w:beforeLines="70" w:after="70" w:afterLines="70" w:line="355" w:lineRule="auto"/>
      <w:ind w:firstLine="723" w:firstLineChars="200"/>
      <w:outlineLvl w:val="0"/>
    </w:pPr>
    <w:rPr>
      <w:rFonts w:ascii="黑体" w:hAnsi="宋体" w:eastAsia="黑体" w:cstheme="minorBidi"/>
      <w:kern w:val="0"/>
      <w:sz w:val="36"/>
      <w:szCs w:val="24"/>
    </w:rPr>
  </w:style>
  <w:style w:type="character" w:customStyle="1" w:styleId="703">
    <w:name w:val="款标题1.1.1.1 Char Char"/>
    <w:qFormat/>
    <w:uiPriority w:val="0"/>
    <w:rPr>
      <w:rFonts w:ascii="Arial" w:hAnsi="Arial" w:eastAsia="黑体"/>
      <w:b/>
      <w:bCs/>
      <w:kern w:val="2"/>
      <w:sz w:val="28"/>
      <w:szCs w:val="28"/>
      <w:lang w:val="en-US" w:eastAsia="zh-CN" w:bidi="ar-SA"/>
    </w:rPr>
  </w:style>
  <w:style w:type="character" w:customStyle="1" w:styleId="704">
    <w:name w:val="不明显强调1"/>
    <w:qFormat/>
    <w:uiPriority w:val="0"/>
    <w:rPr>
      <w:i/>
      <w:iCs/>
      <w:color w:val="808080"/>
    </w:rPr>
  </w:style>
  <w:style w:type="character" w:customStyle="1" w:styleId="705">
    <w:name w:val="标1 Char1"/>
    <w:qFormat/>
    <w:uiPriority w:val="0"/>
    <w:rPr>
      <w:rFonts w:ascii="黑体" w:hAnsi="宋体" w:eastAsia="黑体" w:cs="Times New Roman"/>
      <w:sz w:val="28"/>
      <w:szCs w:val="28"/>
    </w:rPr>
  </w:style>
  <w:style w:type="character" w:customStyle="1" w:styleId="706">
    <w:name w:val="标题5 Char"/>
    <w:link w:val="707"/>
    <w:qFormat/>
    <w:uiPriority w:val="0"/>
    <w:rPr>
      <w:sz w:val="28"/>
      <w:szCs w:val="21"/>
    </w:rPr>
  </w:style>
  <w:style w:type="paragraph" w:customStyle="1" w:styleId="707">
    <w:name w:val="标题5"/>
    <w:basedOn w:val="1"/>
    <w:next w:val="6"/>
    <w:link w:val="706"/>
    <w:qFormat/>
    <w:uiPriority w:val="0"/>
    <w:pPr>
      <w:keepNext/>
      <w:spacing w:line="360" w:lineRule="auto"/>
      <w:ind w:firstLine="567" w:firstLineChars="200"/>
    </w:pPr>
    <w:rPr>
      <w:rFonts w:asciiTheme="minorHAnsi" w:hAnsiTheme="minorHAnsi" w:eastAsiaTheme="minorEastAsia" w:cstheme="minorBidi"/>
      <w:kern w:val="0"/>
      <w:sz w:val="28"/>
    </w:rPr>
  </w:style>
  <w:style w:type="character" w:customStyle="1" w:styleId="708">
    <w:name w:val="表头4 Char"/>
    <w:link w:val="709"/>
    <w:qFormat/>
    <w:uiPriority w:val="0"/>
    <w:rPr>
      <w:b/>
      <w:sz w:val="28"/>
      <w:szCs w:val="24"/>
    </w:rPr>
  </w:style>
  <w:style w:type="paragraph" w:customStyle="1" w:styleId="709">
    <w:name w:val="表头4"/>
    <w:basedOn w:val="1"/>
    <w:link w:val="708"/>
    <w:qFormat/>
    <w:uiPriority w:val="0"/>
    <w:pPr>
      <w:snapToGrid w:val="0"/>
      <w:spacing w:beforeLines="50" w:line="520" w:lineRule="atLeast"/>
      <w:ind w:firstLine="723" w:firstLineChars="200"/>
      <w:jc w:val="left"/>
    </w:pPr>
    <w:rPr>
      <w:rFonts w:asciiTheme="minorHAnsi" w:hAnsiTheme="minorHAnsi" w:eastAsiaTheme="minorEastAsia" w:cstheme="minorBidi"/>
      <w:b/>
      <w:kern w:val="0"/>
      <w:sz w:val="28"/>
      <w:szCs w:val="24"/>
    </w:rPr>
  </w:style>
  <w:style w:type="character" w:customStyle="1" w:styleId="710">
    <w:name w:val="文章正文 Char"/>
    <w:link w:val="711"/>
    <w:qFormat/>
    <w:uiPriority w:val="0"/>
    <w:rPr>
      <w:sz w:val="24"/>
      <w:szCs w:val="24"/>
    </w:rPr>
  </w:style>
  <w:style w:type="paragraph" w:customStyle="1" w:styleId="711">
    <w:name w:val="文章正文"/>
    <w:basedOn w:val="7"/>
    <w:link w:val="710"/>
    <w:qFormat/>
    <w:uiPriority w:val="0"/>
    <w:pPr>
      <w:spacing w:after="0" w:line="420" w:lineRule="exact"/>
      <w:ind w:firstLine="200" w:firstLineChars="200"/>
    </w:pPr>
    <w:rPr>
      <w:rFonts w:asciiTheme="minorHAnsi" w:hAnsiTheme="minorHAnsi" w:eastAsiaTheme="minorEastAsia" w:cstheme="minorBidi"/>
      <w:kern w:val="0"/>
      <w:sz w:val="24"/>
      <w:szCs w:val="24"/>
    </w:rPr>
  </w:style>
  <w:style w:type="character" w:customStyle="1" w:styleId="712">
    <w:name w:val="明显参考1"/>
    <w:qFormat/>
    <w:uiPriority w:val="0"/>
    <w:rPr>
      <w:b/>
      <w:bCs/>
      <w:smallCaps/>
      <w:color w:val="C0504D"/>
      <w:spacing w:val="5"/>
      <w:u w:val="single"/>
    </w:rPr>
  </w:style>
  <w:style w:type="character" w:customStyle="1" w:styleId="713">
    <w:name w:val="正文格式－文字 Char"/>
    <w:link w:val="714"/>
    <w:qFormat/>
    <w:uiPriority w:val="0"/>
    <w:rPr>
      <w:sz w:val="24"/>
      <w:szCs w:val="24"/>
    </w:rPr>
  </w:style>
  <w:style w:type="paragraph" w:customStyle="1" w:styleId="714">
    <w:name w:val="正文格式－文字"/>
    <w:link w:val="713"/>
    <w:qFormat/>
    <w:uiPriority w:val="0"/>
    <w:pPr>
      <w:spacing w:before="50" w:beforeLines="50" w:after="50" w:afterLines="50" w:line="300" w:lineRule="auto"/>
      <w:ind w:firstLine="200" w:firstLineChars="200"/>
      <w:jc w:val="both"/>
      <w:textAlignment w:val="center"/>
    </w:pPr>
    <w:rPr>
      <w:rFonts w:asciiTheme="minorHAnsi" w:hAnsiTheme="minorHAnsi" w:eastAsiaTheme="minorEastAsia" w:cstheme="minorBidi"/>
      <w:sz w:val="24"/>
      <w:szCs w:val="24"/>
      <w:lang w:val="en-US" w:eastAsia="zh-CN" w:bidi="ar-SA"/>
    </w:rPr>
  </w:style>
  <w:style w:type="character" w:customStyle="1" w:styleId="715">
    <w:name w:val="Char Char14"/>
    <w:qFormat/>
    <w:uiPriority w:val="0"/>
    <w:rPr>
      <w:rFonts w:ascii="Times New Roman" w:hAnsi="Times New Roman" w:eastAsia="黑体" w:cs="Times New Roman"/>
      <w:b/>
      <w:kern w:val="0"/>
      <w:sz w:val="24"/>
      <w:szCs w:val="24"/>
    </w:rPr>
  </w:style>
  <w:style w:type="character" w:customStyle="1" w:styleId="716">
    <w:name w:val="ps371"/>
    <w:basedOn w:val="74"/>
    <w:qFormat/>
    <w:uiPriority w:val="0"/>
  </w:style>
  <w:style w:type="character" w:customStyle="1" w:styleId="717">
    <w:name w:val="表格文字 Char"/>
    <w:qFormat/>
    <w:uiPriority w:val="0"/>
    <w:rPr>
      <w:rFonts w:eastAsia="宋体"/>
      <w:sz w:val="24"/>
    </w:rPr>
  </w:style>
  <w:style w:type="character" w:customStyle="1" w:styleId="718">
    <w:name w:val="表格小四 Char"/>
    <w:link w:val="719"/>
    <w:qFormat/>
    <w:uiPriority w:val="0"/>
    <w:rPr>
      <w:rFonts w:ascii="宋体" w:hAnsi="宋体"/>
      <w:sz w:val="24"/>
      <w:szCs w:val="24"/>
    </w:rPr>
  </w:style>
  <w:style w:type="paragraph" w:customStyle="1" w:styleId="719">
    <w:name w:val="表格小四"/>
    <w:basedOn w:val="1"/>
    <w:link w:val="718"/>
    <w:qFormat/>
    <w:uiPriority w:val="0"/>
    <w:pPr>
      <w:adjustRightInd w:val="0"/>
      <w:snapToGrid w:val="0"/>
      <w:spacing w:line="480" w:lineRule="exact"/>
      <w:ind w:firstLine="723" w:firstLineChars="200"/>
    </w:pPr>
    <w:rPr>
      <w:rFonts w:ascii="宋体" w:hAnsi="宋体" w:eastAsiaTheme="minorEastAsia" w:cstheme="minorBidi"/>
      <w:kern w:val="0"/>
      <w:sz w:val="24"/>
      <w:szCs w:val="24"/>
    </w:rPr>
  </w:style>
  <w:style w:type="character" w:customStyle="1" w:styleId="720">
    <w:name w:val="表格，通航 Char"/>
    <w:link w:val="721"/>
    <w:qFormat/>
    <w:uiPriority w:val="0"/>
    <w:rPr>
      <w:rFonts w:cs="宋体"/>
    </w:rPr>
  </w:style>
  <w:style w:type="paragraph" w:customStyle="1" w:styleId="721">
    <w:name w:val="表格，通航"/>
    <w:basedOn w:val="1"/>
    <w:link w:val="720"/>
    <w:qFormat/>
    <w:uiPriority w:val="0"/>
    <w:pPr>
      <w:spacing w:line="360" w:lineRule="auto"/>
      <w:ind w:firstLine="723" w:firstLineChars="200"/>
      <w:jc w:val="center"/>
    </w:pPr>
    <w:rPr>
      <w:rFonts w:cs="宋体" w:asciiTheme="minorHAnsi" w:hAnsiTheme="minorHAnsi" w:eastAsiaTheme="minorEastAsia"/>
      <w:kern w:val="0"/>
      <w:sz w:val="20"/>
      <w:szCs w:val="20"/>
    </w:rPr>
  </w:style>
  <w:style w:type="character" w:customStyle="1" w:styleId="722">
    <w:name w:val="样式 标题1 + 黑体 全部大写"/>
    <w:qFormat/>
    <w:uiPriority w:val="0"/>
    <w:rPr>
      <w:rFonts w:ascii="黑体" w:hAnsi="Verdana" w:eastAsia="黑体"/>
      <w:b/>
      <w:bCs/>
      <w:caps/>
      <w:kern w:val="24"/>
      <w:sz w:val="24"/>
      <w:szCs w:val="24"/>
      <w:lang w:val="en-US" w:eastAsia="en-US" w:bidi="ar-SA"/>
    </w:rPr>
  </w:style>
  <w:style w:type="character" w:customStyle="1" w:styleId="723">
    <w:name w:val="样式 正文缩进文本条款表格标题正文（首行缩进两字） Char Char Char Char Char Char Char... Char"/>
    <w:link w:val="724"/>
    <w:qFormat/>
    <w:uiPriority w:val="0"/>
    <w:rPr>
      <w:rFonts w:cs="宋体"/>
      <w:sz w:val="28"/>
    </w:rPr>
  </w:style>
  <w:style w:type="paragraph" w:customStyle="1" w:styleId="724">
    <w:name w:val="样式 正文缩进文本条款表格标题正文（首行缩进两字） Char Char Char Char Char Char Char..."/>
    <w:basedOn w:val="18"/>
    <w:link w:val="723"/>
    <w:qFormat/>
    <w:uiPriority w:val="0"/>
    <w:pPr>
      <w:tabs>
        <w:tab w:val="left" w:pos="283"/>
      </w:tabs>
      <w:adjustRightInd w:val="0"/>
      <w:snapToGrid w:val="0"/>
      <w:spacing w:line="500" w:lineRule="atLeast"/>
      <w:ind w:firstLine="560"/>
    </w:pPr>
    <w:rPr>
      <w:rFonts w:cs="宋体" w:asciiTheme="minorHAnsi" w:hAnsiTheme="minorHAnsi" w:eastAsiaTheme="minorEastAsia"/>
      <w:kern w:val="0"/>
      <w:sz w:val="28"/>
      <w:szCs w:val="20"/>
    </w:rPr>
  </w:style>
  <w:style w:type="character" w:customStyle="1" w:styleId="725">
    <w:name w:val="明显引用 Char"/>
    <w:link w:val="726"/>
    <w:qFormat/>
    <w:uiPriority w:val="0"/>
    <w:rPr>
      <w:b/>
      <w:bCs/>
      <w:i/>
      <w:iCs/>
      <w:color w:val="4F81BD"/>
      <w:sz w:val="24"/>
      <w:szCs w:val="24"/>
    </w:rPr>
  </w:style>
  <w:style w:type="paragraph" w:styleId="726">
    <w:name w:val="Intense Quote"/>
    <w:basedOn w:val="1"/>
    <w:next w:val="1"/>
    <w:link w:val="725"/>
    <w:qFormat/>
    <w:uiPriority w:val="0"/>
    <w:pPr>
      <w:pBdr>
        <w:bottom w:val="single" w:color="4F81BD" w:sz="4" w:space="4"/>
      </w:pBdr>
      <w:spacing w:before="200" w:after="280" w:line="360" w:lineRule="auto"/>
      <w:ind w:left="936" w:right="936" w:firstLine="200" w:firstLineChars="200"/>
    </w:pPr>
    <w:rPr>
      <w:rFonts w:asciiTheme="minorHAnsi" w:hAnsiTheme="minorHAnsi" w:eastAsiaTheme="minorEastAsia" w:cstheme="minorBidi"/>
      <w:b/>
      <w:bCs/>
      <w:i/>
      <w:iCs/>
      <w:color w:val="4F81BD"/>
      <w:kern w:val="0"/>
      <w:sz w:val="24"/>
      <w:szCs w:val="24"/>
    </w:rPr>
  </w:style>
  <w:style w:type="character" w:customStyle="1" w:styleId="727">
    <w:name w:val="明显引用 Char1"/>
    <w:basedOn w:val="74"/>
    <w:qFormat/>
    <w:uiPriority w:val="30"/>
    <w:rPr>
      <w:rFonts w:ascii="Calibri" w:hAnsi="Calibri" w:eastAsia="宋体" w:cs="Times New Roman"/>
      <w:i/>
      <w:iCs/>
      <w:color w:val="5B9BD5" w:themeColor="accent1"/>
      <w:kern w:val="2"/>
      <w:sz w:val="21"/>
      <w:szCs w:val="21"/>
      <w14:textFill>
        <w14:solidFill>
          <w14:schemeClr w14:val="accent1"/>
        </w14:solidFill>
      </w14:textFill>
    </w:rPr>
  </w:style>
  <w:style w:type="character" w:customStyle="1" w:styleId="728">
    <w:name w:val="Char Char Char1 Char Char Char Char Char Char Char Char Char Char Char Char Char Char Char Char Char Char Char Char Char Char Char Char Char Char Char Char"/>
    <w:link w:val="729"/>
    <w:qFormat/>
    <w:uiPriority w:val="0"/>
    <w:rPr>
      <w:sz w:val="24"/>
      <w:szCs w:val="24"/>
    </w:rPr>
  </w:style>
  <w:style w:type="paragraph" w:customStyle="1" w:styleId="729">
    <w:name w:val="Char Char Char1 Char Char Char Char Char Char Char Char Char Char Char Char Char Char Char Char Char Char Char Char Char Char Char Char Char Char Char1"/>
    <w:basedOn w:val="1"/>
    <w:link w:val="728"/>
    <w:qFormat/>
    <w:uiPriority w:val="0"/>
    <w:pPr>
      <w:spacing w:line="360" w:lineRule="auto"/>
      <w:ind w:firstLine="723" w:firstLineChars="200"/>
      <w:jc w:val="left"/>
    </w:pPr>
    <w:rPr>
      <w:rFonts w:asciiTheme="minorHAnsi" w:hAnsiTheme="minorHAnsi" w:eastAsiaTheme="minorEastAsia" w:cstheme="minorBidi"/>
      <w:kern w:val="0"/>
      <w:sz w:val="24"/>
      <w:szCs w:val="24"/>
    </w:rPr>
  </w:style>
  <w:style w:type="character" w:customStyle="1" w:styleId="730">
    <w:name w:val="样式 表头4 + 段前: 0.5 行 段后: 1.8 磅 Char"/>
    <w:link w:val="731"/>
    <w:qFormat/>
    <w:uiPriority w:val="0"/>
    <w:rPr>
      <w:rFonts w:cs="宋体"/>
      <w:b/>
      <w:bCs/>
      <w:sz w:val="28"/>
    </w:rPr>
  </w:style>
  <w:style w:type="paragraph" w:customStyle="1" w:styleId="731">
    <w:name w:val="样式 表头4 + 段前: 0.5 行 段后: 1.8 磅"/>
    <w:basedOn w:val="1"/>
    <w:link w:val="730"/>
    <w:qFormat/>
    <w:uiPriority w:val="0"/>
    <w:pPr>
      <w:snapToGrid w:val="0"/>
      <w:spacing w:before="25" w:beforeLines="25" w:after="36" w:line="520" w:lineRule="atLeast"/>
      <w:ind w:firstLine="723" w:firstLineChars="200"/>
      <w:jc w:val="left"/>
    </w:pPr>
    <w:rPr>
      <w:rFonts w:cs="宋体" w:asciiTheme="minorHAnsi" w:hAnsiTheme="minorHAnsi" w:eastAsiaTheme="minorEastAsia"/>
      <w:b/>
      <w:bCs/>
      <w:kern w:val="0"/>
      <w:sz w:val="28"/>
      <w:szCs w:val="20"/>
    </w:rPr>
  </w:style>
  <w:style w:type="character" w:customStyle="1" w:styleId="732">
    <w:name w:val="正文new Char Char"/>
    <w:link w:val="733"/>
    <w:qFormat/>
    <w:uiPriority w:val="0"/>
    <w:rPr>
      <w:color w:val="FF0000"/>
      <w:sz w:val="24"/>
      <w:szCs w:val="24"/>
    </w:rPr>
  </w:style>
  <w:style w:type="paragraph" w:customStyle="1" w:styleId="733">
    <w:name w:val="正文new Char"/>
    <w:basedOn w:val="1"/>
    <w:next w:val="1"/>
    <w:link w:val="732"/>
    <w:qFormat/>
    <w:uiPriority w:val="0"/>
    <w:pPr>
      <w:spacing w:line="460" w:lineRule="exact"/>
      <w:ind w:firstLine="480" w:firstLineChars="200"/>
    </w:pPr>
    <w:rPr>
      <w:rFonts w:asciiTheme="minorHAnsi" w:hAnsiTheme="minorHAnsi" w:eastAsiaTheme="minorEastAsia" w:cstheme="minorBidi"/>
      <w:color w:val="FF0000"/>
      <w:kern w:val="0"/>
      <w:sz w:val="24"/>
      <w:szCs w:val="24"/>
    </w:rPr>
  </w:style>
  <w:style w:type="character" w:customStyle="1" w:styleId="734">
    <w:name w:val="一级条 Char"/>
    <w:qFormat/>
    <w:uiPriority w:val="0"/>
    <w:rPr>
      <w:rFonts w:ascii="宋体" w:eastAsia="黑体"/>
      <w:caps/>
      <w:sz w:val="24"/>
      <w:lang w:val="en-US" w:eastAsia="zh-CN" w:bidi="ar-SA"/>
    </w:rPr>
  </w:style>
  <w:style w:type="character" w:customStyle="1" w:styleId="735">
    <w:name w:val="样式 表头4 + 段前: 0.5 行1 Char"/>
    <w:link w:val="736"/>
    <w:qFormat/>
    <w:uiPriority w:val="0"/>
    <w:rPr>
      <w:rFonts w:cs="宋体"/>
      <w:b/>
      <w:bCs/>
      <w:sz w:val="28"/>
      <w:szCs w:val="24"/>
    </w:rPr>
  </w:style>
  <w:style w:type="paragraph" w:customStyle="1" w:styleId="736">
    <w:name w:val="样式 表头4 + 段前: 0.5 行1"/>
    <w:basedOn w:val="709"/>
    <w:link w:val="735"/>
    <w:qFormat/>
    <w:uiPriority w:val="0"/>
    <w:pPr>
      <w:spacing w:beforeLines="25"/>
    </w:pPr>
    <w:rPr>
      <w:rFonts w:cs="宋体"/>
      <w:bCs/>
    </w:rPr>
  </w:style>
  <w:style w:type="character" w:customStyle="1" w:styleId="737">
    <w:name w:val="正文首行缩进2字符! Char"/>
    <w:link w:val="738"/>
    <w:qFormat/>
    <w:uiPriority w:val="0"/>
    <w:rPr>
      <w:rFonts w:ascii="宋体" w:hAnsi="宋体"/>
      <w:sz w:val="28"/>
    </w:rPr>
  </w:style>
  <w:style w:type="paragraph" w:customStyle="1" w:styleId="738">
    <w:name w:val="正文首行缩进2字符!"/>
    <w:basedOn w:val="1"/>
    <w:link w:val="737"/>
    <w:qFormat/>
    <w:uiPriority w:val="0"/>
    <w:pPr>
      <w:adjustRightInd w:val="0"/>
      <w:snapToGrid w:val="0"/>
      <w:spacing w:line="360" w:lineRule="auto"/>
      <w:ind w:firstLine="560" w:firstLineChars="200"/>
      <w:jc w:val="left"/>
    </w:pPr>
    <w:rPr>
      <w:rFonts w:ascii="宋体" w:hAnsi="宋体" w:eastAsiaTheme="minorEastAsia" w:cstheme="minorBidi"/>
      <w:kern w:val="0"/>
      <w:sz w:val="28"/>
      <w:szCs w:val="20"/>
    </w:rPr>
  </w:style>
  <w:style w:type="character" w:customStyle="1" w:styleId="739">
    <w:name w:val="ps361"/>
    <w:basedOn w:val="74"/>
    <w:qFormat/>
    <w:uiPriority w:val="0"/>
  </w:style>
  <w:style w:type="character" w:customStyle="1" w:styleId="740">
    <w:name w:val="paragraph1"/>
    <w:qFormat/>
    <w:uiPriority w:val="0"/>
    <w:rPr>
      <w:color w:val="000000"/>
      <w:spacing w:val="28"/>
      <w:sz w:val="18"/>
      <w:szCs w:val="18"/>
    </w:rPr>
  </w:style>
  <w:style w:type="character" w:customStyle="1" w:styleId="741">
    <w:name w:val="ft01"/>
    <w:qFormat/>
    <w:uiPriority w:val="0"/>
    <w:rPr>
      <w:sz w:val="34"/>
      <w:szCs w:val="34"/>
    </w:rPr>
  </w:style>
  <w:style w:type="character" w:customStyle="1" w:styleId="742">
    <w:name w:val="明显强调1"/>
    <w:qFormat/>
    <w:uiPriority w:val="0"/>
    <w:rPr>
      <w:b/>
      <w:bCs/>
      <w:i/>
      <w:iCs/>
      <w:color w:val="4F81BD"/>
    </w:rPr>
  </w:style>
  <w:style w:type="character" w:customStyle="1" w:styleId="743">
    <w:name w:val="articlebody21"/>
    <w:qFormat/>
    <w:uiPriority w:val="0"/>
    <w:rPr>
      <w:sz w:val="21"/>
      <w:szCs w:val="21"/>
    </w:rPr>
  </w:style>
  <w:style w:type="character" w:customStyle="1" w:styleId="744">
    <w:name w:val="不明显参考1"/>
    <w:qFormat/>
    <w:uiPriority w:val="0"/>
    <w:rPr>
      <w:smallCaps/>
      <w:color w:val="C0504D"/>
      <w:u w:val="single"/>
    </w:rPr>
  </w:style>
  <w:style w:type="character" w:customStyle="1" w:styleId="745">
    <w:name w:val="下标 Char"/>
    <w:qFormat/>
    <w:uiPriority w:val="0"/>
    <w:rPr>
      <w:rFonts w:eastAsia="宋体"/>
      <w:sz w:val="24"/>
      <w:szCs w:val="24"/>
      <w:vertAlign w:val="subscript"/>
      <w:lang w:val="en-US" w:eastAsia="zh-CN" w:bidi="ar-SA"/>
    </w:rPr>
  </w:style>
  <w:style w:type="character" w:customStyle="1" w:styleId="746">
    <w:name w:val="标题 2 Char Char"/>
    <w:qFormat/>
    <w:uiPriority w:val="0"/>
    <w:rPr>
      <w:rFonts w:ascii="Arial" w:hAnsi="Arial" w:eastAsia="黑体"/>
      <w:b/>
      <w:sz w:val="32"/>
    </w:rPr>
  </w:style>
  <w:style w:type="character" w:customStyle="1" w:styleId="747">
    <w:name w:val="样式 小四"/>
    <w:qFormat/>
    <w:uiPriority w:val="0"/>
    <w:rPr>
      <w:rFonts w:eastAsia="宋体"/>
      <w:sz w:val="24"/>
      <w:szCs w:val="24"/>
    </w:rPr>
  </w:style>
  <w:style w:type="character" w:customStyle="1" w:styleId="748">
    <w:name w:val="样式 题注 + 首行缩进:  2 字符2 Char"/>
    <w:link w:val="749"/>
    <w:qFormat/>
    <w:uiPriority w:val="0"/>
    <w:rPr>
      <w:rFonts w:ascii="宋体" w:hAnsi="宋体" w:eastAsia="黑体"/>
      <w:sz w:val="24"/>
      <w:szCs w:val="24"/>
    </w:rPr>
  </w:style>
  <w:style w:type="paragraph" w:customStyle="1" w:styleId="749">
    <w:name w:val="样式 题注 + 首行缩进:  2 字符2"/>
    <w:basedOn w:val="19"/>
    <w:link w:val="748"/>
    <w:qFormat/>
    <w:uiPriority w:val="0"/>
    <w:pPr>
      <w:spacing w:line="360" w:lineRule="auto"/>
      <w:ind w:firstLine="723" w:firstLineChars="200"/>
      <w:jc w:val="center"/>
      <w:textAlignment w:val="auto"/>
    </w:pPr>
    <w:rPr>
      <w:rFonts w:ascii="宋体" w:hAnsi="宋体" w:eastAsia="黑体"/>
      <w:spacing w:val="0"/>
      <w:kern w:val="0"/>
      <w:sz w:val="24"/>
      <w:szCs w:val="24"/>
    </w:rPr>
  </w:style>
  <w:style w:type="character" w:customStyle="1" w:styleId="750">
    <w:name w:val="Char Char8"/>
    <w:qFormat/>
    <w:uiPriority w:val="0"/>
    <w:rPr>
      <w:rFonts w:eastAsia="黑体"/>
      <w:sz w:val="28"/>
      <w:szCs w:val="24"/>
    </w:rPr>
  </w:style>
  <w:style w:type="character" w:customStyle="1" w:styleId="751">
    <w:name w:val="可研-正文首行缩进 Char2"/>
    <w:qFormat/>
    <w:uiPriority w:val="0"/>
    <w:rPr>
      <w:rFonts w:ascii="楷体_GB2312" w:eastAsia="宋体" w:cs="楷体_GB2312"/>
      <w:kern w:val="2"/>
      <w:sz w:val="21"/>
      <w:szCs w:val="21"/>
      <w:lang w:val="en-US" w:eastAsia="zh-CN" w:bidi="ar-SA"/>
    </w:rPr>
  </w:style>
  <w:style w:type="character" w:customStyle="1" w:styleId="752">
    <w:name w:val="Char Char11"/>
    <w:qFormat/>
    <w:uiPriority w:val="0"/>
    <w:rPr>
      <w:rFonts w:ascii="Times New Roman" w:hAnsi="Times New Roman" w:eastAsia="宋体" w:cs="Times New Roman"/>
      <w:sz w:val="18"/>
      <w:szCs w:val="18"/>
    </w:rPr>
  </w:style>
  <w:style w:type="character" w:customStyle="1" w:styleId="753">
    <w:name w:val="ps381"/>
    <w:basedOn w:val="74"/>
    <w:qFormat/>
    <w:uiPriority w:val="0"/>
  </w:style>
  <w:style w:type="character" w:customStyle="1" w:styleId="754">
    <w:name w:val="公正文 Char"/>
    <w:link w:val="755"/>
    <w:qFormat/>
    <w:uiPriority w:val="0"/>
    <w:rPr>
      <w:rFonts w:ascii="宋体" w:hAnsi="宋体" w:eastAsia="仿宋_GB2312"/>
      <w:sz w:val="28"/>
      <w:szCs w:val="24"/>
    </w:rPr>
  </w:style>
  <w:style w:type="paragraph" w:customStyle="1" w:styleId="755">
    <w:name w:val="公正文"/>
    <w:basedOn w:val="18"/>
    <w:link w:val="754"/>
    <w:qFormat/>
    <w:uiPriority w:val="0"/>
    <w:pPr>
      <w:adjustRightInd w:val="0"/>
      <w:snapToGrid w:val="0"/>
      <w:spacing w:line="355" w:lineRule="auto"/>
      <w:ind w:firstLine="200"/>
    </w:pPr>
    <w:rPr>
      <w:rFonts w:ascii="宋体" w:hAnsi="宋体" w:eastAsia="仿宋_GB2312" w:cstheme="minorBidi"/>
      <w:kern w:val="0"/>
      <w:sz w:val="28"/>
      <w:szCs w:val="24"/>
    </w:rPr>
  </w:style>
  <w:style w:type="character" w:customStyle="1" w:styleId="756">
    <w:name w:val="图名、表名 Char"/>
    <w:link w:val="757"/>
    <w:qFormat/>
    <w:uiPriority w:val="0"/>
    <w:rPr>
      <w:rFonts w:eastAsia="黑体"/>
      <w:color w:val="000000"/>
      <w:spacing w:val="4"/>
      <w:sz w:val="24"/>
      <w:szCs w:val="28"/>
    </w:rPr>
  </w:style>
  <w:style w:type="paragraph" w:customStyle="1" w:styleId="757">
    <w:name w:val="图名、表名"/>
    <w:basedOn w:val="1"/>
    <w:link w:val="756"/>
    <w:qFormat/>
    <w:uiPriority w:val="0"/>
    <w:pPr>
      <w:snapToGrid w:val="0"/>
      <w:spacing w:line="480" w:lineRule="exact"/>
      <w:ind w:firstLine="200" w:firstLineChars="200"/>
      <w:jc w:val="center"/>
    </w:pPr>
    <w:rPr>
      <w:rFonts w:eastAsia="黑体" w:asciiTheme="minorHAnsi" w:hAnsiTheme="minorHAnsi" w:cstheme="minorBidi"/>
      <w:color w:val="000000"/>
      <w:spacing w:val="4"/>
      <w:kern w:val="0"/>
      <w:sz w:val="24"/>
      <w:szCs w:val="28"/>
    </w:rPr>
  </w:style>
  <w:style w:type="character" w:customStyle="1" w:styleId="758">
    <w:name w:val="样式 样式 正文文本缩进 2 + 首行缩进:  2 字符 + Times New Roman 四号 首行缩进:  2 字符... Char"/>
    <w:link w:val="759"/>
    <w:qFormat/>
    <w:uiPriority w:val="0"/>
    <w:rPr>
      <w:rFonts w:ascii="宋体"/>
      <w:sz w:val="28"/>
    </w:rPr>
  </w:style>
  <w:style w:type="paragraph" w:customStyle="1" w:styleId="759">
    <w:name w:val="样式 样式 正文文本缩进 2 + 首行缩进:  2 字符 + Times New Roman 四号 首行缩进:  2 字符..."/>
    <w:basedOn w:val="1"/>
    <w:link w:val="758"/>
    <w:qFormat/>
    <w:uiPriority w:val="0"/>
    <w:pPr>
      <w:adjustRightInd w:val="0"/>
      <w:snapToGrid w:val="0"/>
      <w:spacing w:line="480" w:lineRule="exact"/>
      <w:ind w:firstLine="200" w:firstLineChars="200"/>
      <w:jc w:val="left"/>
      <w:textAlignment w:val="baseline"/>
    </w:pPr>
    <w:rPr>
      <w:rFonts w:ascii="宋体" w:hAnsiTheme="minorHAnsi" w:eastAsiaTheme="minorEastAsia" w:cstheme="minorBidi"/>
      <w:kern w:val="0"/>
      <w:sz w:val="28"/>
      <w:szCs w:val="20"/>
    </w:rPr>
  </w:style>
  <w:style w:type="character" w:customStyle="1" w:styleId="760">
    <w:name w:val="标题 1 Char1"/>
    <w:qFormat/>
    <w:uiPriority w:val="0"/>
    <w:rPr>
      <w:rFonts w:ascii="Times New Roman" w:hAnsi="Times New Roman" w:eastAsia="宋体" w:cs="Times New Roman"/>
      <w:b/>
      <w:bCs/>
      <w:kern w:val="44"/>
      <w:sz w:val="36"/>
      <w:szCs w:val="32"/>
    </w:rPr>
  </w:style>
  <w:style w:type="character" w:customStyle="1" w:styleId="761">
    <w:name w:val="unnamed21"/>
    <w:qFormat/>
    <w:uiPriority w:val="0"/>
    <w:rPr>
      <w:color w:val="000000"/>
      <w:sz w:val="18"/>
      <w:szCs w:val="18"/>
      <w:u w:val="none"/>
    </w:rPr>
  </w:style>
  <w:style w:type="character" w:customStyle="1" w:styleId="762">
    <w:name w:val="可研-正文首行缩进 Char"/>
    <w:qFormat/>
    <w:uiPriority w:val="0"/>
    <w:rPr>
      <w:rFonts w:ascii="宋体" w:hAnsi="宋体" w:eastAsia="宋体" w:cs="Times New Roman"/>
      <w:color w:val="000000"/>
      <w:kern w:val="0"/>
      <w:sz w:val="28"/>
      <w:szCs w:val="28"/>
    </w:rPr>
  </w:style>
  <w:style w:type="character" w:customStyle="1" w:styleId="763">
    <w:name w:val="样式 正文缩进文本条款文本条款 Char Char Char Char Char Char Char Char文本条款 C...1 Char"/>
    <w:link w:val="764"/>
    <w:qFormat/>
    <w:uiPriority w:val="0"/>
    <w:rPr>
      <w:rFonts w:cs="宋体"/>
      <w:sz w:val="28"/>
    </w:rPr>
  </w:style>
  <w:style w:type="paragraph" w:customStyle="1" w:styleId="764">
    <w:name w:val="样式 正文缩进文本条款文本条款 Char Char Char Char Char Char Char Char文本条款 C...1"/>
    <w:basedOn w:val="18"/>
    <w:link w:val="763"/>
    <w:qFormat/>
    <w:uiPriority w:val="0"/>
    <w:pPr>
      <w:snapToGrid w:val="0"/>
      <w:spacing w:line="520" w:lineRule="atLeast"/>
      <w:ind w:firstLine="560"/>
    </w:pPr>
    <w:rPr>
      <w:rFonts w:cs="宋体" w:asciiTheme="minorHAnsi" w:hAnsiTheme="minorHAnsi" w:eastAsiaTheme="minorEastAsia"/>
      <w:kern w:val="0"/>
      <w:sz w:val="28"/>
      <w:szCs w:val="20"/>
    </w:rPr>
  </w:style>
  <w:style w:type="character" w:customStyle="1" w:styleId="765">
    <w:name w:val="正文-初步设计 Char"/>
    <w:link w:val="766"/>
    <w:qFormat/>
    <w:uiPriority w:val="0"/>
    <w:rPr>
      <w:rFonts w:hAnsi="宋体" w:cs="宋体"/>
      <w:color w:val="000000"/>
      <w:sz w:val="24"/>
    </w:rPr>
  </w:style>
  <w:style w:type="paragraph" w:customStyle="1" w:styleId="766">
    <w:name w:val="正文-初步设计"/>
    <w:basedOn w:val="28"/>
    <w:link w:val="765"/>
    <w:qFormat/>
    <w:uiPriority w:val="0"/>
    <w:pPr>
      <w:spacing w:before="0" w:beforeAutospacing="0" w:after="100" w:line="480" w:lineRule="exact"/>
      <w:ind w:left="0" w:leftChars="0" w:firstLine="480" w:firstLineChars="200"/>
    </w:pPr>
    <w:rPr>
      <w:rFonts w:hAnsi="宋体" w:cs="宋体" w:asciiTheme="minorHAnsi" w:eastAsiaTheme="minorEastAsia"/>
      <w:color w:val="000000"/>
      <w:kern w:val="0"/>
      <w:sz w:val="24"/>
      <w:szCs w:val="20"/>
    </w:rPr>
  </w:style>
  <w:style w:type="character" w:customStyle="1" w:styleId="767">
    <w:name w:val="正文文本缩进 Char1"/>
    <w:basedOn w:val="74"/>
    <w:qFormat/>
    <w:uiPriority w:val="99"/>
  </w:style>
  <w:style w:type="paragraph" w:customStyle="1" w:styleId="768">
    <w:name w:val="Char Char Char Char Char Char1 Char"/>
    <w:basedOn w:val="1"/>
    <w:qFormat/>
    <w:uiPriority w:val="99"/>
    <w:pPr>
      <w:spacing w:line="360" w:lineRule="auto"/>
      <w:ind w:firstLine="723" w:firstLineChars="200"/>
      <w:jc w:val="left"/>
    </w:pPr>
    <w:rPr>
      <w:rFonts w:ascii="Times New Roman" w:hAnsi="Times New Roman"/>
      <w:sz w:val="24"/>
      <w:szCs w:val="24"/>
    </w:rPr>
  </w:style>
  <w:style w:type="paragraph" w:customStyle="1" w:styleId="769">
    <w:name w:val="wzj"/>
    <w:basedOn w:val="1"/>
    <w:qFormat/>
    <w:uiPriority w:val="0"/>
    <w:pPr>
      <w:tabs>
        <w:tab w:val="left" w:pos="0"/>
      </w:tabs>
      <w:adjustRightInd w:val="0"/>
      <w:snapToGrid w:val="0"/>
      <w:spacing w:line="360" w:lineRule="auto"/>
      <w:ind w:firstLine="480" w:firstLineChars="200"/>
    </w:pPr>
    <w:rPr>
      <w:rFonts w:ascii="Times New Roman" w:hAnsi="Times New Roman"/>
      <w:sz w:val="24"/>
      <w:szCs w:val="20"/>
    </w:rPr>
  </w:style>
  <w:style w:type="paragraph" w:customStyle="1" w:styleId="770">
    <w:name w:val="Char21"/>
    <w:basedOn w:val="22"/>
    <w:qFormat/>
    <w:uiPriority w:val="0"/>
    <w:pPr>
      <w:adjustRightInd w:val="0"/>
      <w:spacing w:line="436" w:lineRule="exact"/>
      <w:ind w:left="357" w:firstLine="723" w:firstLineChars="200"/>
      <w:jc w:val="left"/>
      <w:outlineLvl w:val="3"/>
    </w:pPr>
    <w:rPr>
      <w:rFonts w:ascii="Tahoma" w:hAnsi="Tahoma" w:cstheme="minorBidi"/>
      <w:b/>
      <w:sz w:val="44"/>
      <w:szCs w:val="21"/>
    </w:rPr>
  </w:style>
  <w:style w:type="paragraph" w:customStyle="1" w:styleId="771">
    <w:name w:val="pg"/>
    <w:basedOn w:val="1"/>
    <w:qFormat/>
    <w:uiPriority w:val="0"/>
    <w:pPr>
      <w:widowControl/>
      <w:spacing w:before="100" w:beforeAutospacing="1" w:after="100" w:afterAutospacing="1" w:line="360" w:lineRule="auto"/>
      <w:ind w:firstLine="723" w:firstLineChars="200"/>
      <w:jc w:val="left"/>
    </w:pPr>
    <w:rPr>
      <w:rFonts w:ascii="宋体" w:hAnsi="宋体" w:cs="宋体"/>
      <w:color w:val="000000"/>
      <w:kern w:val="0"/>
      <w:sz w:val="24"/>
      <w:szCs w:val="24"/>
    </w:rPr>
  </w:style>
  <w:style w:type="paragraph" w:customStyle="1" w:styleId="772">
    <w:name w:val="图和表标题"/>
    <w:next w:val="5"/>
    <w:qFormat/>
    <w:uiPriority w:val="0"/>
    <w:pPr>
      <w:spacing w:line="440" w:lineRule="exact"/>
      <w:jc w:val="center"/>
    </w:pPr>
    <w:rPr>
      <w:rFonts w:ascii="黑体" w:hAnsi="Times New Roman" w:eastAsia="黑体" w:cs="Times New Roman"/>
      <w:sz w:val="24"/>
      <w:lang w:val="en-US" w:eastAsia="zh-CN" w:bidi="ar-SA"/>
    </w:rPr>
  </w:style>
  <w:style w:type="paragraph" w:customStyle="1" w:styleId="773">
    <w:name w:val="表标题"/>
    <w:basedOn w:val="1"/>
    <w:qFormat/>
    <w:uiPriority w:val="0"/>
    <w:pPr>
      <w:jc w:val="center"/>
    </w:pPr>
    <w:rPr>
      <w:rFonts w:ascii="Times New Roman" w:hAnsi="Times New Roman"/>
      <w:b/>
      <w:sz w:val="24"/>
      <w:szCs w:val="24"/>
    </w:rPr>
  </w:style>
  <w:style w:type="paragraph" w:customStyle="1" w:styleId="774">
    <w:name w:val="样式 表头小四 + 加粗"/>
    <w:basedOn w:val="1"/>
    <w:qFormat/>
    <w:uiPriority w:val="0"/>
    <w:pPr>
      <w:adjustRightInd w:val="0"/>
      <w:snapToGrid w:val="0"/>
      <w:spacing w:beforeLines="50" w:afterLines="30" w:line="500" w:lineRule="atLeast"/>
      <w:ind w:firstLine="723" w:firstLineChars="200"/>
    </w:pPr>
    <w:rPr>
      <w:rFonts w:ascii="宋体" w:hAnsi="宋体"/>
      <w:b/>
      <w:bCs/>
      <w:sz w:val="24"/>
      <w:szCs w:val="24"/>
    </w:rPr>
  </w:style>
  <w:style w:type="paragraph" w:customStyle="1" w:styleId="775">
    <w:name w:val="文章标题2"/>
    <w:basedOn w:val="1"/>
    <w:qFormat/>
    <w:uiPriority w:val="0"/>
    <w:pPr>
      <w:spacing w:line="440" w:lineRule="exact"/>
      <w:ind w:firstLine="723" w:firstLineChars="200"/>
    </w:pPr>
    <w:rPr>
      <w:b/>
      <w:sz w:val="28"/>
      <w:szCs w:val="24"/>
    </w:rPr>
  </w:style>
  <w:style w:type="paragraph" w:customStyle="1" w:styleId="776">
    <w:name w:val="正文缩"/>
    <w:basedOn w:val="1"/>
    <w:qFormat/>
    <w:uiPriority w:val="0"/>
    <w:pPr>
      <w:adjustRightInd w:val="0"/>
      <w:snapToGrid w:val="0"/>
      <w:spacing w:line="480" w:lineRule="atLeast"/>
      <w:ind w:firstLine="567" w:firstLineChars="200"/>
      <w:textAlignment w:val="baseline"/>
    </w:pPr>
    <w:rPr>
      <w:rFonts w:ascii="宋体" w:hAnsi="Times New Roman"/>
      <w:spacing w:val="6"/>
      <w:kern w:val="0"/>
      <w:sz w:val="28"/>
      <w:szCs w:val="20"/>
    </w:rPr>
  </w:style>
  <w:style w:type="paragraph" w:customStyle="1" w:styleId="777">
    <w:name w:val="aa"/>
    <w:basedOn w:val="1"/>
    <w:qFormat/>
    <w:uiPriority w:val="0"/>
    <w:pPr>
      <w:spacing w:line="360" w:lineRule="auto"/>
      <w:ind w:firstLine="723" w:firstLineChars="200"/>
    </w:pPr>
    <w:rPr>
      <w:rFonts w:ascii="Times New Roman" w:hAnsi="Times New Roman"/>
      <w:sz w:val="24"/>
      <w:szCs w:val="24"/>
    </w:rPr>
  </w:style>
  <w:style w:type="paragraph" w:customStyle="1" w:styleId="778">
    <w:name w:val="三级条"/>
    <w:basedOn w:val="1"/>
    <w:qFormat/>
    <w:uiPriority w:val="0"/>
    <w:pPr>
      <w:spacing w:line="440" w:lineRule="exact"/>
      <w:ind w:firstLine="723" w:firstLineChars="200"/>
      <w:jc w:val="left"/>
    </w:pPr>
    <w:rPr>
      <w:rFonts w:ascii="宋体" w:hAnsi="Times New Roman"/>
      <w:kern w:val="0"/>
      <w:sz w:val="24"/>
      <w:szCs w:val="20"/>
    </w:rPr>
  </w:style>
  <w:style w:type="paragraph" w:customStyle="1" w:styleId="779">
    <w:name w:val="二级条"/>
    <w:next w:val="1"/>
    <w:qFormat/>
    <w:uiPriority w:val="0"/>
    <w:pPr>
      <w:widowControl w:val="0"/>
      <w:spacing w:line="440" w:lineRule="exact"/>
    </w:pPr>
    <w:rPr>
      <w:rFonts w:ascii="宋体" w:hAnsi="Times New Roman" w:eastAsia="宋体" w:cs="Times New Roman"/>
      <w:sz w:val="24"/>
      <w:lang w:val="en-US" w:eastAsia="zh-CN" w:bidi="ar-SA"/>
    </w:rPr>
  </w:style>
  <w:style w:type="paragraph" w:customStyle="1" w:styleId="780">
    <w:name w:val="p20"/>
    <w:basedOn w:val="1"/>
    <w:qFormat/>
    <w:uiPriority w:val="0"/>
    <w:pPr>
      <w:widowControl/>
      <w:spacing w:after="120" w:line="480" w:lineRule="auto"/>
      <w:ind w:left="420" w:firstLine="480" w:firstLineChars="200"/>
    </w:pPr>
    <w:rPr>
      <w:rFonts w:cs="宋体"/>
      <w:kern w:val="0"/>
      <w:sz w:val="24"/>
      <w:szCs w:val="24"/>
    </w:rPr>
  </w:style>
  <w:style w:type="paragraph" w:customStyle="1" w:styleId="781">
    <w:name w:val="样式 标题 2 + (西文) Times New Roman (中文) 宋体 加粗 段后: 2 磅 行距: 单倍行距"/>
    <w:basedOn w:val="3"/>
    <w:qFormat/>
    <w:uiPriority w:val="0"/>
    <w:pPr>
      <w:keepNext w:val="0"/>
      <w:keepLines w:val="0"/>
      <w:numPr>
        <w:ilvl w:val="0"/>
        <w:numId w:val="0"/>
      </w:numPr>
      <w:adjustRightInd/>
      <w:snapToGrid/>
      <w:spacing w:before="100" w:beforeAutospacing="1" w:line="500" w:lineRule="atLeast"/>
    </w:pPr>
    <w:rPr>
      <w:rFonts w:ascii="宋体" w:hAnsi="宋体" w:eastAsia="宋体"/>
      <w:b/>
      <w:kern w:val="2"/>
      <w:sz w:val="28"/>
      <w:szCs w:val="28"/>
    </w:rPr>
  </w:style>
  <w:style w:type="paragraph" w:customStyle="1" w:styleId="782">
    <w:name w:val="样式 表格5 + 段前: 0.1 行 段后: 0.1 行1"/>
    <w:basedOn w:val="1"/>
    <w:qFormat/>
    <w:uiPriority w:val="0"/>
    <w:pPr>
      <w:snapToGrid w:val="0"/>
      <w:spacing w:beforeLines="10" w:afterLines="10" w:line="320" w:lineRule="atLeast"/>
      <w:ind w:firstLine="723" w:firstLineChars="200"/>
    </w:pPr>
    <w:rPr>
      <w:rFonts w:ascii="Times New Roman" w:hAnsi="Times New Roman" w:cs="宋体"/>
      <w:sz w:val="24"/>
      <w:szCs w:val="20"/>
    </w:rPr>
  </w:style>
  <w:style w:type="paragraph" w:customStyle="1" w:styleId="783">
    <w:name w:val="题栏"/>
    <w:basedOn w:val="1"/>
    <w:qFormat/>
    <w:uiPriority w:val="0"/>
    <w:pPr>
      <w:tabs>
        <w:tab w:val="center" w:pos="4153"/>
        <w:tab w:val="right" w:pos="8306"/>
      </w:tabs>
      <w:snapToGrid w:val="0"/>
      <w:spacing w:line="360" w:lineRule="auto"/>
      <w:ind w:firstLine="723" w:firstLineChars="200"/>
      <w:jc w:val="center"/>
    </w:pPr>
    <w:rPr>
      <w:rFonts w:ascii="Times New Roman" w:hAnsi="Times New Roman"/>
      <w:sz w:val="24"/>
      <w:szCs w:val="20"/>
    </w:rPr>
  </w:style>
  <w:style w:type="paragraph" w:customStyle="1" w:styleId="784">
    <w:name w:val="文章标题3"/>
    <w:basedOn w:val="1"/>
    <w:qFormat/>
    <w:uiPriority w:val="0"/>
    <w:pPr>
      <w:tabs>
        <w:tab w:val="left" w:pos="360"/>
        <w:tab w:val="left" w:pos="1260"/>
      </w:tabs>
      <w:spacing w:line="440" w:lineRule="exact"/>
      <w:ind w:left="360" w:firstLine="200" w:firstLineChars="200"/>
    </w:pPr>
    <w:rPr>
      <w:b/>
      <w:sz w:val="28"/>
      <w:szCs w:val="24"/>
    </w:rPr>
  </w:style>
  <w:style w:type="paragraph" w:customStyle="1" w:styleId="785">
    <w:name w:val="_Style 2"/>
    <w:basedOn w:val="1"/>
    <w:qFormat/>
    <w:uiPriority w:val="0"/>
    <w:pPr>
      <w:ind w:firstLine="723" w:firstLineChars="200"/>
    </w:pPr>
    <w:rPr>
      <w:rFonts w:ascii="Times New Roman" w:hAnsi="Times New Roman"/>
    </w:rPr>
  </w:style>
  <w:style w:type="paragraph" w:customStyle="1" w:styleId="786">
    <w:name w:val="默认段落字体 Para Char Char Char Char Char Char Char Char Char Char Char Char Char Char Char Char"/>
    <w:basedOn w:val="1"/>
    <w:qFormat/>
    <w:uiPriority w:val="0"/>
    <w:pPr>
      <w:spacing w:line="360" w:lineRule="auto"/>
      <w:ind w:firstLine="723" w:firstLineChars="200"/>
    </w:pPr>
    <w:rPr>
      <w:rFonts w:ascii="Times New Roman" w:hAnsi="Times New Roman"/>
      <w:sz w:val="24"/>
      <w:szCs w:val="24"/>
    </w:rPr>
  </w:style>
  <w:style w:type="paragraph" w:customStyle="1" w:styleId="787">
    <w:name w:val="3级标题"/>
    <w:basedOn w:val="1"/>
    <w:qFormat/>
    <w:uiPriority w:val="0"/>
    <w:pPr>
      <w:keepNext/>
      <w:keepLines/>
      <w:spacing w:before="140" w:after="140" w:line="416" w:lineRule="auto"/>
      <w:outlineLvl w:val="2"/>
    </w:pPr>
    <w:rPr>
      <w:rFonts w:eastAsia="黑体"/>
      <w:bCs/>
      <w:sz w:val="24"/>
      <w:szCs w:val="32"/>
    </w:rPr>
  </w:style>
  <w:style w:type="paragraph" w:customStyle="1" w:styleId="788">
    <w:name w:val="表头四号 + 段前: 0.5 行 + 段前: 0.5 行"/>
    <w:basedOn w:val="1"/>
    <w:qFormat/>
    <w:uiPriority w:val="0"/>
    <w:pPr>
      <w:adjustRightInd w:val="0"/>
      <w:snapToGrid w:val="0"/>
      <w:spacing w:before="25" w:beforeLines="25" w:line="500" w:lineRule="atLeast"/>
      <w:ind w:firstLine="723" w:firstLineChars="200"/>
    </w:pPr>
    <w:rPr>
      <w:rFonts w:ascii="宋体" w:hAnsi="宋体" w:cs="宋体"/>
      <w:b/>
      <w:bCs/>
      <w:sz w:val="28"/>
      <w:szCs w:val="20"/>
    </w:rPr>
  </w:style>
  <w:style w:type="paragraph" w:customStyle="1" w:styleId="789">
    <w:name w:val="公标题2"/>
    <w:basedOn w:val="702"/>
    <w:qFormat/>
    <w:uiPriority w:val="0"/>
    <w:pPr>
      <w:spacing w:before="50" w:beforeLines="50" w:after="50" w:afterLines="50"/>
      <w:outlineLvl w:val="1"/>
    </w:pPr>
    <w:rPr>
      <w:sz w:val="32"/>
    </w:rPr>
  </w:style>
  <w:style w:type="paragraph" w:customStyle="1" w:styleId="790">
    <w:name w:val="Char7"/>
    <w:basedOn w:val="1"/>
    <w:qFormat/>
    <w:uiPriority w:val="0"/>
    <w:pPr>
      <w:spacing w:line="360" w:lineRule="auto"/>
      <w:ind w:firstLine="723" w:firstLineChars="200"/>
    </w:pPr>
    <w:rPr>
      <w:rFonts w:ascii="Times New Roman" w:hAnsi="Times New Roman"/>
      <w:sz w:val="24"/>
      <w:szCs w:val="24"/>
    </w:rPr>
  </w:style>
  <w:style w:type="paragraph" w:customStyle="1" w:styleId="791">
    <w:name w:val="样式 正文首行缩进 + 首行缩进:  2 字符"/>
    <w:basedOn w:val="6"/>
    <w:qFormat/>
    <w:uiPriority w:val="0"/>
    <w:pPr>
      <w:adjustRightInd/>
      <w:spacing w:line="520" w:lineRule="atLeast"/>
      <w:ind w:firstLine="549"/>
    </w:pPr>
    <w:rPr>
      <w:rFonts w:ascii="楷体_GB2312" w:cs="宋体" w:hAnsiTheme="minorHAnsi"/>
      <w:bCs/>
      <w:sz w:val="28"/>
      <w:szCs w:val="20"/>
    </w:rPr>
  </w:style>
  <w:style w:type="paragraph" w:customStyle="1" w:styleId="792">
    <w:name w:val="默认段落字体 Para Char Char Char Char"/>
    <w:basedOn w:val="1"/>
    <w:qFormat/>
    <w:uiPriority w:val="99"/>
    <w:pPr>
      <w:spacing w:line="360" w:lineRule="auto"/>
      <w:ind w:firstLine="723" w:firstLineChars="200"/>
    </w:pPr>
    <w:rPr>
      <w:rFonts w:ascii="Times New Roman" w:hAnsi="Times New Roman"/>
      <w:sz w:val="24"/>
      <w:szCs w:val="24"/>
    </w:rPr>
  </w:style>
  <w:style w:type="paragraph" w:customStyle="1" w:styleId="793">
    <w:name w:val="Char Char Char3"/>
    <w:basedOn w:val="1"/>
    <w:qFormat/>
    <w:uiPriority w:val="0"/>
    <w:pPr>
      <w:spacing w:line="360" w:lineRule="auto"/>
      <w:ind w:firstLine="723" w:firstLineChars="200"/>
    </w:pPr>
    <w:rPr>
      <w:rFonts w:ascii="Times New Roman" w:hAnsi="Times New Roman"/>
      <w:sz w:val="24"/>
      <w:szCs w:val="24"/>
    </w:rPr>
  </w:style>
  <w:style w:type="paragraph" w:customStyle="1" w:styleId="794">
    <w:name w:val="Char Char Char Char Char Char Char Char Char Char Char Char Char1"/>
    <w:basedOn w:val="1"/>
    <w:qFormat/>
    <w:uiPriority w:val="0"/>
    <w:pPr>
      <w:snapToGrid w:val="0"/>
      <w:spacing w:line="360" w:lineRule="auto"/>
      <w:ind w:firstLine="200" w:firstLineChars="200"/>
    </w:pPr>
    <w:rPr>
      <w:rFonts w:ascii="Times New Roman" w:hAnsi="Times New Roman"/>
      <w:sz w:val="24"/>
      <w:szCs w:val="24"/>
    </w:rPr>
  </w:style>
  <w:style w:type="paragraph" w:customStyle="1" w:styleId="795">
    <w:name w:val="编号1"/>
    <w:basedOn w:val="1"/>
    <w:qFormat/>
    <w:uiPriority w:val="0"/>
    <w:pPr>
      <w:tabs>
        <w:tab w:val="left" w:pos="-735"/>
        <w:tab w:val="left" w:pos="-630"/>
        <w:tab w:val="left" w:pos="-420"/>
        <w:tab w:val="left" w:pos="-210"/>
        <w:tab w:val="left" w:pos="0"/>
        <w:tab w:val="left" w:pos="210"/>
        <w:tab w:val="left" w:pos="420"/>
        <w:tab w:val="left" w:pos="814"/>
        <w:tab w:val="left" w:pos="840"/>
      </w:tabs>
      <w:spacing w:line="360" w:lineRule="auto"/>
      <w:ind w:left="851" w:firstLine="200" w:firstLineChars="200"/>
    </w:pPr>
    <w:rPr>
      <w:rFonts w:ascii="Times New Roman" w:hAnsi="Times New Roman"/>
      <w:sz w:val="24"/>
      <w:szCs w:val="24"/>
    </w:rPr>
  </w:style>
  <w:style w:type="paragraph" w:customStyle="1" w:styleId="796">
    <w:name w:val="五级条"/>
    <w:basedOn w:val="1"/>
    <w:qFormat/>
    <w:uiPriority w:val="0"/>
    <w:pPr>
      <w:spacing w:line="440" w:lineRule="exact"/>
      <w:ind w:firstLine="723" w:firstLineChars="200"/>
      <w:outlineLvl w:val="5"/>
    </w:pPr>
    <w:rPr>
      <w:rFonts w:ascii="宋体" w:hAnsi="Times New Roman"/>
      <w:sz w:val="24"/>
      <w:szCs w:val="20"/>
    </w:rPr>
  </w:style>
  <w:style w:type="paragraph" w:customStyle="1" w:styleId="797">
    <w:name w:val="小4"/>
    <w:basedOn w:val="7"/>
    <w:qFormat/>
    <w:uiPriority w:val="0"/>
    <w:pPr>
      <w:snapToGrid w:val="0"/>
      <w:spacing w:beforeLines="15" w:afterLines="15" w:line="320" w:lineRule="atLeast"/>
      <w:ind w:firstLine="723" w:firstLineChars="200"/>
    </w:pPr>
    <w:rPr>
      <w:rFonts w:ascii="Times New Roman" w:hAnsiTheme="minorHAnsi"/>
      <w:sz w:val="24"/>
      <w:szCs w:val="24"/>
    </w:rPr>
  </w:style>
  <w:style w:type="paragraph" w:customStyle="1" w:styleId="798">
    <w:name w:val="表头1"/>
    <w:basedOn w:val="1"/>
    <w:next w:val="18"/>
    <w:qFormat/>
    <w:uiPriority w:val="0"/>
    <w:pPr>
      <w:adjustRightInd w:val="0"/>
      <w:snapToGrid w:val="0"/>
      <w:spacing w:beforeLines="35" w:line="520" w:lineRule="atLeast"/>
      <w:ind w:firstLine="723" w:firstLineChars="200"/>
    </w:pPr>
    <w:rPr>
      <w:rFonts w:ascii="Times New Roman" w:hAnsi="Times New Roman"/>
      <w:b/>
      <w:sz w:val="28"/>
      <w:szCs w:val="24"/>
    </w:rPr>
  </w:style>
  <w:style w:type="paragraph" w:customStyle="1" w:styleId="799">
    <w:name w:val="标准"/>
    <w:basedOn w:val="1"/>
    <w:qFormat/>
    <w:uiPriority w:val="0"/>
    <w:pPr>
      <w:adjustRightInd w:val="0"/>
      <w:spacing w:line="480" w:lineRule="exact"/>
      <w:ind w:firstLine="723" w:firstLineChars="200"/>
      <w:textAlignment w:val="baseline"/>
    </w:pPr>
    <w:rPr>
      <w:rFonts w:ascii="Times New Roman" w:hAnsi="Times New Roman"/>
      <w:kern w:val="0"/>
      <w:sz w:val="28"/>
      <w:szCs w:val="20"/>
      <w:lang w:val="en-GB"/>
    </w:rPr>
  </w:style>
  <w:style w:type="paragraph" w:customStyle="1" w:styleId="800">
    <w:name w:val="Char Char Char Char1"/>
    <w:basedOn w:val="1"/>
    <w:qFormat/>
    <w:uiPriority w:val="0"/>
    <w:pPr>
      <w:widowControl/>
      <w:spacing w:after="160" w:line="240" w:lineRule="exact"/>
      <w:ind w:firstLine="723" w:firstLineChars="200"/>
      <w:jc w:val="left"/>
    </w:pPr>
    <w:rPr>
      <w:rFonts w:ascii="Verdana" w:hAnsi="Verdana" w:eastAsia="仿宋_GB2312"/>
      <w:kern w:val="0"/>
      <w:sz w:val="24"/>
      <w:szCs w:val="20"/>
      <w:lang w:eastAsia="en-US"/>
    </w:rPr>
  </w:style>
  <w:style w:type="paragraph" w:customStyle="1" w:styleId="801">
    <w:name w:val="样式 标题 3 + 小四 加粗 黑色 左侧:  -0.04 厘米 行距: 固定值 24 磅"/>
    <w:basedOn w:val="4"/>
    <w:qFormat/>
    <w:uiPriority w:val="0"/>
    <w:pPr>
      <w:numPr>
        <w:ilvl w:val="0"/>
        <w:numId w:val="0"/>
      </w:numPr>
      <w:adjustRightInd/>
      <w:snapToGrid/>
      <w:spacing w:line="480" w:lineRule="exact"/>
      <w:ind w:left="-24"/>
    </w:pPr>
    <w:rPr>
      <w:rFonts w:eastAsia="黑体" w:cs="宋体"/>
      <w:bCs w:val="0"/>
      <w:color w:val="000000"/>
      <w:szCs w:val="20"/>
    </w:rPr>
  </w:style>
  <w:style w:type="paragraph" w:customStyle="1" w:styleId="802">
    <w:name w:val="样式 样式 样式 标题 4款标题1.1.1.1 + 段前: 0.25 行 段后: 0.25 行 + 段前: 0.25 行 段后:...3"/>
    <w:basedOn w:val="1"/>
    <w:qFormat/>
    <w:uiPriority w:val="0"/>
    <w:pPr>
      <w:tabs>
        <w:tab w:val="left" w:pos="283"/>
      </w:tabs>
      <w:spacing w:line="360" w:lineRule="auto"/>
      <w:ind w:firstLine="480" w:firstLineChars="200"/>
      <w:contextualSpacing/>
    </w:pPr>
    <w:rPr>
      <w:rFonts w:ascii="Times New Roman" w:hAnsi="Times New Roman" w:cs="宋体"/>
      <w:bCs/>
      <w:sz w:val="24"/>
      <w:szCs w:val="24"/>
    </w:rPr>
  </w:style>
  <w:style w:type="paragraph" w:customStyle="1" w:styleId="803">
    <w:name w:val="公表文"/>
    <w:basedOn w:val="1"/>
    <w:qFormat/>
    <w:uiPriority w:val="0"/>
    <w:pPr>
      <w:adjustRightInd w:val="0"/>
      <w:snapToGrid w:val="0"/>
      <w:spacing w:before="30" w:beforeLines="30" w:after="30" w:afterLines="30" w:line="360" w:lineRule="auto"/>
      <w:ind w:firstLine="723" w:firstLineChars="200"/>
      <w:jc w:val="center"/>
    </w:pPr>
    <w:rPr>
      <w:rFonts w:ascii="宋体" w:hAnsi="Swis721 Lt BT" w:eastAsia="楷体_GB2312"/>
      <w:sz w:val="24"/>
      <w:szCs w:val="28"/>
    </w:rPr>
  </w:style>
  <w:style w:type="paragraph" w:customStyle="1" w:styleId="804">
    <w:name w:val="样式 表格五号 +"/>
    <w:basedOn w:val="363"/>
    <w:qFormat/>
    <w:uiPriority w:val="0"/>
    <w:pPr>
      <w:spacing w:line="360" w:lineRule="exact"/>
      <w:ind w:firstLine="723" w:firstLineChars="200"/>
    </w:pPr>
    <w:rPr>
      <w:rFonts w:cstheme="minorBidi"/>
      <w:kern w:val="0"/>
    </w:rPr>
  </w:style>
  <w:style w:type="paragraph" w:customStyle="1" w:styleId="805">
    <w:name w:val="标题6"/>
    <w:basedOn w:val="1"/>
    <w:next w:val="6"/>
    <w:qFormat/>
    <w:uiPriority w:val="0"/>
    <w:pPr>
      <w:spacing w:line="360" w:lineRule="auto"/>
      <w:ind w:firstLine="567" w:firstLineChars="200"/>
      <w:jc w:val="left"/>
    </w:pPr>
    <w:rPr>
      <w:rFonts w:ascii="Times New Roman" w:hAnsi="Times New Roman"/>
      <w:sz w:val="28"/>
      <w:szCs w:val="24"/>
    </w:rPr>
  </w:style>
  <w:style w:type="paragraph" w:customStyle="1" w:styleId="806">
    <w:name w:val="一级条标题"/>
    <w:next w:val="779"/>
    <w:qFormat/>
    <w:uiPriority w:val="0"/>
    <w:pPr>
      <w:widowControl w:val="0"/>
      <w:spacing w:line="440" w:lineRule="exact"/>
      <w:outlineLvl w:val="1"/>
    </w:pPr>
    <w:rPr>
      <w:rFonts w:ascii="宋体" w:hAnsi="Times New Roman" w:eastAsia="宋体" w:cs="Times New Roman"/>
      <w:sz w:val="24"/>
      <w:lang w:val="en-US" w:eastAsia="zh-CN" w:bidi="ar-SA"/>
    </w:rPr>
  </w:style>
  <w:style w:type="paragraph" w:customStyle="1" w:styleId="807">
    <w:name w:val="Char Char Char Char Char Char1 Char1"/>
    <w:basedOn w:val="1"/>
    <w:qFormat/>
    <w:uiPriority w:val="0"/>
    <w:pPr>
      <w:spacing w:line="360" w:lineRule="auto"/>
      <w:ind w:firstLine="723" w:firstLineChars="200"/>
    </w:pPr>
    <w:rPr>
      <w:rFonts w:ascii="Times New Roman" w:hAnsi="Times New Roman"/>
      <w:sz w:val="24"/>
      <w:szCs w:val="24"/>
    </w:rPr>
  </w:style>
  <w:style w:type="paragraph" w:customStyle="1" w:styleId="808">
    <w:name w:val="Char Char Char1 Char Char Char Char Char Char Char Char Char Char Char Char Char Char Char Char Char Char Char Char Char Char Char Char Char Char Char"/>
    <w:basedOn w:val="1"/>
    <w:qFormat/>
    <w:uiPriority w:val="0"/>
    <w:pPr>
      <w:spacing w:line="360" w:lineRule="auto"/>
      <w:ind w:firstLine="723" w:firstLineChars="200"/>
      <w:jc w:val="left"/>
    </w:pPr>
    <w:rPr>
      <w:rFonts w:ascii="Times New Roman" w:hAnsi="Times New Roman"/>
      <w:sz w:val="24"/>
      <w:szCs w:val="24"/>
    </w:rPr>
  </w:style>
  <w:style w:type="paragraph" w:customStyle="1" w:styleId="809">
    <w:name w:val="样式 表格小四 + 字距调整二号"/>
    <w:basedOn w:val="719"/>
    <w:qFormat/>
    <w:uiPriority w:val="0"/>
    <w:pPr>
      <w:spacing w:line="400" w:lineRule="exact"/>
    </w:pPr>
    <w:rPr>
      <w:kern w:val="44"/>
    </w:rPr>
  </w:style>
  <w:style w:type="paragraph" w:customStyle="1" w:styleId="810">
    <w:name w:val="默认段落字体 Para Char Char Char Char Char Char1 Char Char Char Char Char Char Char Char Char Char"/>
    <w:basedOn w:val="1"/>
    <w:qFormat/>
    <w:uiPriority w:val="0"/>
    <w:pPr>
      <w:spacing w:line="360" w:lineRule="auto"/>
      <w:ind w:firstLine="723" w:firstLineChars="200"/>
    </w:pPr>
    <w:rPr>
      <w:rFonts w:ascii="Times New Roman" w:hAnsi="Times New Roman"/>
      <w:sz w:val="24"/>
      <w:szCs w:val="24"/>
    </w:rPr>
  </w:style>
  <w:style w:type="paragraph" w:customStyle="1" w:styleId="811">
    <w:name w:val="页号"/>
    <w:basedOn w:val="42"/>
    <w:qFormat/>
    <w:uiPriority w:val="0"/>
    <w:pPr>
      <w:tabs>
        <w:tab w:val="center" w:pos="4320"/>
        <w:tab w:val="right" w:pos="8640"/>
        <w:tab w:val="clear" w:pos="4153"/>
        <w:tab w:val="clear" w:pos="8306"/>
      </w:tabs>
      <w:adjustRightInd w:val="0"/>
      <w:snapToGrid/>
      <w:spacing w:line="360" w:lineRule="auto"/>
      <w:ind w:firstLine="723" w:firstLineChars="200"/>
      <w:jc w:val="center"/>
      <w:textAlignment w:val="baseline"/>
    </w:pPr>
    <w:rPr>
      <w:rFonts w:ascii="宋体" w:hAnsi="Arial"/>
      <w:spacing w:val="3"/>
      <w:kern w:val="24"/>
      <w:sz w:val="24"/>
      <w:szCs w:val="20"/>
    </w:rPr>
  </w:style>
  <w:style w:type="paragraph" w:customStyle="1" w:styleId="812">
    <w:name w:val="公标题3"/>
    <w:basedOn w:val="789"/>
    <w:qFormat/>
    <w:uiPriority w:val="0"/>
    <w:pPr>
      <w:spacing w:before="30" w:beforeLines="30" w:after="30" w:afterLines="30"/>
      <w:outlineLvl w:val="2"/>
    </w:pPr>
    <w:rPr>
      <w:rFonts w:ascii="宋体" w:eastAsia="方正小标宋简体"/>
      <w:sz w:val="28"/>
    </w:rPr>
  </w:style>
  <w:style w:type="paragraph" w:customStyle="1" w:styleId="813">
    <w:name w:val="王涵 正文"/>
    <w:basedOn w:val="1"/>
    <w:qFormat/>
    <w:uiPriority w:val="0"/>
    <w:pPr>
      <w:spacing w:line="360" w:lineRule="auto"/>
      <w:ind w:firstLine="480" w:firstLineChars="200"/>
    </w:pPr>
    <w:rPr>
      <w:rFonts w:ascii="Times New Roman" w:hAnsi="Times New Roman" w:cs="宋体"/>
      <w:sz w:val="24"/>
      <w:szCs w:val="20"/>
    </w:rPr>
  </w:style>
  <w:style w:type="paragraph" w:customStyle="1" w:styleId="814">
    <w:name w:val="文章标题1"/>
    <w:basedOn w:val="1"/>
    <w:qFormat/>
    <w:uiPriority w:val="0"/>
    <w:pPr>
      <w:tabs>
        <w:tab w:val="left" w:pos="360"/>
        <w:tab w:val="left" w:pos="480"/>
      </w:tabs>
      <w:spacing w:line="440" w:lineRule="exact"/>
      <w:ind w:left="360" w:firstLine="200" w:firstLineChars="200"/>
    </w:pPr>
    <w:rPr>
      <w:b/>
      <w:sz w:val="28"/>
      <w:szCs w:val="24"/>
    </w:rPr>
  </w:style>
  <w:style w:type="paragraph" w:customStyle="1" w:styleId="815">
    <w:name w:val="表格小4"/>
    <w:basedOn w:val="1"/>
    <w:next w:val="7"/>
    <w:qFormat/>
    <w:uiPriority w:val="0"/>
    <w:pPr>
      <w:adjustRightInd w:val="0"/>
      <w:snapToGrid w:val="0"/>
      <w:spacing w:before="60" w:after="60" w:line="320" w:lineRule="atLeast"/>
      <w:ind w:firstLine="723" w:firstLineChars="200"/>
    </w:pPr>
    <w:rPr>
      <w:rFonts w:ascii="Times New Roman" w:hAnsi="Times New Roman" w:cs="宋体"/>
      <w:sz w:val="24"/>
      <w:szCs w:val="20"/>
    </w:rPr>
  </w:style>
  <w:style w:type="paragraph" w:customStyle="1" w:styleId="816">
    <w:name w:val="表格文字小"/>
    <w:basedOn w:val="1"/>
    <w:qFormat/>
    <w:uiPriority w:val="0"/>
    <w:pPr>
      <w:spacing w:line="320" w:lineRule="exact"/>
      <w:ind w:firstLine="723" w:firstLineChars="200"/>
      <w:jc w:val="center"/>
    </w:pPr>
    <w:rPr>
      <w:rFonts w:ascii="Times New Roman" w:hAnsi="Times New Roman"/>
      <w:kern w:val="0"/>
      <w:sz w:val="24"/>
      <w:szCs w:val="24"/>
    </w:rPr>
  </w:style>
  <w:style w:type="paragraph" w:customStyle="1" w:styleId="817">
    <w:name w:val="Char1 Char Char Char Char Char Char Char Char Char Char Char Char Char Char Char Char Char Char Char Char Char"/>
    <w:basedOn w:val="1"/>
    <w:qFormat/>
    <w:uiPriority w:val="0"/>
    <w:pPr>
      <w:spacing w:line="360" w:lineRule="auto"/>
      <w:ind w:firstLine="723" w:firstLineChars="200"/>
      <w:jc w:val="center"/>
    </w:pPr>
    <w:rPr>
      <w:rFonts w:ascii="仿宋_GB2312" w:hAnsi="宋体" w:eastAsia="仿宋_GB2312" w:cs="宋体"/>
      <w:b/>
      <w:kern w:val="0"/>
      <w:sz w:val="24"/>
      <w:szCs w:val="24"/>
    </w:rPr>
  </w:style>
  <w:style w:type="paragraph" w:customStyle="1" w:styleId="818">
    <w:name w:val="kkk"/>
    <w:basedOn w:val="1"/>
    <w:qFormat/>
    <w:uiPriority w:val="0"/>
    <w:pPr>
      <w:widowControl/>
      <w:spacing w:line="360" w:lineRule="auto"/>
      <w:ind w:firstLine="200" w:firstLineChars="200"/>
    </w:pPr>
    <w:rPr>
      <w:rFonts w:ascii="宋体" w:hAnsi="Times New Roman"/>
      <w:spacing w:val="16"/>
      <w:sz w:val="24"/>
      <w:szCs w:val="20"/>
    </w:rPr>
  </w:style>
  <w:style w:type="paragraph" w:customStyle="1" w:styleId="819">
    <w:name w:val="In Table"/>
    <w:basedOn w:val="1"/>
    <w:qFormat/>
    <w:uiPriority w:val="0"/>
    <w:pPr>
      <w:tabs>
        <w:tab w:val="left" w:pos="2200"/>
        <w:tab w:val="left" w:pos="3960"/>
        <w:tab w:val="left" w:pos="5280"/>
      </w:tabs>
      <w:spacing w:before="96" w:after="96" w:line="0" w:lineRule="atLeast"/>
      <w:ind w:firstLine="723" w:firstLineChars="200"/>
      <w:jc w:val="center"/>
    </w:pPr>
    <w:rPr>
      <w:rFonts w:ascii="Tahoma" w:hAnsi="Tahoma" w:eastAsia="华文中宋"/>
      <w:sz w:val="24"/>
      <w:szCs w:val="20"/>
    </w:rPr>
  </w:style>
  <w:style w:type="paragraph" w:customStyle="1" w:styleId="820">
    <w:name w:val="mmc-正文"/>
    <w:basedOn w:val="1"/>
    <w:qFormat/>
    <w:uiPriority w:val="0"/>
    <w:pPr>
      <w:adjustRightInd w:val="0"/>
      <w:snapToGrid w:val="0"/>
      <w:spacing w:line="520" w:lineRule="exact"/>
      <w:ind w:firstLine="480" w:firstLineChars="200"/>
      <w:jc w:val="left"/>
    </w:pPr>
    <w:rPr>
      <w:rFonts w:ascii="Times New Roman" w:hAnsi="Times New Roman"/>
      <w:kern w:val="0"/>
      <w:sz w:val="24"/>
      <w:szCs w:val="24"/>
      <w:lang w:bidi="en-US"/>
    </w:rPr>
  </w:style>
  <w:style w:type="paragraph" w:customStyle="1" w:styleId="821">
    <w:name w:val="样式 正文缩进文本条款表格标题正文（首行缩进两字） Char Char Char Char Char Char Char...3"/>
    <w:basedOn w:val="18"/>
    <w:qFormat/>
    <w:uiPriority w:val="0"/>
    <w:pPr>
      <w:snapToGrid w:val="0"/>
      <w:spacing w:line="520" w:lineRule="atLeast"/>
      <w:ind w:firstLine="200"/>
    </w:pPr>
    <w:rPr>
      <w:rFonts w:cs="宋体" w:asciiTheme="minorHAnsi" w:hAnsiTheme="minorHAnsi"/>
      <w:sz w:val="28"/>
      <w:szCs w:val="20"/>
    </w:rPr>
  </w:style>
  <w:style w:type="paragraph" w:customStyle="1" w:styleId="822">
    <w:name w:val="文-1"/>
    <w:basedOn w:val="1"/>
    <w:qFormat/>
    <w:uiPriority w:val="0"/>
    <w:pPr>
      <w:tabs>
        <w:tab w:val="right" w:leader="dot" w:pos="8789"/>
      </w:tabs>
      <w:spacing w:before="120" w:line="360" w:lineRule="auto"/>
      <w:ind w:left="851" w:firstLine="482" w:firstLineChars="200"/>
    </w:pPr>
    <w:rPr>
      <w:rFonts w:ascii="Times New Roman" w:hAnsi="Times New Roman"/>
      <w:sz w:val="24"/>
      <w:szCs w:val="20"/>
    </w:rPr>
  </w:style>
  <w:style w:type="paragraph" w:customStyle="1" w:styleId="823">
    <w:name w:val="Char Char8 Char Char"/>
    <w:basedOn w:val="1"/>
    <w:qFormat/>
    <w:uiPriority w:val="0"/>
    <w:pPr>
      <w:spacing w:line="360" w:lineRule="auto"/>
      <w:ind w:firstLine="723" w:firstLineChars="200"/>
    </w:pPr>
    <w:rPr>
      <w:rFonts w:ascii="Times New Roman" w:hAnsi="Times New Roman"/>
      <w:sz w:val="24"/>
      <w:szCs w:val="24"/>
    </w:rPr>
  </w:style>
  <w:style w:type="paragraph" w:customStyle="1" w:styleId="824">
    <w:name w:val="表格格式"/>
    <w:basedOn w:val="1"/>
    <w:qFormat/>
    <w:uiPriority w:val="0"/>
    <w:pPr>
      <w:widowControl/>
      <w:snapToGrid w:val="0"/>
      <w:spacing w:line="360" w:lineRule="exact"/>
      <w:jc w:val="center"/>
    </w:pPr>
    <w:rPr>
      <w:rFonts w:asciiTheme="minorHAnsi" w:hAnsiTheme="minorHAnsi" w:eastAsiaTheme="minorEastAsia" w:cstheme="minorBidi"/>
      <w:kern w:val="0"/>
      <w:szCs w:val="24"/>
    </w:rPr>
  </w:style>
  <w:style w:type="paragraph" w:customStyle="1" w:styleId="825">
    <w:name w:val="前言、引言标题"/>
    <w:next w:val="1"/>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826">
    <w:name w:val="章标题"/>
    <w:next w:val="1"/>
    <w:qFormat/>
    <w:uiPriority w:val="0"/>
    <w:pPr>
      <w:spacing w:before="50" w:beforeLines="50" w:after="50" w:afterLines="50"/>
      <w:ind w:left="180"/>
      <w:jc w:val="both"/>
      <w:outlineLvl w:val="1"/>
    </w:pPr>
    <w:rPr>
      <w:rFonts w:ascii="黑体" w:hAnsi="Times New Roman" w:eastAsia="黑体" w:cs="Times New Roman"/>
      <w:sz w:val="21"/>
      <w:lang w:val="en-US" w:eastAsia="zh-CN" w:bidi="ar-SA"/>
    </w:rPr>
  </w:style>
  <w:style w:type="paragraph" w:customStyle="1" w:styleId="827">
    <w:name w:val="二级条标题"/>
    <w:basedOn w:val="806"/>
    <w:next w:val="1"/>
    <w:qFormat/>
    <w:uiPriority w:val="0"/>
    <w:pPr>
      <w:widowControl/>
      <w:spacing w:line="240" w:lineRule="auto"/>
      <w:ind w:left="360"/>
      <w:outlineLvl w:val="3"/>
    </w:pPr>
    <w:rPr>
      <w:rFonts w:ascii="Times New Roman" w:eastAsia="黑体"/>
      <w:sz w:val="21"/>
    </w:rPr>
  </w:style>
  <w:style w:type="paragraph" w:customStyle="1" w:styleId="828">
    <w:name w:val="三级条标题"/>
    <w:basedOn w:val="827"/>
    <w:next w:val="1"/>
    <w:qFormat/>
    <w:uiPriority w:val="0"/>
    <w:pPr>
      <w:ind w:left="0"/>
      <w:outlineLvl w:val="4"/>
    </w:pPr>
  </w:style>
  <w:style w:type="paragraph" w:customStyle="1" w:styleId="829">
    <w:name w:val="四级条标题"/>
    <w:basedOn w:val="828"/>
    <w:next w:val="1"/>
    <w:qFormat/>
    <w:uiPriority w:val="0"/>
    <w:pPr>
      <w:outlineLvl w:val="5"/>
    </w:pPr>
  </w:style>
  <w:style w:type="paragraph" w:customStyle="1" w:styleId="830">
    <w:name w:val="五级条标题"/>
    <w:basedOn w:val="829"/>
    <w:next w:val="1"/>
    <w:qFormat/>
    <w:uiPriority w:val="0"/>
    <w:pPr>
      <w:outlineLvl w:val="6"/>
    </w:pPr>
  </w:style>
  <w:style w:type="paragraph" w:customStyle="1" w:styleId="831">
    <w:name w:val="君邦正文"/>
    <w:link w:val="832"/>
    <w:qFormat/>
    <w:uiPriority w:val="0"/>
    <w:pPr>
      <w:spacing w:beforeLines="50" w:afterLines="50" w:line="360" w:lineRule="auto"/>
      <w:ind w:firstLine="480" w:firstLineChars="200"/>
      <w:jc w:val="both"/>
    </w:pPr>
    <w:rPr>
      <w:rFonts w:ascii="Times New Roman" w:hAnsi="Times New Roman" w:eastAsia="宋体" w:cs="Times New Roman"/>
      <w:bCs/>
      <w:snapToGrid w:val="0"/>
      <w:sz w:val="24"/>
      <w:lang w:val="en-US" w:eastAsia="zh-CN" w:bidi="ar-SA"/>
    </w:rPr>
  </w:style>
  <w:style w:type="character" w:customStyle="1" w:styleId="832">
    <w:name w:val="君邦正文 Char2"/>
    <w:link w:val="831"/>
    <w:qFormat/>
    <w:uiPriority w:val="0"/>
    <w:rPr>
      <w:rFonts w:ascii="Times New Roman" w:hAnsi="Times New Roman" w:eastAsia="宋体" w:cs="Times New Roman"/>
      <w:bCs/>
      <w:snapToGrid w:val="0"/>
      <w:sz w:val="24"/>
    </w:rPr>
  </w:style>
  <w:style w:type="paragraph" w:customStyle="1" w:styleId="833">
    <w:name w:val="表头样式1"/>
    <w:basedOn w:val="1"/>
    <w:link w:val="834"/>
    <w:qFormat/>
    <w:uiPriority w:val="0"/>
    <w:pPr>
      <w:widowControl/>
      <w:spacing w:beforeLines="50" w:afterLines="50"/>
      <w:jc w:val="center"/>
    </w:pPr>
    <w:rPr>
      <w:rFonts w:ascii="Times New Roman" w:hAnsi="Times New Roman" w:eastAsia="黑体"/>
      <w:b/>
      <w:sz w:val="24"/>
      <w:szCs w:val="20"/>
    </w:rPr>
  </w:style>
  <w:style w:type="character" w:customStyle="1" w:styleId="834">
    <w:name w:val="表头样式1 Char1"/>
    <w:link w:val="833"/>
    <w:qFormat/>
    <w:uiPriority w:val="0"/>
    <w:rPr>
      <w:rFonts w:ascii="Times New Roman" w:hAnsi="Times New Roman" w:eastAsia="黑体" w:cs="Times New Roman"/>
      <w:b/>
      <w:kern w:val="2"/>
      <w:sz w:val="24"/>
    </w:rPr>
  </w:style>
  <w:style w:type="paragraph" w:customStyle="1" w:styleId="835">
    <w:name w:val="样式正文无级"/>
    <w:basedOn w:val="1"/>
    <w:qFormat/>
    <w:uiPriority w:val="0"/>
    <w:pPr>
      <w:spacing w:line="360" w:lineRule="auto"/>
      <w:ind w:firstLine="480" w:firstLineChars="200"/>
    </w:pPr>
    <w:rPr>
      <w:rFonts w:ascii="Times New Roman" w:hAnsi="Times New Roman"/>
      <w:kern w:val="0"/>
      <w:sz w:val="24"/>
      <w:szCs w:val="24"/>
    </w:rPr>
  </w:style>
  <w:style w:type="paragraph" w:customStyle="1" w:styleId="836">
    <w:name w:val="正文3"/>
    <w:qFormat/>
    <w:uiPriority w:val="0"/>
    <w:pPr>
      <w:jc w:val="both"/>
    </w:pPr>
    <w:rPr>
      <w:rFonts w:ascii="Calibri" w:hAnsi="Calibri" w:eastAsia="宋体" w:cs="宋体"/>
      <w:kern w:val="2"/>
      <w:sz w:val="21"/>
      <w:szCs w:val="21"/>
      <w:lang w:val="en-US" w:eastAsia="zh-CN" w:bidi="ar-SA"/>
    </w:rPr>
  </w:style>
  <w:style w:type="character" w:customStyle="1" w:styleId="837">
    <w:name w:val="纯文本 Char1"/>
    <w:qFormat/>
    <w:uiPriority w:val="0"/>
    <w:rPr>
      <w:rFonts w:ascii="宋体" w:hAnsi="Courier New" w:eastAsia="宋体"/>
      <w:kern w:val="2"/>
      <w:sz w:val="21"/>
      <w:lang w:val="en-US" w:eastAsia="zh-CN" w:bidi="ar-SA"/>
    </w:rPr>
  </w:style>
  <w:style w:type="table" w:customStyle="1" w:styleId="838">
    <w:name w:val="Table Normal"/>
    <w:semiHidden/>
    <w:unhideWhenUsed/>
    <w:qFormat/>
    <w:uiPriority w:val="2"/>
    <w:pPr>
      <w:widowControl w:val="0"/>
      <w:spacing w:beforeLines="50" w:afterLines="50"/>
    </w:pPr>
    <w:rPr>
      <w:sz w:val="22"/>
      <w:szCs w:val="22"/>
      <w:lang w:eastAsia="en-US"/>
    </w:rPr>
    <w:tblPr>
      <w:tblCellMar>
        <w:top w:w="0" w:type="dxa"/>
        <w:left w:w="0" w:type="dxa"/>
        <w:bottom w:w="0" w:type="dxa"/>
        <w:right w:w="0" w:type="dxa"/>
      </w:tblCellMar>
    </w:tblPr>
  </w:style>
  <w:style w:type="table" w:customStyle="1" w:styleId="839">
    <w:name w:val="cmr"/>
    <w:basedOn w:val="71"/>
    <w:qFormat/>
    <w:uiPriority w:val="0"/>
    <w:pPr>
      <w:spacing w:beforeLines="50" w:afterLines="50"/>
      <w:jc w:val="center"/>
    </w:pPr>
    <w:tblPr>
      <w:tblBorders>
        <w:top w:val="single" w:color="auto" w:sz="12" w:space="0"/>
        <w:bottom w:val="single" w:color="auto" w:sz="12" w:space="0"/>
        <w:insideH w:val="single" w:color="auto" w:sz="4" w:space="0"/>
        <w:insideV w:val="single" w:color="auto" w:sz="4" w:space="0"/>
      </w:tblBorders>
    </w:tblPr>
    <w:tcPr>
      <w:vAlign w:val="center"/>
    </w:tcPr>
  </w:style>
  <w:style w:type="paragraph" w:customStyle="1" w:styleId="840">
    <w:name w:val="wxy正文"/>
    <w:basedOn w:val="1"/>
    <w:qFormat/>
    <w:uiPriority w:val="0"/>
    <w:pPr>
      <w:spacing w:line="360" w:lineRule="auto"/>
      <w:ind w:firstLine="480" w:firstLineChars="200"/>
    </w:pPr>
    <w:rPr>
      <w:rFonts w:ascii="Times New Roman" w:hAnsi="Times New Roman"/>
      <w:color w:val="000000"/>
      <w:sz w:val="24"/>
      <w:szCs w:val="24"/>
    </w:rPr>
  </w:style>
  <w:style w:type="paragraph" w:customStyle="1" w:styleId="841">
    <w:name w:val="正文标准"/>
    <w:basedOn w:val="1"/>
    <w:qFormat/>
    <w:uiPriority w:val="0"/>
    <w:pPr>
      <w:snapToGrid w:val="0"/>
      <w:spacing w:line="360" w:lineRule="auto"/>
      <w:ind w:firstLine="482"/>
    </w:pPr>
    <w:rPr>
      <w:rFonts w:ascii="宋体" w:hAnsi="Times New Roman"/>
      <w:snapToGrid w:val="0"/>
      <w:kern w:val="0"/>
      <w:sz w:val="24"/>
      <w:szCs w:val="20"/>
    </w:rPr>
  </w:style>
  <w:style w:type="paragraph" w:customStyle="1" w:styleId="842">
    <w:name w:val="文章正文样式"/>
    <w:basedOn w:val="1"/>
    <w:qFormat/>
    <w:uiPriority w:val="0"/>
    <w:pPr>
      <w:spacing w:line="520" w:lineRule="exact"/>
      <w:ind w:firstLine="480" w:firstLineChars="200"/>
      <w:jc w:val="left"/>
    </w:pPr>
    <w:rPr>
      <w:rFonts w:ascii="宋体" w:hAnsi="宋体" w:cs="宋体"/>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1" Type="http://schemas.openxmlformats.org/officeDocument/2006/relationships/fontTable" Target="fontTable.xml"/><Relationship Id="rId80" Type="http://schemas.openxmlformats.org/officeDocument/2006/relationships/customXml" Target="../customXml/item2.xml"/><Relationship Id="rId8" Type="http://schemas.openxmlformats.org/officeDocument/2006/relationships/footer" Target="footer3.xml"/><Relationship Id="rId79" Type="http://schemas.openxmlformats.org/officeDocument/2006/relationships/numbering" Target="numbering.xml"/><Relationship Id="rId78" Type="http://schemas.openxmlformats.org/officeDocument/2006/relationships/customXml" Target="../customXml/item1.xml"/><Relationship Id="rId77" Type="http://schemas.openxmlformats.org/officeDocument/2006/relationships/image" Target="media/image46.wmf"/><Relationship Id="rId76" Type="http://schemas.openxmlformats.org/officeDocument/2006/relationships/oleObject" Target="embeddings/oleObject8.bin"/><Relationship Id="rId75" Type="http://schemas.openxmlformats.org/officeDocument/2006/relationships/image" Target="media/image45.emf"/><Relationship Id="rId74" Type="http://schemas.openxmlformats.org/officeDocument/2006/relationships/oleObject" Target="embeddings/oleObject7.bin"/><Relationship Id="rId73" Type="http://schemas.openxmlformats.org/officeDocument/2006/relationships/image" Target="media/image44.wmf"/><Relationship Id="rId72" Type="http://schemas.openxmlformats.org/officeDocument/2006/relationships/image" Target="media/image43.png"/><Relationship Id="rId71" Type="http://schemas.openxmlformats.org/officeDocument/2006/relationships/image" Target="media/image42.png"/><Relationship Id="rId70" Type="http://schemas.openxmlformats.org/officeDocument/2006/relationships/image" Target="media/image41.png"/><Relationship Id="rId7" Type="http://schemas.openxmlformats.org/officeDocument/2006/relationships/header" Target="header3.xml"/><Relationship Id="rId69" Type="http://schemas.openxmlformats.org/officeDocument/2006/relationships/image" Target="media/image40.png"/><Relationship Id="rId68" Type="http://schemas.openxmlformats.org/officeDocument/2006/relationships/image" Target="media/image39.png"/><Relationship Id="rId67" Type="http://schemas.openxmlformats.org/officeDocument/2006/relationships/image" Target="media/image38.png"/><Relationship Id="rId66" Type="http://schemas.openxmlformats.org/officeDocument/2006/relationships/image" Target="media/image37.png"/><Relationship Id="rId65" Type="http://schemas.openxmlformats.org/officeDocument/2006/relationships/chart" Target="charts/chart3.xml"/><Relationship Id="rId64" Type="http://schemas.openxmlformats.org/officeDocument/2006/relationships/chart" Target="charts/chart2.xml"/><Relationship Id="rId63" Type="http://schemas.openxmlformats.org/officeDocument/2006/relationships/chart" Target="charts/chart1.xml"/><Relationship Id="rId62" Type="http://schemas.openxmlformats.org/officeDocument/2006/relationships/image" Target="media/image36.jpeg"/><Relationship Id="rId61" Type="http://schemas.openxmlformats.org/officeDocument/2006/relationships/image" Target="media/image35.jpeg"/><Relationship Id="rId60" Type="http://schemas.openxmlformats.org/officeDocument/2006/relationships/image" Target="media/image34.jpeg"/><Relationship Id="rId6" Type="http://schemas.openxmlformats.org/officeDocument/2006/relationships/header" Target="header2.xml"/><Relationship Id="rId59" Type="http://schemas.openxmlformats.org/officeDocument/2006/relationships/image" Target="media/image33.jpeg"/><Relationship Id="rId58" Type="http://schemas.openxmlformats.org/officeDocument/2006/relationships/image" Target="media/image32.png"/><Relationship Id="rId57" Type="http://schemas.openxmlformats.org/officeDocument/2006/relationships/image" Target="media/image31.jpeg"/><Relationship Id="rId56" Type="http://schemas.openxmlformats.org/officeDocument/2006/relationships/image" Target="media/image30.jpeg"/><Relationship Id="rId55" Type="http://schemas.openxmlformats.org/officeDocument/2006/relationships/image" Target="media/image29.jpeg"/><Relationship Id="rId54" Type="http://schemas.openxmlformats.org/officeDocument/2006/relationships/image" Target="media/image28.jpeg"/><Relationship Id="rId53" Type="http://schemas.openxmlformats.org/officeDocument/2006/relationships/image" Target="media/image27.jpeg"/><Relationship Id="rId52" Type="http://schemas.openxmlformats.org/officeDocument/2006/relationships/image" Target="media/image26.jpeg"/><Relationship Id="rId51" Type="http://schemas.openxmlformats.org/officeDocument/2006/relationships/image" Target="media/image25.wmf"/><Relationship Id="rId50" Type="http://schemas.openxmlformats.org/officeDocument/2006/relationships/oleObject" Target="embeddings/oleObject6.bin"/><Relationship Id="rId5" Type="http://schemas.openxmlformats.org/officeDocument/2006/relationships/footer" Target="footer2.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wmf"/><Relationship Id="rId46" Type="http://schemas.openxmlformats.org/officeDocument/2006/relationships/oleObject" Target="embeddings/oleObject5.bin"/><Relationship Id="rId45" Type="http://schemas.openxmlformats.org/officeDocument/2006/relationships/image" Target="media/image21.wmf"/><Relationship Id="rId44" Type="http://schemas.openxmlformats.org/officeDocument/2006/relationships/oleObject" Target="embeddings/oleObject4.bin"/><Relationship Id="rId43" Type="http://schemas.openxmlformats.org/officeDocument/2006/relationships/image" Target="media/image20.wmf"/><Relationship Id="rId42" Type="http://schemas.openxmlformats.org/officeDocument/2006/relationships/oleObject" Target="embeddings/oleObject3.bin"/><Relationship Id="rId41" Type="http://schemas.openxmlformats.org/officeDocument/2006/relationships/image" Target="media/image19.emf"/><Relationship Id="rId40" Type="http://schemas.openxmlformats.org/officeDocument/2006/relationships/oleObject" Target="embeddings/oleObject2.bin"/><Relationship Id="rId4" Type="http://schemas.openxmlformats.org/officeDocument/2006/relationships/header" Target="header1.xml"/><Relationship Id="rId39" Type="http://schemas.openxmlformats.org/officeDocument/2006/relationships/image" Target="media/image18.wmf"/><Relationship Id="rId38" Type="http://schemas.openxmlformats.org/officeDocument/2006/relationships/oleObject" Target="embeddings/oleObject1.bin"/><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er" Target="foot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header" Target="header14.xml"/><Relationship Id="rId18" Type="http://schemas.openxmlformats.org/officeDocument/2006/relationships/header" Target="header13.xml"/><Relationship Id="rId17" Type="http://schemas.openxmlformats.org/officeDocument/2006/relationships/header" Target="header12.xml"/><Relationship Id="rId16" Type="http://schemas.openxmlformats.org/officeDocument/2006/relationships/header" Target="header11.xml"/><Relationship Id="rId15" Type="http://schemas.openxmlformats.org/officeDocument/2006/relationships/header" Target="header10.xml"/><Relationship Id="rId14" Type="http://schemas.openxmlformats.org/officeDocument/2006/relationships/header" Target="header9.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9868797687536"/>
          <c:y val="0.201104464549817"/>
          <c:w val="0.800547516099295"/>
          <c:h val="0.619217081850534"/>
        </c:manualLayout>
      </c:layout>
      <c:lineChart>
        <c:grouping val="standard"/>
        <c:varyColors val="0"/>
        <c:ser>
          <c:idx val="0"/>
          <c:order val="0"/>
          <c:tx>
            <c:strRef>
              <c:f>数据!$A$3</c:f>
              <c:strCache>
                <c:ptCount val="1"/>
                <c:pt idx="0">
                  <c:v>  温度(℃)  </c:v>
                </c:pt>
              </c:strCache>
            </c:strRef>
          </c:tx>
          <c:spPr>
            <a:ln w="12700" cap="rnd" cmpd="sng" algn="ctr">
              <a:solidFill>
                <a:srgbClr val="000080"/>
              </a:solidFill>
              <a:prstDash val="solid"/>
              <a:round/>
            </a:ln>
          </c:spPr>
          <c:marker>
            <c:symbol val="diamond"/>
            <c:size val="5"/>
            <c:spPr>
              <a:solidFill>
                <a:srgbClr val="000080"/>
              </a:solidFill>
              <a:ln w="6350" cap="flat" cmpd="sng" algn="ctr">
                <a:solidFill>
                  <a:srgbClr val="000080"/>
                </a:solidFill>
                <a:prstDash val="solid"/>
                <a:round/>
              </a:ln>
            </c:spPr>
          </c:marker>
          <c:dLbls>
            <c:delete val="1"/>
          </c:dLbls>
          <c:cat>
            <c:strRef>
              <c:f>数据!$B$2:$M$2</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数据!$B$3:$M$3</c:f>
              <c:numCache>
                <c:formatCode>0.00_ </c:formatCode>
                <c:ptCount val="12"/>
                <c:pt idx="0">
                  <c:v>7.40999984741211</c:v>
                </c:pt>
                <c:pt idx="1">
                  <c:v>8.51000022888184</c:v>
                </c:pt>
                <c:pt idx="2">
                  <c:v>11.710000038147</c:v>
                </c:pt>
                <c:pt idx="3">
                  <c:v>18.6200008392334</c:v>
                </c:pt>
                <c:pt idx="4">
                  <c:v>23.1599998474121</c:v>
                </c:pt>
                <c:pt idx="5">
                  <c:v>24.8700008392334</c:v>
                </c:pt>
                <c:pt idx="6">
                  <c:v>30.8099994659424</c:v>
                </c:pt>
                <c:pt idx="7">
                  <c:v>28.9699993133545</c:v>
                </c:pt>
                <c:pt idx="8">
                  <c:v>24.6000003814697</c:v>
                </c:pt>
                <c:pt idx="9">
                  <c:v>17.4400005340576</c:v>
                </c:pt>
                <c:pt idx="10">
                  <c:v>12.9300003051758</c:v>
                </c:pt>
                <c:pt idx="11">
                  <c:v>7.1399998664856</c:v>
                </c:pt>
              </c:numCache>
            </c:numRef>
          </c:val>
          <c:smooth val="0"/>
        </c:ser>
        <c:dLbls>
          <c:showLegendKey val="0"/>
          <c:showVal val="0"/>
          <c:showCatName val="0"/>
          <c:showSerName val="0"/>
          <c:showPercent val="0"/>
          <c:showBubbleSize val="0"/>
        </c:dLbls>
        <c:marker val="1"/>
        <c:smooth val="0"/>
        <c:axId val="748168728"/>
        <c:axId val="748167552"/>
      </c:lineChart>
      <c:catAx>
        <c:axId val="748168728"/>
        <c:scaling>
          <c:orientation val="minMax"/>
        </c:scaling>
        <c:delete val="0"/>
        <c:axPos val="b"/>
        <c:numFmt formatCode="General" sourceLinked="1"/>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p>
        </c:txPr>
        <c:crossAx val="748167552"/>
        <c:crosses val="autoZero"/>
        <c:auto val="1"/>
        <c:lblAlgn val="ctr"/>
        <c:lblOffset val="100"/>
        <c:tickLblSkip val="1"/>
        <c:noMultiLvlLbl val="0"/>
      </c:catAx>
      <c:valAx>
        <c:axId val="748167552"/>
        <c:scaling>
          <c:orientation val="minMax"/>
        </c:scaling>
        <c:delete val="0"/>
        <c:axPos val="l"/>
        <c:majorGridlines>
          <c:spPr>
            <a:ln w="3175" cap="flat" cmpd="sng" algn="ctr">
              <a:solidFill>
                <a:srgbClr val="000000"/>
              </a:solidFill>
              <a:prstDash val="solid"/>
              <a:round/>
            </a:ln>
          </c:spPr>
        </c:majorGridlines>
        <c:title>
          <c:tx>
            <c:rich>
              <a:bodyPr rot="-5400000" spcFirstLastPara="0" vertOverflow="ellipsis" vert="horz" wrap="square" anchor="ctr" anchorCtr="1"/>
              <a:lstStyle/>
              <a:p>
                <a:pPr>
                  <a:defRPr lang="zh-CN" sz="12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r>
                  <a:rPr lang="zh-CN" altLang="en-US">
                    <a:latin typeface="Times New Roman" panose="02020603050405020304" charset="0"/>
                    <a:cs typeface="Times New Roman" panose="02020603050405020304" charset="0"/>
                  </a:rPr>
                  <a:t>温度</a:t>
                </a:r>
                <a:r>
                  <a:rPr lang="en-US" altLang="zh-CN">
                    <a:latin typeface="Times New Roman" panose="02020603050405020304" charset="0"/>
                    <a:cs typeface="Times New Roman" panose="02020603050405020304" charset="0"/>
                  </a:rPr>
                  <a:t>(℃) </a:t>
                </a:r>
                <a:endParaRPr lang="en-US" altLang="zh-CN">
                  <a:latin typeface="Times New Roman" panose="02020603050405020304" charset="0"/>
                  <a:cs typeface="Times New Roman" panose="02020603050405020304" charset="0"/>
                </a:endParaRPr>
              </a:p>
            </c:rich>
          </c:tx>
          <c:layout>
            <c:manualLayout>
              <c:xMode val="edge"/>
              <c:yMode val="edge"/>
              <c:x val="0.0157519731964375"/>
              <c:y val="0.334519773044513"/>
            </c:manualLayout>
          </c:layout>
          <c:overlay val="0"/>
          <c:spPr>
            <a:noFill/>
            <a:ln w="25400">
              <a:noFill/>
            </a:ln>
          </c:spPr>
        </c:title>
        <c:numFmt formatCode="0.00_ " sourceLinked="1"/>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p>
        </c:txPr>
        <c:crossAx val="748168728"/>
        <c:crosses val="autoZero"/>
        <c:crossBetween val="between"/>
      </c:valAx>
      <c:spPr>
        <a:noFill/>
        <a:ln w="12700">
          <a:solidFill>
            <a:srgbClr val="808080"/>
          </a:solidFill>
          <a:prstDash val="solid"/>
        </a:ln>
      </c:spPr>
    </c:plotArea>
    <c:plotVisOnly val="1"/>
    <c:dispBlanksAs val="gap"/>
    <c:showDLblsOverMax val="0"/>
  </c:chart>
  <c:spPr>
    <a:solidFill>
      <a:srgbClr val="FFFFFF"/>
    </a:solidFill>
    <a:ln w="3175" cap="flat" cmpd="sng" algn="ctr">
      <a:noFill/>
      <a:prstDash val="solid"/>
      <a:round/>
    </a:ln>
  </c:spPr>
  <c:txPr>
    <a:bodyPr/>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00274042026"/>
          <c:y val="0.20113941639648"/>
          <c:w val="0.820548494052664"/>
          <c:h val="0.619217081850534"/>
        </c:manualLayout>
      </c:layout>
      <c:lineChart>
        <c:grouping val="standard"/>
        <c:varyColors val="0"/>
        <c:ser>
          <c:idx val="0"/>
          <c:order val="0"/>
          <c:tx>
            <c:strRef>
              <c:f>数据!$A$7</c:f>
              <c:strCache>
                <c:ptCount val="1"/>
                <c:pt idx="0">
                  <c:v> 风速(m/s)  </c:v>
                </c:pt>
              </c:strCache>
            </c:strRef>
          </c:tx>
          <c:spPr>
            <a:ln w="12700" cap="rnd" cmpd="sng" algn="ctr">
              <a:solidFill>
                <a:srgbClr val="000080"/>
              </a:solidFill>
              <a:prstDash val="solid"/>
              <a:round/>
            </a:ln>
          </c:spPr>
          <c:marker>
            <c:symbol val="diamond"/>
            <c:size val="5"/>
            <c:spPr>
              <a:solidFill>
                <a:srgbClr val="000080"/>
              </a:solidFill>
              <a:ln w="6350" cap="flat" cmpd="sng" algn="ctr">
                <a:solidFill>
                  <a:srgbClr val="000080"/>
                </a:solidFill>
                <a:prstDash val="solid"/>
                <a:round/>
              </a:ln>
            </c:spPr>
          </c:marker>
          <c:dLbls>
            <c:delete val="1"/>
          </c:dLbls>
          <c:cat>
            <c:strRef>
              <c:f>数据!$B$6:$M$6</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数据!$B$7:$M$7</c:f>
              <c:numCache>
                <c:formatCode>0.00_ </c:formatCode>
                <c:ptCount val="12"/>
                <c:pt idx="0">
                  <c:v>1.42999994754791</c:v>
                </c:pt>
                <c:pt idx="1">
                  <c:v>1.6599999666214</c:v>
                </c:pt>
                <c:pt idx="2">
                  <c:v>1.5</c:v>
                </c:pt>
                <c:pt idx="3">
                  <c:v>1.89999997615814</c:v>
                </c:pt>
                <c:pt idx="4">
                  <c:v>1.77999997138977</c:v>
                </c:pt>
                <c:pt idx="5">
                  <c:v>1.60000002384186</c:v>
                </c:pt>
                <c:pt idx="6">
                  <c:v>2.32999992370605</c:v>
                </c:pt>
                <c:pt idx="7">
                  <c:v>1.82000005245209</c:v>
                </c:pt>
                <c:pt idx="8">
                  <c:v>1.47000002861023</c:v>
                </c:pt>
                <c:pt idx="9">
                  <c:v>1.75999999046326</c:v>
                </c:pt>
                <c:pt idx="10">
                  <c:v>1.38999998569489</c:v>
                </c:pt>
                <c:pt idx="11">
                  <c:v>1.24000000953674</c:v>
                </c:pt>
              </c:numCache>
            </c:numRef>
          </c:val>
          <c:smooth val="0"/>
        </c:ser>
        <c:dLbls>
          <c:showLegendKey val="0"/>
          <c:showVal val="0"/>
          <c:showCatName val="0"/>
          <c:showSerName val="0"/>
          <c:showPercent val="0"/>
          <c:showBubbleSize val="0"/>
        </c:dLbls>
        <c:marker val="1"/>
        <c:smooth val="0"/>
        <c:axId val="748169120"/>
        <c:axId val="748169512"/>
      </c:lineChart>
      <c:catAx>
        <c:axId val="748169120"/>
        <c:scaling>
          <c:orientation val="minMax"/>
        </c:scaling>
        <c:delete val="0"/>
        <c:axPos val="b"/>
        <c:numFmt formatCode="General" sourceLinked="1"/>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p>
        </c:txPr>
        <c:crossAx val="748169512"/>
        <c:crosses val="autoZero"/>
        <c:auto val="1"/>
        <c:lblAlgn val="ctr"/>
        <c:lblOffset val="100"/>
        <c:tickLblSkip val="1"/>
        <c:noMultiLvlLbl val="0"/>
      </c:catAx>
      <c:valAx>
        <c:axId val="748169512"/>
        <c:scaling>
          <c:orientation val="minMax"/>
        </c:scaling>
        <c:delete val="0"/>
        <c:axPos val="l"/>
        <c:majorGridlines>
          <c:spPr>
            <a:ln w="3175" cap="flat" cmpd="sng" algn="ctr">
              <a:solidFill>
                <a:srgbClr val="000000"/>
              </a:solidFill>
              <a:prstDash val="solid"/>
              <a:round/>
            </a:ln>
          </c:spPr>
        </c:majorGridlines>
        <c:title>
          <c:tx>
            <c:rich>
              <a:bodyPr rot="-5400000" spcFirstLastPara="0" vertOverflow="ellipsis" vert="horz" wrap="square" anchor="ctr" anchorCtr="1"/>
              <a:lstStyle/>
              <a:p>
                <a:pPr>
                  <a:defRPr lang="zh-CN" sz="12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r>
                  <a:rPr lang="zh-CN" altLang="en-US">
                    <a:latin typeface="Times New Roman" panose="02020603050405020304" charset="0"/>
                    <a:cs typeface="Times New Roman" panose="02020603050405020304" charset="0"/>
                  </a:rPr>
                  <a:t>风速</a:t>
                </a:r>
                <a:r>
                  <a:rPr lang="en-US" altLang="zh-CN">
                    <a:latin typeface="Times New Roman" panose="02020603050405020304" charset="0"/>
                    <a:cs typeface="Times New Roman" panose="02020603050405020304" charset="0"/>
                  </a:rPr>
                  <a:t>(m/s) </a:t>
                </a:r>
                <a:endParaRPr lang="en-US" altLang="zh-CN">
                  <a:latin typeface="Times New Roman" panose="02020603050405020304" charset="0"/>
                  <a:cs typeface="Times New Roman" panose="02020603050405020304" charset="0"/>
                </a:endParaRPr>
              </a:p>
            </c:rich>
          </c:tx>
          <c:layout>
            <c:manualLayout>
              <c:xMode val="edge"/>
              <c:yMode val="edge"/>
              <c:x val="0.0178082310896238"/>
              <c:y val="0.284697508896797"/>
            </c:manualLayout>
          </c:layout>
          <c:overlay val="0"/>
          <c:spPr>
            <a:noFill/>
            <a:ln w="25400">
              <a:noFill/>
            </a:ln>
          </c:spPr>
        </c:title>
        <c:numFmt formatCode="0.00_ " sourceLinked="0"/>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p>
        </c:txPr>
        <c:crossAx val="748169120"/>
        <c:crosses val="autoZero"/>
        <c:crossBetween val="between"/>
      </c:valAx>
      <c:spPr>
        <a:noFill/>
        <a:ln w="12700">
          <a:solidFill>
            <a:srgbClr val="808080"/>
          </a:solidFill>
          <a:prstDash val="solid"/>
        </a:ln>
      </c:spPr>
    </c:plotArea>
    <c:plotVisOnly val="1"/>
    <c:dispBlanksAs val="gap"/>
    <c:showDLblsOverMax val="0"/>
  </c:chart>
  <c:spPr>
    <a:solidFill>
      <a:srgbClr val="FFFFFF"/>
    </a:solidFill>
    <a:ln w="3175" cap="flat" cmpd="sng" algn="ctr">
      <a:noFill/>
      <a:prstDash val="solid"/>
      <a:round/>
    </a:ln>
  </c:spPr>
  <c:txPr>
    <a:bodyPr/>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238716882678"/>
          <c:y val="0.159810807710733"/>
          <c:w val="0.719562243502052"/>
          <c:h val="0.691803278688525"/>
        </c:manualLayout>
      </c:layout>
      <c:lineChart>
        <c:grouping val="standard"/>
        <c:varyColors val="0"/>
        <c:ser>
          <c:idx val="0"/>
          <c:order val="0"/>
          <c:tx>
            <c:strRef>
              <c:f>图形!$A$167</c:f>
              <c:strCache>
                <c:ptCount val="1"/>
                <c:pt idx="0">
                  <c:v>春季                </c:v>
                </c:pt>
              </c:strCache>
            </c:strRef>
          </c:tx>
          <c:spPr>
            <a:ln w="12700" cap="rnd" cmpd="sng" algn="ctr">
              <a:solidFill>
                <a:srgbClr val="000080"/>
              </a:solidFill>
              <a:prstDash val="solid"/>
              <a:round/>
            </a:ln>
          </c:spPr>
          <c:marker>
            <c:symbol val="diamond"/>
            <c:size val="5"/>
            <c:spPr>
              <a:solidFill>
                <a:srgbClr val="000080"/>
              </a:solidFill>
              <a:ln w="6350" cap="flat" cmpd="sng" algn="ctr">
                <a:solidFill>
                  <a:srgbClr val="000080"/>
                </a:solidFill>
                <a:prstDash val="solid"/>
                <a:round/>
              </a:ln>
            </c:spPr>
          </c:marker>
          <c:dLbls>
            <c:delete val="1"/>
          </c:dLbls>
          <c:val>
            <c:numRef>
              <c:f>图形!$B$167:$Y$167</c:f>
              <c:numCache>
                <c:formatCode>General</c:formatCode>
                <c:ptCount val="24"/>
                <c:pt idx="0">
                  <c:v>1.32000005245209</c:v>
                </c:pt>
                <c:pt idx="1">
                  <c:v>1.27999997138977</c:v>
                </c:pt>
                <c:pt idx="2">
                  <c:v>1.21000003814697</c:v>
                </c:pt>
                <c:pt idx="3">
                  <c:v>1.21000003814697</c:v>
                </c:pt>
                <c:pt idx="4">
                  <c:v>1.27999997138977</c:v>
                </c:pt>
                <c:pt idx="5">
                  <c:v>1.30999994277954</c:v>
                </c:pt>
                <c:pt idx="6">
                  <c:v>1.41999995708466</c:v>
                </c:pt>
                <c:pt idx="7">
                  <c:v>1.69000005722046</c:v>
                </c:pt>
                <c:pt idx="8">
                  <c:v>1.96000003814697</c:v>
                </c:pt>
                <c:pt idx="9">
                  <c:v>2.07999992370605</c:v>
                </c:pt>
                <c:pt idx="10">
                  <c:v>2.28999996185303</c:v>
                </c:pt>
                <c:pt idx="11">
                  <c:v>2.40000009536743</c:v>
                </c:pt>
                <c:pt idx="12">
                  <c:v>2.44000005722046</c:v>
                </c:pt>
                <c:pt idx="13">
                  <c:v>2.38000011444092</c:v>
                </c:pt>
                <c:pt idx="14">
                  <c:v>2.47000002861023</c:v>
                </c:pt>
                <c:pt idx="15">
                  <c:v>2.42000007629395</c:v>
                </c:pt>
                <c:pt idx="16">
                  <c:v>2.26999998092651</c:v>
                </c:pt>
                <c:pt idx="17">
                  <c:v>1.94000005722046</c:v>
                </c:pt>
                <c:pt idx="18">
                  <c:v>1.52999997138977</c:v>
                </c:pt>
                <c:pt idx="19">
                  <c:v>1.19000005722046</c:v>
                </c:pt>
                <c:pt idx="20">
                  <c:v>1.26999998092651</c:v>
                </c:pt>
                <c:pt idx="21">
                  <c:v>1.35000002384186</c:v>
                </c:pt>
                <c:pt idx="22">
                  <c:v>1.37999999523163</c:v>
                </c:pt>
                <c:pt idx="23">
                  <c:v>1.33000004291534</c:v>
                </c:pt>
              </c:numCache>
            </c:numRef>
          </c:val>
          <c:smooth val="0"/>
        </c:ser>
        <c:ser>
          <c:idx val="1"/>
          <c:order val="1"/>
          <c:tx>
            <c:strRef>
              <c:f>图形!$A$168</c:f>
              <c:strCache>
                <c:ptCount val="1"/>
                <c:pt idx="0">
                  <c:v>夏季                </c:v>
                </c:pt>
              </c:strCache>
            </c:strRef>
          </c:tx>
          <c:spPr>
            <a:ln w="12700" cap="rnd" cmpd="sng" algn="ctr">
              <a:solidFill>
                <a:srgbClr val="FF00FF"/>
              </a:solidFill>
              <a:prstDash val="solid"/>
              <a:round/>
            </a:ln>
          </c:spPr>
          <c:marker>
            <c:symbol val="square"/>
            <c:size val="5"/>
            <c:spPr>
              <a:solidFill>
                <a:srgbClr val="FF00FF"/>
              </a:solidFill>
              <a:ln w="6350" cap="flat" cmpd="sng" algn="ctr">
                <a:solidFill>
                  <a:srgbClr val="FF00FF"/>
                </a:solidFill>
                <a:prstDash val="solid"/>
                <a:round/>
              </a:ln>
            </c:spPr>
          </c:marker>
          <c:dLbls>
            <c:delete val="1"/>
          </c:dLbls>
          <c:val>
            <c:numRef>
              <c:f>图形!$B$168:$Y$168</c:f>
              <c:numCache>
                <c:formatCode>General</c:formatCode>
                <c:ptCount val="24"/>
                <c:pt idx="0">
                  <c:v>1.42999994754791</c:v>
                </c:pt>
                <c:pt idx="1">
                  <c:v>1.48000001907349</c:v>
                </c:pt>
                <c:pt idx="2">
                  <c:v>1.42999994754791</c:v>
                </c:pt>
                <c:pt idx="3">
                  <c:v>1.37999999523163</c:v>
                </c:pt>
                <c:pt idx="4">
                  <c:v>1.42999994754791</c:v>
                </c:pt>
                <c:pt idx="5">
                  <c:v>1.37000000476837</c:v>
                </c:pt>
                <c:pt idx="6">
                  <c:v>1.45000004768372</c:v>
                </c:pt>
                <c:pt idx="7">
                  <c:v>1.94000005722046</c:v>
                </c:pt>
                <c:pt idx="8">
                  <c:v>2.20000004768372</c:v>
                </c:pt>
                <c:pt idx="9">
                  <c:v>2.48000001907349</c:v>
                </c:pt>
                <c:pt idx="10">
                  <c:v>2.70000004768372</c:v>
                </c:pt>
                <c:pt idx="11">
                  <c:v>2.67000007629395</c:v>
                </c:pt>
                <c:pt idx="12">
                  <c:v>2.64000010490417</c:v>
                </c:pt>
                <c:pt idx="13">
                  <c:v>2.71000003814697</c:v>
                </c:pt>
                <c:pt idx="14">
                  <c:v>2.70000004768372</c:v>
                </c:pt>
                <c:pt idx="15">
                  <c:v>2.53999996185303</c:v>
                </c:pt>
                <c:pt idx="16">
                  <c:v>2.44000005722046</c:v>
                </c:pt>
                <c:pt idx="17">
                  <c:v>2.14000010490417</c:v>
                </c:pt>
                <c:pt idx="18">
                  <c:v>1.75999999046326</c:v>
                </c:pt>
                <c:pt idx="19">
                  <c:v>1.46000003814697</c:v>
                </c:pt>
                <c:pt idx="20">
                  <c:v>1.42999994754791</c:v>
                </c:pt>
                <c:pt idx="21">
                  <c:v>1.35000002384186</c:v>
                </c:pt>
                <c:pt idx="22">
                  <c:v>1.49000000953674</c:v>
                </c:pt>
                <c:pt idx="23">
                  <c:v>1.45000004768372</c:v>
                </c:pt>
              </c:numCache>
            </c:numRef>
          </c:val>
          <c:smooth val="0"/>
        </c:ser>
        <c:ser>
          <c:idx val="2"/>
          <c:order val="2"/>
          <c:tx>
            <c:strRef>
              <c:f>图形!$A$169</c:f>
              <c:strCache>
                <c:ptCount val="1"/>
                <c:pt idx="0">
                  <c:v>秋季                </c:v>
                </c:pt>
              </c:strCache>
            </c:strRef>
          </c:tx>
          <c:spPr>
            <a:ln w="12700" cap="rnd" cmpd="sng" algn="ctr">
              <a:solidFill>
                <a:srgbClr val="FFFF00"/>
              </a:solidFill>
              <a:prstDash val="solid"/>
              <a:round/>
            </a:ln>
          </c:spPr>
          <c:marker>
            <c:symbol val="triangle"/>
            <c:size val="5"/>
            <c:spPr>
              <a:solidFill>
                <a:srgbClr val="FFFF00"/>
              </a:solidFill>
              <a:ln w="6350" cap="flat" cmpd="sng" algn="ctr">
                <a:solidFill>
                  <a:srgbClr val="FFFF00"/>
                </a:solidFill>
                <a:prstDash val="solid"/>
                <a:round/>
              </a:ln>
            </c:spPr>
          </c:marker>
          <c:dLbls>
            <c:delete val="1"/>
          </c:dLbls>
          <c:val>
            <c:numRef>
              <c:f>图形!$B$169:$Y$169</c:f>
              <c:numCache>
                <c:formatCode>General</c:formatCode>
                <c:ptCount val="24"/>
                <c:pt idx="0">
                  <c:v>1.14999997615814</c:v>
                </c:pt>
                <c:pt idx="1">
                  <c:v>1.13999998569489</c:v>
                </c:pt>
                <c:pt idx="2">
                  <c:v>1.17999994754791</c:v>
                </c:pt>
                <c:pt idx="3">
                  <c:v>1.16999995708466</c:v>
                </c:pt>
                <c:pt idx="4">
                  <c:v>1.23000001907349</c:v>
                </c:pt>
                <c:pt idx="5">
                  <c:v>1.26999998092651</c:v>
                </c:pt>
                <c:pt idx="6">
                  <c:v>1.21000003814697</c:v>
                </c:pt>
                <c:pt idx="7">
                  <c:v>1.25999999046326</c:v>
                </c:pt>
                <c:pt idx="8">
                  <c:v>1.54999995231628</c:v>
                </c:pt>
                <c:pt idx="9">
                  <c:v>1.77999997138977</c:v>
                </c:pt>
                <c:pt idx="10">
                  <c:v>1.99000000953674</c:v>
                </c:pt>
                <c:pt idx="11">
                  <c:v>2.0699999332428</c:v>
                </c:pt>
                <c:pt idx="12">
                  <c:v>2.24000000953674</c:v>
                </c:pt>
                <c:pt idx="13">
                  <c:v>2.3199999332428</c:v>
                </c:pt>
                <c:pt idx="14">
                  <c:v>2.33999991416931</c:v>
                </c:pt>
                <c:pt idx="15">
                  <c:v>2.26999998092651</c:v>
                </c:pt>
                <c:pt idx="16">
                  <c:v>1.96000003814697</c:v>
                </c:pt>
                <c:pt idx="17">
                  <c:v>1.62000000476837</c:v>
                </c:pt>
                <c:pt idx="18">
                  <c:v>1.3400000333786</c:v>
                </c:pt>
                <c:pt idx="19">
                  <c:v>1.17999994754791</c:v>
                </c:pt>
                <c:pt idx="20">
                  <c:v>1.24000000953674</c:v>
                </c:pt>
                <c:pt idx="21">
                  <c:v>1.21000003814697</c:v>
                </c:pt>
                <c:pt idx="22">
                  <c:v>1.13999998569489</c:v>
                </c:pt>
                <c:pt idx="23">
                  <c:v>1.16999995708466</c:v>
                </c:pt>
              </c:numCache>
            </c:numRef>
          </c:val>
          <c:smooth val="0"/>
        </c:ser>
        <c:ser>
          <c:idx val="3"/>
          <c:order val="3"/>
          <c:tx>
            <c:strRef>
              <c:f>图形!$A$170</c:f>
              <c:strCache>
                <c:ptCount val="1"/>
                <c:pt idx="0">
                  <c:v>冬季                </c:v>
                </c:pt>
              </c:strCache>
            </c:strRef>
          </c:tx>
          <c:spPr>
            <a:ln w="12700" cap="rnd" cmpd="sng" algn="ctr">
              <a:solidFill>
                <a:srgbClr val="00FFFF"/>
              </a:solidFill>
              <a:prstDash val="solid"/>
              <a:round/>
            </a:ln>
          </c:spPr>
          <c:marker>
            <c:symbol val="x"/>
            <c:size val="5"/>
            <c:spPr>
              <a:noFill/>
              <a:ln w="6350" cap="flat" cmpd="sng" algn="ctr">
                <a:solidFill>
                  <a:srgbClr val="00FFFF"/>
                </a:solidFill>
                <a:prstDash val="solid"/>
                <a:round/>
              </a:ln>
            </c:spPr>
          </c:marker>
          <c:dLbls>
            <c:delete val="1"/>
          </c:dLbls>
          <c:val>
            <c:numRef>
              <c:f>图形!$B$170:$Y$170</c:f>
              <c:numCache>
                <c:formatCode>General</c:formatCode>
                <c:ptCount val="24"/>
                <c:pt idx="0">
                  <c:v>1.0900000333786</c:v>
                </c:pt>
                <c:pt idx="1">
                  <c:v>1.13999998569489</c:v>
                </c:pt>
                <c:pt idx="2">
                  <c:v>1.23000001907349</c:v>
                </c:pt>
                <c:pt idx="3">
                  <c:v>1.21000003814697</c:v>
                </c:pt>
                <c:pt idx="4">
                  <c:v>1.13999998569489</c:v>
                </c:pt>
                <c:pt idx="5">
                  <c:v>1.1599999666214</c:v>
                </c:pt>
                <c:pt idx="6">
                  <c:v>1.12000000476837</c:v>
                </c:pt>
                <c:pt idx="7">
                  <c:v>1.12000000476837</c:v>
                </c:pt>
                <c:pt idx="8">
                  <c:v>1.3400000333786</c:v>
                </c:pt>
                <c:pt idx="9">
                  <c:v>1.46000003814697</c:v>
                </c:pt>
                <c:pt idx="10">
                  <c:v>1.67999994754791</c:v>
                </c:pt>
                <c:pt idx="11">
                  <c:v>2.0699999332428</c:v>
                </c:pt>
                <c:pt idx="12">
                  <c:v>2.15000009536743</c:v>
                </c:pt>
                <c:pt idx="13">
                  <c:v>2.14000010490417</c:v>
                </c:pt>
                <c:pt idx="14">
                  <c:v>2.29999995231628</c:v>
                </c:pt>
                <c:pt idx="15">
                  <c:v>2.26999998092651</c:v>
                </c:pt>
                <c:pt idx="16">
                  <c:v>2</c:v>
                </c:pt>
                <c:pt idx="17">
                  <c:v>1.52999997138977</c:v>
                </c:pt>
                <c:pt idx="18">
                  <c:v>1.22000002861023</c:v>
                </c:pt>
                <c:pt idx="19">
                  <c:v>1.0900000333786</c:v>
                </c:pt>
                <c:pt idx="20">
                  <c:v>1</c:v>
                </c:pt>
                <c:pt idx="21">
                  <c:v>0.970000028610229</c:v>
                </c:pt>
                <c:pt idx="22">
                  <c:v>1.02999997138977</c:v>
                </c:pt>
                <c:pt idx="23">
                  <c:v>1.05999994277954</c:v>
                </c:pt>
              </c:numCache>
            </c:numRef>
          </c:val>
          <c:smooth val="0"/>
        </c:ser>
        <c:dLbls>
          <c:showLegendKey val="0"/>
          <c:showVal val="0"/>
          <c:showCatName val="0"/>
          <c:showSerName val="0"/>
          <c:showPercent val="0"/>
          <c:showBubbleSize val="0"/>
        </c:dLbls>
        <c:marker val="1"/>
        <c:smooth val="0"/>
        <c:axId val="881709032"/>
        <c:axId val="881706288"/>
      </c:lineChart>
      <c:catAx>
        <c:axId val="881709032"/>
        <c:scaling>
          <c:orientation val="minMax"/>
        </c:scaling>
        <c:delete val="0"/>
        <c:axPos val="b"/>
        <c:numFmt formatCode="General" sourceLinked="1"/>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p>
        </c:txPr>
        <c:crossAx val="881706288"/>
        <c:crosses val="autoZero"/>
        <c:auto val="1"/>
        <c:lblAlgn val="ctr"/>
        <c:lblOffset val="100"/>
        <c:tickLblSkip val="1"/>
        <c:noMultiLvlLbl val="0"/>
      </c:catAx>
      <c:valAx>
        <c:axId val="881706288"/>
        <c:scaling>
          <c:orientation val="minMax"/>
        </c:scaling>
        <c:delete val="0"/>
        <c:axPos val="l"/>
        <c:majorGridlines>
          <c:spPr>
            <a:ln w="3175" cap="flat" cmpd="sng" algn="ctr">
              <a:solidFill>
                <a:srgbClr val="000000"/>
              </a:solidFill>
              <a:prstDash val="solid"/>
              <a:round/>
            </a:ln>
          </c:spPr>
        </c:majorGridlines>
        <c:title>
          <c:tx>
            <c:rich>
              <a:bodyPr rot="-5400000" spcFirstLastPara="0" vertOverflow="ellipsis" vert="horz" wrap="square" anchor="ctr" anchorCtr="1"/>
              <a:lstStyle/>
              <a:p>
                <a:pPr>
                  <a:defRPr lang="zh-CN" sz="12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r>
                  <a:rPr lang="zh-CN" altLang="en-US">
                    <a:latin typeface="Times New Roman" panose="02020603050405020304" charset="0"/>
                    <a:cs typeface="Times New Roman" panose="02020603050405020304" charset="0"/>
                  </a:rPr>
                  <a:t>风速</a:t>
                </a:r>
                <a:r>
                  <a:rPr lang="en-US" altLang="zh-CN">
                    <a:latin typeface="Times New Roman" panose="02020603050405020304" charset="0"/>
                    <a:cs typeface="Times New Roman" panose="02020603050405020304" charset="0"/>
                  </a:rPr>
                  <a:t>(m/s)</a:t>
                </a:r>
                <a:endParaRPr lang="en-US" altLang="zh-CN">
                  <a:latin typeface="Times New Roman" panose="02020603050405020304" charset="0"/>
                  <a:cs typeface="Times New Roman" panose="02020603050405020304" charset="0"/>
                </a:endParaRPr>
              </a:p>
            </c:rich>
          </c:tx>
          <c:layout>
            <c:manualLayout>
              <c:xMode val="edge"/>
              <c:yMode val="edge"/>
              <c:x val="0.00144960723771269"/>
              <c:y val="0.373770373818954"/>
            </c:manualLayout>
          </c:layout>
          <c:overlay val="0"/>
          <c:spPr>
            <a:noFill/>
            <a:ln w="25400">
              <a:noFill/>
            </a:ln>
          </c:spPr>
        </c:title>
        <c:numFmt formatCode="0.00_ " sourceLinked="0"/>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Times New Roman" panose="02020603050405020304" charset="0"/>
                <a:ea typeface="宋体" panose="02010600030101010101" charset="-122"/>
                <a:cs typeface="Times New Roman" panose="02020603050405020304" charset="0"/>
              </a:defRPr>
            </a:pPr>
          </a:p>
        </c:txPr>
        <c:crossAx val="881709032"/>
        <c:crosses val="autoZero"/>
        <c:crossBetween val="between"/>
      </c:valAx>
      <c:spPr>
        <a:noFill/>
        <a:ln w="12700">
          <a:solidFill>
            <a:srgbClr val="808080"/>
          </a:solidFill>
          <a:prstDash val="solid"/>
        </a:ln>
      </c:spPr>
    </c:plotArea>
    <c:legend>
      <c:legendPos val="r"/>
      <c:layout>
        <c:manualLayout>
          <c:xMode val="edge"/>
          <c:yMode val="edge"/>
          <c:x val="0.856361149110807"/>
          <c:y val="0.19672131147541"/>
          <c:w val="0.125854993160055"/>
          <c:h val="0.511475409836066"/>
        </c:manualLayout>
      </c:layout>
      <c:overlay val="0"/>
      <c:spPr>
        <a:solidFill>
          <a:srgbClr val="FFFFFF"/>
        </a:solidFill>
        <a:ln w="3175">
          <a:solidFill>
            <a:srgbClr val="000000"/>
          </a:solidFill>
          <a:prstDash val="solid"/>
        </a:ln>
      </c:spPr>
      <c:txPr>
        <a:bodyPr rot="0" spcFirstLastPara="0" vertOverflow="ellipsis" vert="horz" wrap="square" anchor="ctr" anchorCtr="1"/>
        <a:lstStyle/>
        <a:p>
          <a:pPr>
            <a:defRPr lang="zh-CN" sz="11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rgbClr val="FFFFFF"/>
    </a:solidFill>
    <a:ln w="3175" cap="flat" cmpd="sng" algn="ctr">
      <a:noFill/>
      <a:prstDash val="solid"/>
      <a:round/>
    </a:ln>
  </c:spPr>
  <c:txPr>
    <a:bodyPr/>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BEC33E-953F-419A-9AA7-6638F9F392BB}">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261</Pages>
  <Words>171574</Words>
  <Characters>197893</Characters>
  <Lines>1463</Lines>
  <Paragraphs>411</Paragraphs>
  <TotalTime>1</TotalTime>
  <ScaleCrop>false</ScaleCrop>
  <LinksUpToDate>false</LinksUpToDate>
  <CharactersWithSpaces>200116</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2020-04-24T09:41:00Z</dcterms:created>
  <dc:creator>微软用户</dc:creator>
  <cp:lastModifiedBy>肖杰</cp:lastModifiedBy>
  <cp:lastPrinted>2020-06-04T05:08:00Z</cp:lastPrinted>
  <dcterms:modified xsi:type="dcterms:W3CDTF">2020-12-28T03:12:59Z</dcterms:modified>
  <cp:revision>104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