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BE" w:rsidRDefault="00F14B87">
      <w:pPr>
        <w:pStyle w:val="WPSPlain"/>
        <w:spacing w:line="480" w:lineRule="exact"/>
        <w:textAlignment w:val="top"/>
        <w:rPr>
          <w:rFonts w:eastAsia="黑体"/>
          <w:b/>
          <w:color w:val="000000"/>
          <w:sz w:val="36"/>
        </w:rPr>
      </w:pPr>
      <w:r>
        <w:rPr>
          <w:rFonts w:eastAsia="黑体" w:hint="eastAsia"/>
          <w:b/>
          <w:color w:val="000000"/>
          <w:kern w:val="2"/>
          <w:sz w:val="36"/>
        </w:rPr>
        <w:t xml:space="preserve">                                               </w:t>
      </w:r>
    </w:p>
    <w:p w:rsidR="005C3EBE" w:rsidRDefault="005C3EBE">
      <w:pPr>
        <w:pStyle w:val="WPSPlain"/>
        <w:spacing w:line="480" w:lineRule="exact"/>
        <w:textAlignment w:val="top"/>
        <w:rPr>
          <w:rFonts w:eastAsia="黑体"/>
          <w:b/>
          <w:color w:val="000000"/>
          <w:sz w:val="36"/>
        </w:rPr>
      </w:pPr>
    </w:p>
    <w:p w:rsidR="005C3EBE" w:rsidRDefault="005C3EBE">
      <w:pPr>
        <w:pStyle w:val="WPSPlain"/>
        <w:spacing w:line="320" w:lineRule="exact"/>
        <w:ind w:firstLineChars="1750" w:firstLine="5250"/>
        <w:textAlignment w:val="top"/>
        <w:rPr>
          <w:rFonts w:eastAsia="楷体_GB2312"/>
          <w:color w:val="000000"/>
          <w:sz w:val="30"/>
          <w:szCs w:val="30"/>
        </w:rPr>
      </w:pPr>
    </w:p>
    <w:p w:rsidR="005C3EBE" w:rsidRDefault="005C3EBE">
      <w:pPr>
        <w:pStyle w:val="WPSPlain"/>
        <w:spacing w:line="320" w:lineRule="exact"/>
        <w:ind w:firstLineChars="1750" w:firstLine="5250"/>
        <w:textAlignment w:val="top"/>
        <w:rPr>
          <w:rFonts w:eastAsia="楷体_GB2312"/>
          <w:color w:val="000000"/>
          <w:sz w:val="30"/>
          <w:szCs w:val="30"/>
        </w:rPr>
      </w:pPr>
    </w:p>
    <w:p w:rsidR="005C3EBE" w:rsidRDefault="005C3EBE">
      <w:pPr>
        <w:pStyle w:val="WPSPlain"/>
        <w:spacing w:line="320" w:lineRule="exact"/>
        <w:ind w:firstLineChars="1750" w:firstLine="5250"/>
        <w:textAlignment w:val="top"/>
        <w:rPr>
          <w:rFonts w:eastAsia="楷体_GB2312"/>
          <w:color w:val="000000"/>
          <w:sz w:val="30"/>
          <w:szCs w:val="30"/>
        </w:rPr>
      </w:pPr>
    </w:p>
    <w:p w:rsidR="005C3EBE" w:rsidRDefault="005C3EBE">
      <w:pPr>
        <w:pStyle w:val="WPSPlain"/>
        <w:spacing w:line="400" w:lineRule="exact"/>
        <w:jc w:val="both"/>
        <w:textAlignment w:val="top"/>
        <w:rPr>
          <w:rFonts w:eastAsia="楷体_GB2312"/>
          <w:color w:val="000000"/>
          <w:sz w:val="30"/>
          <w:szCs w:val="30"/>
        </w:rPr>
      </w:pPr>
    </w:p>
    <w:p w:rsidR="005C3EBE" w:rsidRDefault="00F14B87">
      <w:pPr>
        <w:pStyle w:val="WPSPlain"/>
        <w:spacing w:afterLines="50" w:after="156" w:line="400" w:lineRule="exact"/>
        <w:jc w:val="right"/>
        <w:textAlignment w:val="top"/>
        <w:rPr>
          <w:rFonts w:ascii="仿宋" w:eastAsia="仿宋" w:hAnsi="仿宋" w:cs="仿宋_GB2312"/>
          <w:bCs/>
          <w:color w:val="000000"/>
          <w:sz w:val="32"/>
          <w:szCs w:val="32"/>
        </w:rPr>
      </w:pPr>
      <w:r>
        <w:rPr>
          <w:rFonts w:eastAsia="楷体_GB2312" w:hint="eastAsia"/>
          <w:color w:val="000000"/>
          <w:sz w:val="30"/>
          <w:szCs w:val="30"/>
        </w:rPr>
        <w:t xml:space="preserve">                                     </w:t>
      </w:r>
      <w:proofErr w:type="gramStart"/>
      <w:r>
        <w:rPr>
          <w:rFonts w:ascii="仿宋" w:eastAsia="仿宋" w:hAnsi="仿宋" w:cs="仿宋_GB2312" w:hint="eastAsia"/>
          <w:bCs/>
          <w:color w:val="000000"/>
          <w:sz w:val="32"/>
          <w:szCs w:val="32"/>
        </w:rPr>
        <w:t>岳环评</w:t>
      </w:r>
      <w:proofErr w:type="gramEnd"/>
      <w:r>
        <w:rPr>
          <w:rFonts w:ascii="仿宋" w:eastAsia="仿宋" w:hAnsi="仿宋" w:cs="仿宋_GB2312" w:hint="eastAsia"/>
          <w:bCs/>
          <w:color w:val="000000"/>
          <w:sz w:val="32"/>
          <w:szCs w:val="32"/>
        </w:rPr>
        <w:t>[2020]</w:t>
      </w:r>
      <w:r w:rsidRPr="00EC44FD">
        <w:rPr>
          <w:rFonts w:ascii="仿宋" w:eastAsia="仿宋" w:hAnsi="仿宋" w:cs="仿宋_GB2312"/>
          <w:bCs/>
          <w:color w:val="000000"/>
          <w:sz w:val="32"/>
          <w:szCs w:val="32"/>
        </w:rPr>
        <w:t>150</w:t>
      </w:r>
      <w:r>
        <w:rPr>
          <w:rFonts w:ascii="仿宋" w:eastAsia="仿宋" w:hAnsi="仿宋" w:cs="仿宋_GB2312" w:hint="eastAsia"/>
          <w:bCs/>
          <w:color w:val="000000"/>
          <w:sz w:val="32"/>
          <w:szCs w:val="32"/>
        </w:rPr>
        <w:t>号</w:t>
      </w:r>
    </w:p>
    <w:p w:rsidR="005C3EBE" w:rsidRDefault="00F14B87">
      <w:pPr>
        <w:autoSpaceDE w:val="0"/>
        <w:autoSpaceDN w:val="0"/>
        <w:adjustRightInd w:val="0"/>
        <w:ind w:left="177" w:firstLineChars="0" w:hanging="177"/>
        <w:jc w:val="center"/>
        <w:rPr>
          <w:rFonts w:ascii="黑体" w:eastAsia="黑体" w:hAnsi="黑体"/>
          <w:b/>
          <w:bCs/>
          <w:sz w:val="36"/>
          <w:szCs w:val="36"/>
        </w:rPr>
      </w:pPr>
      <w:r>
        <w:rPr>
          <w:rFonts w:ascii="黑体" w:eastAsia="黑体" w:hAnsi="黑体" w:hint="eastAsia"/>
          <w:b/>
          <w:bCs/>
          <w:sz w:val="36"/>
          <w:szCs w:val="36"/>
        </w:rPr>
        <w:t>关于</w:t>
      </w:r>
      <w:r>
        <w:rPr>
          <w:rFonts w:ascii="黑体" w:eastAsia="黑体" w:hAnsi="黑体"/>
          <w:b/>
          <w:bCs/>
          <w:sz w:val="36"/>
          <w:szCs w:val="36"/>
        </w:rPr>
        <w:t>岳阳</w:t>
      </w:r>
      <w:proofErr w:type="gramStart"/>
      <w:r>
        <w:rPr>
          <w:rFonts w:ascii="黑体" w:eastAsia="黑体" w:hAnsi="黑体"/>
          <w:b/>
          <w:bCs/>
          <w:sz w:val="36"/>
          <w:szCs w:val="36"/>
        </w:rPr>
        <w:t>新华联富润</w:t>
      </w:r>
      <w:proofErr w:type="gramEnd"/>
      <w:r>
        <w:rPr>
          <w:rFonts w:ascii="黑体" w:eastAsia="黑体" w:hAnsi="黑体"/>
          <w:b/>
          <w:bCs/>
          <w:sz w:val="36"/>
          <w:szCs w:val="36"/>
        </w:rPr>
        <w:t>油库码头工程环境影响报告书</w:t>
      </w:r>
      <w:r>
        <w:rPr>
          <w:rFonts w:ascii="黑体" w:eastAsia="黑体" w:hAnsi="黑体" w:hint="eastAsia"/>
          <w:b/>
          <w:bCs/>
          <w:sz w:val="36"/>
          <w:szCs w:val="36"/>
        </w:rPr>
        <w:t>的</w:t>
      </w:r>
    </w:p>
    <w:p w:rsidR="005C3EBE" w:rsidRDefault="00F14B87">
      <w:pPr>
        <w:autoSpaceDE w:val="0"/>
        <w:autoSpaceDN w:val="0"/>
        <w:adjustRightInd w:val="0"/>
        <w:ind w:left="177" w:firstLineChars="0" w:hanging="177"/>
        <w:jc w:val="center"/>
        <w:rPr>
          <w:rFonts w:ascii="黑体" w:eastAsia="黑体" w:hAnsi="黑体"/>
          <w:b/>
          <w:bCs/>
          <w:sz w:val="36"/>
          <w:szCs w:val="36"/>
        </w:rPr>
      </w:pPr>
      <w:r>
        <w:rPr>
          <w:rFonts w:ascii="黑体" w:eastAsia="黑体" w:hAnsi="黑体" w:hint="eastAsia"/>
          <w:b/>
          <w:bCs/>
          <w:sz w:val="36"/>
          <w:szCs w:val="36"/>
        </w:rPr>
        <w:t>批 复</w:t>
      </w:r>
    </w:p>
    <w:p w:rsidR="005C3EBE" w:rsidRDefault="005C3EBE">
      <w:pPr>
        <w:pStyle w:val="WPSPlain"/>
        <w:spacing w:line="480" w:lineRule="exact"/>
        <w:ind w:left="177" w:hangingChars="49" w:hanging="177"/>
        <w:jc w:val="center"/>
        <w:textAlignment w:val="top"/>
        <w:rPr>
          <w:rFonts w:ascii="黑体" w:eastAsia="黑体" w:hAnsi="黑体" w:cs="黑体"/>
          <w:b/>
          <w:color w:val="FF0000"/>
          <w:sz w:val="36"/>
          <w:szCs w:val="36"/>
        </w:rPr>
      </w:pPr>
    </w:p>
    <w:p w:rsidR="005C3EBE" w:rsidRDefault="00F14B87">
      <w:pPr>
        <w:spacing w:line="460" w:lineRule="exact"/>
        <w:ind w:firstLineChars="6" w:firstLine="19"/>
        <w:jc w:val="both"/>
        <w:rPr>
          <w:rFonts w:eastAsia="仿宋"/>
          <w:sz w:val="32"/>
          <w:szCs w:val="32"/>
        </w:rPr>
      </w:pPr>
      <w:r>
        <w:rPr>
          <w:rFonts w:eastAsia="仿宋"/>
          <w:sz w:val="32"/>
          <w:szCs w:val="32"/>
        </w:rPr>
        <w:t>岳阳</w:t>
      </w:r>
      <w:proofErr w:type="gramStart"/>
      <w:r>
        <w:rPr>
          <w:rFonts w:eastAsia="仿宋"/>
          <w:sz w:val="32"/>
          <w:szCs w:val="32"/>
        </w:rPr>
        <w:t>新华联富润</w:t>
      </w:r>
      <w:proofErr w:type="gramEnd"/>
      <w:r>
        <w:rPr>
          <w:rFonts w:eastAsia="仿宋"/>
          <w:sz w:val="32"/>
          <w:szCs w:val="32"/>
        </w:rPr>
        <w:t>石油化工有限公司</w:t>
      </w:r>
      <w:r>
        <w:rPr>
          <w:rFonts w:eastAsia="仿宋" w:hint="eastAsia"/>
          <w:sz w:val="32"/>
          <w:szCs w:val="32"/>
        </w:rPr>
        <w:t>：</w:t>
      </w:r>
    </w:p>
    <w:p w:rsidR="005C3EBE" w:rsidRDefault="00F14B87">
      <w:pPr>
        <w:spacing w:line="460" w:lineRule="exact"/>
        <w:ind w:firstLine="640"/>
        <w:jc w:val="both"/>
        <w:rPr>
          <w:rFonts w:eastAsia="仿宋"/>
          <w:sz w:val="32"/>
          <w:szCs w:val="32"/>
        </w:rPr>
      </w:pPr>
      <w:r>
        <w:rPr>
          <w:rFonts w:eastAsia="仿宋" w:hint="eastAsia"/>
          <w:sz w:val="32"/>
          <w:szCs w:val="32"/>
        </w:rPr>
        <w:t>你公司《</w:t>
      </w:r>
      <w:r>
        <w:rPr>
          <w:rFonts w:eastAsia="仿宋"/>
          <w:sz w:val="32"/>
          <w:szCs w:val="32"/>
        </w:rPr>
        <w:t>岳阳新华联富润油库码头工程</w:t>
      </w:r>
      <w:r>
        <w:rPr>
          <w:rFonts w:eastAsia="仿宋" w:hint="eastAsia"/>
          <w:sz w:val="32"/>
          <w:szCs w:val="32"/>
        </w:rPr>
        <w:t>环评审批的申请》、岳阳市生态环境</w:t>
      </w:r>
      <w:proofErr w:type="gramStart"/>
      <w:r>
        <w:rPr>
          <w:rFonts w:eastAsia="仿宋" w:hint="eastAsia"/>
          <w:sz w:val="32"/>
          <w:szCs w:val="32"/>
        </w:rPr>
        <w:t>局云溪分局</w:t>
      </w:r>
      <w:proofErr w:type="gramEnd"/>
      <w:r>
        <w:rPr>
          <w:rFonts w:eastAsia="仿宋" w:hint="eastAsia"/>
          <w:sz w:val="32"/>
          <w:szCs w:val="32"/>
        </w:rPr>
        <w:t>的预审意见及有关附件悉收。经研究，批复如下：</w:t>
      </w:r>
    </w:p>
    <w:p w:rsidR="005C3EBE" w:rsidRDefault="00F14B87">
      <w:pPr>
        <w:spacing w:line="460" w:lineRule="exact"/>
        <w:ind w:firstLine="640"/>
        <w:jc w:val="both"/>
        <w:rPr>
          <w:rFonts w:eastAsia="仿宋"/>
          <w:sz w:val="32"/>
          <w:szCs w:val="32"/>
        </w:rPr>
      </w:pPr>
      <w:r>
        <w:rPr>
          <w:rFonts w:eastAsia="仿宋" w:hint="eastAsia"/>
          <w:sz w:val="32"/>
          <w:szCs w:val="32"/>
        </w:rPr>
        <w:t>一、</w:t>
      </w:r>
      <w:r>
        <w:rPr>
          <w:rFonts w:eastAsia="仿宋"/>
          <w:sz w:val="32"/>
          <w:szCs w:val="32"/>
        </w:rPr>
        <w:t>岳阳</w:t>
      </w:r>
      <w:proofErr w:type="gramStart"/>
      <w:r>
        <w:rPr>
          <w:rFonts w:eastAsia="仿宋"/>
          <w:sz w:val="32"/>
          <w:szCs w:val="32"/>
        </w:rPr>
        <w:t>新华联富润</w:t>
      </w:r>
      <w:proofErr w:type="gramEnd"/>
      <w:r>
        <w:rPr>
          <w:rFonts w:eastAsia="仿宋"/>
          <w:sz w:val="32"/>
          <w:szCs w:val="32"/>
        </w:rPr>
        <w:t>石油化工有限公司</w:t>
      </w:r>
      <w:r>
        <w:rPr>
          <w:rFonts w:eastAsia="仿宋" w:hint="eastAsia"/>
          <w:sz w:val="32"/>
          <w:szCs w:val="32"/>
        </w:rPr>
        <w:t>在</w:t>
      </w:r>
      <w:r>
        <w:rPr>
          <w:rFonts w:eastAsia="仿宋"/>
          <w:sz w:val="32"/>
          <w:szCs w:val="32"/>
        </w:rPr>
        <w:t>湖南省岳阳市云溪区道仁矶镇</w:t>
      </w:r>
      <w:proofErr w:type="gramStart"/>
      <w:r>
        <w:rPr>
          <w:rFonts w:eastAsia="仿宋"/>
          <w:sz w:val="32"/>
          <w:szCs w:val="32"/>
        </w:rPr>
        <w:t>滨江村</w:t>
      </w:r>
      <w:proofErr w:type="gramEnd"/>
      <w:r>
        <w:rPr>
          <w:rFonts w:eastAsia="仿宋" w:hint="eastAsia"/>
          <w:sz w:val="32"/>
          <w:szCs w:val="32"/>
        </w:rPr>
        <w:t>建设</w:t>
      </w:r>
      <w:r>
        <w:rPr>
          <w:rFonts w:eastAsia="仿宋"/>
          <w:sz w:val="32"/>
          <w:szCs w:val="32"/>
        </w:rPr>
        <w:t>岳阳</w:t>
      </w:r>
      <w:proofErr w:type="gramStart"/>
      <w:r>
        <w:rPr>
          <w:rFonts w:eastAsia="仿宋"/>
          <w:sz w:val="32"/>
          <w:szCs w:val="32"/>
        </w:rPr>
        <w:t>新华联富润</w:t>
      </w:r>
      <w:proofErr w:type="gramEnd"/>
      <w:r>
        <w:rPr>
          <w:rFonts w:eastAsia="仿宋"/>
          <w:sz w:val="32"/>
          <w:szCs w:val="32"/>
        </w:rPr>
        <w:t>油库码头工程</w:t>
      </w:r>
      <w:r>
        <w:rPr>
          <w:rFonts w:eastAsia="仿宋" w:hint="eastAsia"/>
          <w:sz w:val="32"/>
          <w:szCs w:val="32"/>
        </w:rPr>
        <w:t>，项目总投资</w:t>
      </w:r>
      <w:r>
        <w:rPr>
          <w:rFonts w:eastAsia="仿宋" w:hint="eastAsia"/>
          <w:sz w:val="32"/>
          <w:szCs w:val="32"/>
        </w:rPr>
        <w:t>9700</w:t>
      </w:r>
      <w:r>
        <w:rPr>
          <w:rFonts w:eastAsia="仿宋" w:hint="eastAsia"/>
          <w:sz w:val="32"/>
          <w:szCs w:val="32"/>
        </w:rPr>
        <w:t>万元，其中环保投资</w:t>
      </w:r>
      <w:r>
        <w:rPr>
          <w:rFonts w:eastAsia="仿宋" w:hint="eastAsia"/>
          <w:sz w:val="32"/>
          <w:szCs w:val="32"/>
        </w:rPr>
        <w:t>182.8</w:t>
      </w:r>
      <w:r>
        <w:rPr>
          <w:rFonts w:eastAsia="仿宋" w:hint="eastAsia"/>
          <w:sz w:val="32"/>
          <w:szCs w:val="32"/>
        </w:rPr>
        <w:t>万元，总占地面积</w:t>
      </w:r>
      <w:r>
        <w:rPr>
          <w:rFonts w:eastAsia="仿宋" w:hint="eastAsia"/>
          <w:sz w:val="32"/>
          <w:szCs w:val="32"/>
        </w:rPr>
        <w:t>0.2hm</w:t>
      </w:r>
      <w:r>
        <w:rPr>
          <w:rFonts w:eastAsia="仿宋" w:hint="eastAsia"/>
          <w:sz w:val="32"/>
          <w:szCs w:val="32"/>
          <w:vertAlign w:val="superscript"/>
        </w:rPr>
        <w:t>2</w:t>
      </w:r>
      <w:r>
        <w:rPr>
          <w:rFonts w:eastAsia="仿宋" w:hint="eastAsia"/>
          <w:sz w:val="32"/>
          <w:szCs w:val="32"/>
        </w:rPr>
        <w:t>，</w:t>
      </w:r>
      <w:r>
        <w:rPr>
          <w:rFonts w:eastAsia="仿宋"/>
          <w:sz w:val="32"/>
          <w:szCs w:val="32"/>
        </w:rPr>
        <w:t>设计吞吐量</w:t>
      </w:r>
      <w:r>
        <w:rPr>
          <w:rFonts w:eastAsia="仿宋" w:hint="eastAsia"/>
          <w:sz w:val="32"/>
          <w:szCs w:val="32"/>
        </w:rPr>
        <w:t>137</w:t>
      </w:r>
      <w:r>
        <w:rPr>
          <w:rFonts w:eastAsia="仿宋" w:hint="eastAsia"/>
          <w:sz w:val="32"/>
          <w:szCs w:val="32"/>
        </w:rPr>
        <w:t>万</w:t>
      </w:r>
      <w:r>
        <w:rPr>
          <w:rFonts w:eastAsia="仿宋" w:hint="eastAsia"/>
          <w:sz w:val="32"/>
          <w:szCs w:val="32"/>
        </w:rPr>
        <w:t>t</w:t>
      </w:r>
      <w:r>
        <w:rPr>
          <w:rFonts w:eastAsia="仿宋" w:hint="eastAsia"/>
          <w:sz w:val="32"/>
          <w:szCs w:val="32"/>
        </w:rPr>
        <w:t>，主要运输货种为柴油和汽油，不涉及其他化工产品。项目主要建设内容包括：拆除现有泊位，新建</w:t>
      </w:r>
      <w:r>
        <w:rPr>
          <w:rFonts w:eastAsia="仿宋"/>
          <w:sz w:val="32"/>
          <w:szCs w:val="32"/>
        </w:rPr>
        <w:t>2</w:t>
      </w:r>
      <w:r>
        <w:rPr>
          <w:rFonts w:eastAsia="仿宋"/>
          <w:sz w:val="32"/>
          <w:szCs w:val="32"/>
        </w:rPr>
        <w:t>个</w:t>
      </w:r>
      <w:r>
        <w:rPr>
          <w:rFonts w:eastAsia="仿宋"/>
          <w:sz w:val="32"/>
          <w:szCs w:val="32"/>
        </w:rPr>
        <w:t>3000t</w:t>
      </w:r>
      <w:r>
        <w:rPr>
          <w:rFonts w:eastAsia="仿宋"/>
          <w:sz w:val="32"/>
          <w:szCs w:val="32"/>
        </w:rPr>
        <w:t>级（洪水时兼顾</w:t>
      </w:r>
      <w:r>
        <w:rPr>
          <w:rFonts w:eastAsia="仿宋"/>
          <w:sz w:val="32"/>
          <w:szCs w:val="32"/>
        </w:rPr>
        <w:t>5000t</w:t>
      </w:r>
      <w:r>
        <w:rPr>
          <w:rFonts w:eastAsia="仿宋"/>
          <w:sz w:val="32"/>
          <w:szCs w:val="32"/>
        </w:rPr>
        <w:t>级）泊位以及</w:t>
      </w:r>
      <w:r>
        <w:rPr>
          <w:rFonts w:eastAsia="仿宋"/>
          <w:sz w:val="32"/>
          <w:szCs w:val="32"/>
        </w:rPr>
        <w:t>1495.4m</w:t>
      </w:r>
      <w:r>
        <w:rPr>
          <w:rFonts w:eastAsia="仿宋"/>
          <w:sz w:val="32"/>
          <w:szCs w:val="32"/>
        </w:rPr>
        <w:t>长的综合管线工程</w:t>
      </w:r>
      <w:r>
        <w:rPr>
          <w:rFonts w:eastAsia="仿宋" w:hint="eastAsia"/>
          <w:sz w:val="32"/>
          <w:szCs w:val="32"/>
        </w:rPr>
        <w:t>；该项目选址符合《岳阳港总体规划》。根据湖南天瑶环境技术有限公司编制的《</w:t>
      </w:r>
      <w:r>
        <w:rPr>
          <w:rFonts w:eastAsia="仿宋"/>
          <w:sz w:val="32"/>
          <w:szCs w:val="32"/>
        </w:rPr>
        <w:t>岳阳新华联富润油库码头工程环境影响报告书</w:t>
      </w:r>
      <w:r>
        <w:rPr>
          <w:rFonts w:eastAsia="仿宋" w:hint="eastAsia"/>
          <w:sz w:val="32"/>
          <w:szCs w:val="32"/>
        </w:rPr>
        <w:t>（报批稿）》基本内容、结论、专家评审意见及岳阳市生态环境</w:t>
      </w:r>
      <w:proofErr w:type="gramStart"/>
      <w:r>
        <w:rPr>
          <w:rFonts w:eastAsia="仿宋" w:hint="eastAsia"/>
          <w:sz w:val="32"/>
          <w:szCs w:val="32"/>
        </w:rPr>
        <w:t>局云溪分局</w:t>
      </w:r>
      <w:proofErr w:type="gramEnd"/>
      <w:r>
        <w:rPr>
          <w:rFonts w:eastAsia="仿宋" w:hint="eastAsia"/>
          <w:sz w:val="32"/>
          <w:szCs w:val="32"/>
        </w:rPr>
        <w:t>预审意见，</w:t>
      </w:r>
      <w:r>
        <w:rPr>
          <w:rFonts w:ascii="仿宋" w:eastAsia="仿宋" w:hAnsi="仿宋" w:hint="eastAsia"/>
          <w:kern w:val="2"/>
          <w:sz w:val="32"/>
          <w:szCs w:val="32"/>
        </w:rPr>
        <w:t>综合考虑，</w:t>
      </w:r>
      <w:r>
        <w:rPr>
          <w:rFonts w:ascii="仿宋" w:eastAsia="仿宋" w:hAnsi="仿宋" w:cs="仿宋_GB2312" w:hint="eastAsia"/>
          <w:sz w:val="32"/>
          <w:szCs w:val="32"/>
        </w:rPr>
        <w:t>我局原则同意你公司环境影响报告书中的环境影响评价结论和环境保护对策措施</w:t>
      </w:r>
      <w:r>
        <w:rPr>
          <w:rFonts w:ascii="仿宋" w:eastAsia="仿宋" w:hAnsi="仿宋" w:hint="eastAsia"/>
          <w:kern w:val="2"/>
          <w:sz w:val="32"/>
          <w:szCs w:val="32"/>
        </w:rPr>
        <w:t>。</w:t>
      </w:r>
    </w:p>
    <w:p w:rsidR="005C3EBE" w:rsidRDefault="00F14B87">
      <w:pPr>
        <w:spacing w:line="460" w:lineRule="exact"/>
        <w:ind w:firstLine="640"/>
        <w:jc w:val="both"/>
        <w:rPr>
          <w:rFonts w:eastAsia="仿宋"/>
          <w:sz w:val="32"/>
          <w:szCs w:val="32"/>
        </w:rPr>
      </w:pPr>
      <w:r>
        <w:rPr>
          <w:rFonts w:eastAsia="仿宋" w:hint="eastAsia"/>
          <w:sz w:val="32"/>
          <w:szCs w:val="32"/>
        </w:rPr>
        <w:t>二、认真落实专家及环境影响报告书中提出的各项污染防治措施，并应着重注意以下问题：</w:t>
      </w:r>
    </w:p>
    <w:p w:rsidR="005C3EBE" w:rsidRDefault="00F14B87">
      <w:pPr>
        <w:spacing w:line="460" w:lineRule="exact"/>
        <w:ind w:firstLine="640"/>
        <w:jc w:val="both"/>
        <w:rPr>
          <w:rFonts w:eastAsia="仿宋"/>
          <w:sz w:val="32"/>
          <w:szCs w:val="32"/>
        </w:rPr>
      </w:pPr>
      <w:r>
        <w:rPr>
          <w:rFonts w:eastAsia="仿宋" w:hint="eastAsia"/>
          <w:sz w:val="32"/>
          <w:szCs w:val="32"/>
        </w:rPr>
        <w:t>1</w:t>
      </w:r>
      <w:r>
        <w:rPr>
          <w:rFonts w:eastAsia="仿宋" w:hint="eastAsia"/>
          <w:sz w:val="32"/>
          <w:szCs w:val="32"/>
        </w:rPr>
        <w:t>、加强废气污染防治工作。项目运营期废气主要为船舶装</w:t>
      </w:r>
      <w:bookmarkStart w:id="0" w:name="_GoBack"/>
      <w:bookmarkEnd w:id="0"/>
      <w:r>
        <w:rPr>
          <w:rFonts w:eastAsia="仿宋" w:hint="eastAsia"/>
          <w:sz w:val="32"/>
          <w:szCs w:val="32"/>
        </w:rPr>
        <w:t>卸废气、船舶停港期间燃油废气、吹扫废气、跑冒滴漏等废气。</w:t>
      </w:r>
      <w:r>
        <w:rPr>
          <w:rFonts w:eastAsia="仿宋" w:hint="eastAsia"/>
          <w:sz w:val="32"/>
          <w:szCs w:val="32"/>
        </w:rPr>
        <w:lastRenderedPageBreak/>
        <w:t>船舶装卸废气经收集后依托岸上库区的油气回收处理系统处理后排放。船舶停港期间燃油废气、吹扫废气以及跑冒滴漏废气产生量很少</w:t>
      </w:r>
      <w:r>
        <w:rPr>
          <w:rFonts w:hint="eastAsia"/>
          <w:sz w:val="32"/>
          <w:szCs w:val="32"/>
        </w:rPr>
        <w:t>，</w:t>
      </w:r>
      <w:r>
        <w:rPr>
          <w:rFonts w:eastAsia="仿宋" w:hint="eastAsia"/>
          <w:sz w:val="32"/>
          <w:szCs w:val="32"/>
        </w:rPr>
        <w:t>项目外排废气须满足《大气污染物综合排放标准》（</w:t>
      </w:r>
      <w:r>
        <w:rPr>
          <w:rFonts w:eastAsia="仿宋" w:hint="eastAsia"/>
          <w:sz w:val="32"/>
          <w:szCs w:val="32"/>
        </w:rPr>
        <w:t>GB16297-1996</w:t>
      </w:r>
      <w:r>
        <w:rPr>
          <w:rFonts w:eastAsia="仿宋" w:hint="eastAsia"/>
          <w:sz w:val="32"/>
          <w:szCs w:val="32"/>
        </w:rPr>
        <w:t>）中无组织排放监控浓度限值要求。</w:t>
      </w:r>
    </w:p>
    <w:p w:rsidR="005C3EBE" w:rsidRDefault="00F14B87">
      <w:pPr>
        <w:spacing w:line="460" w:lineRule="exact"/>
        <w:ind w:firstLine="640"/>
        <w:jc w:val="both"/>
        <w:rPr>
          <w:rFonts w:eastAsia="仿宋"/>
          <w:sz w:val="32"/>
          <w:szCs w:val="32"/>
        </w:rPr>
      </w:pPr>
      <w:r>
        <w:rPr>
          <w:rFonts w:eastAsia="仿宋" w:hint="eastAsia"/>
          <w:sz w:val="32"/>
          <w:szCs w:val="32"/>
        </w:rPr>
        <w:t>2</w:t>
      </w:r>
      <w:r>
        <w:rPr>
          <w:rFonts w:eastAsia="仿宋" w:hint="eastAsia"/>
          <w:sz w:val="32"/>
          <w:szCs w:val="32"/>
        </w:rPr>
        <w:t>、加强废水污染防治工作。</w:t>
      </w:r>
      <w:r>
        <w:rPr>
          <w:rFonts w:eastAsia="仿宋"/>
          <w:sz w:val="32"/>
          <w:szCs w:val="32"/>
        </w:rPr>
        <w:t>项目外排废水种类包括含油废水</w:t>
      </w:r>
      <w:r>
        <w:rPr>
          <w:rFonts w:eastAsia="仿宋" w:hint="eastAsia"/>
          <w:sz w:val="32"/>
          <w:szCs w:val="32"/>
        </w:rPr>
        <w:t>（</w:t>
      </w:r>
      <w:r>
        <w:rPr>
          <w:rFonts w:eastAsia="仿宋"/>
          <w:sz w:val="32"/>
          <w:szCs w:val="32"/>
        </w:rPr>
        <w:t>船舶含油废水、冲洗废水、初期雨水</w:t>
      </w:r>
      <w:r>
        <w:rPr>
          <w:rFonts w:eastAsia="仿宋" w:hint="eastAsia"/>
          <w:sz w:val="32"/>
          <w:szCs w:val="32"/>
        </w:rPr>
        <w:t>）和</w:t>
      </w:r>
      <w:r>
        <w:rPr>
          <w:rFonts w:eastAsia="仿宋"/>
          <w:sz w:val="32"/>
          <w:szCs w:val="32"/>
        </w:rPr>
        <w:t>船舶生活污水等。</w:t>
      </w:r>
      <w:r>
        <w:rPr>
          <w:rFonts w:eastAsia="仿宋" w:hint="eastAsia"/>
          <w:sz w:val="32"/>
          <w:szCs w:val="32"/>
        </w:rPr>
        <w:t>在市政污水管网建成前，</w:t>
      </w:r>
      <w:r>
        <w:rPr>
          <w:rFonts w:eastAsia="仿宋"/>
          <w:sz w:val="32"/>
          <w:szCs w:val="32"/>
        </w:rPr>
        <w:t>船舶含油废水</w:t>
      </w:r>
      <w:r>
        <w:rPr>
          <w:rFonts w:eastAsia="仿宋" w:hint="eastAsia"/>
          <w:sz w:val="32"/>
          <w:szCs w:val="32"/>
        </w:rPr>
        <w:t>（</w:t>
      </w:r>
      <w:r>
        <w:rPr>
          <w:rFonts w:eastAsia="仿宋"/>
          <w:sz w:val="32"/>
          <w:szCs w:val="32"/>
        </w:rPr>
        <w:t>船舶含油废水、冲洗废水、初期雨水</w:t>
      </w:r>
      <w:r>
        <w:rPr>
          <w:rFonts w:eastAsia="仿宋" w:hint="eastAsia"/>
          <w:sz w:val="32"/>
          <w:szCs w:val="32"/>
        </w:rPr>
        <w:t>）依托</w:t>
      </w:r>
      <w:r>
        <w:rPr>
          <w:rFonts w:eastAsia="仿宋"/>
          <w:sz w:val="32"/>
          <w:szCs w:val="32"/>
        </w:rPr>
        <w:t>仓储区的含油废水处理站处理</w:t>
      </w:r>
      <w:r>
        <w:rPr>
          <w:rFonts w:eastAsia="仿宋" w:hint="eastAsia"/>
          <w:sz w:val="32"/>
          <w:szCs w:val="32"/>
        </w:rPr>
        <w:t>、</w:t>
      </w:r>
      <w:r>
        <w:rPr>
          <w:rFonts w:eastAsia="仿宋"/>
          <w:sz w:val="32"/>
          <w:szCs w:val="32"/>
        </w:rPr>
        <w:t>船舶生活污水</w:t>
      </w:r>
      <w:r>
        <w:rPr>
          <w:rFonts w:eastAsia="仿宋" w:hint="eastAsia"/>
          <w:sz w:val="32"/>
          <w:szCs w:val="32"/>
        </w:rPr>
        <w:t>依托</w:t>
      </w:r>
      <w:r>
        <w:rPr>
          <w:rFonts w:eastAsia="仿宋"/>
          <w:sz w:val="32"/>
          <w:szCs w:val="32"/>
        </w:rPr>
        <w:t>库区</w:t>
      </w:r>
      <w:r>
        <w:rPr>
          <w:rFonts w:eastAsia="仿宋" w:hint="eastAsia"/>
          <w:sz w:val="32"/>
          <w:szCs w:val="32"/>
        </w:rPr>
        <w:t>化粪池处理满足云溪区污水处理厂的接收标准后经槽罐车送至云溪区污水处理厂进行深度处理；市政管网建成后，</w:t>
      </w:r>
      <w:r>
        <w:rPr>
          <w:rFonts w:eastAsia="仿宋"/>
          <w:sz w:val="32"/>
          <w:szCs w:val="32"/>
        </w:rPr>
        <w:t>船舶含油废水</w:t>
      </w:r>
      <w:r>
        <w:rPr>
          <w:rFonts w:eastAsia="仿宋" w:hint="eastAsia"/>
          <w:sz w:val="32"/>
          <w:szCs w:val="32"/>
        </w:rPr>
        <w:t>（</w:t>
      </w:r>
      <w:r>
        <w:rPr>
          <w:rFonts w:eastAsia="仿宋"/>
          <w:sz w:val="32"/>
          <w:szCs w:val="32"/>
        </w:rPr>
        <w:t>船舶含油废水、冲洗废水、初期雨水</w:t>
      </w:r>
      <w:r>
        <w:rPr>
          <w:rFonts w:eastAsia="仿宋" w:hint="eastAsia"/>
          <w:sz w:val="32"/>
          <w:szCs w:val="32"/>
        </w:rPr>
        <w:t>）依托</w:t>
      </w:r>
      <w:r>
        <w:rPr>
          <w:rFonts w:eastAsia="仿宋"/>
          <w:sz w:val="32"/>
          <w:szCs w:val="32"/>
        </w:rPr>
        <w:t>仓储区的含油废水处理站处理</w:t>
      </w:r>
      <w:r>
        <w:rPr>
          <w:rFonts w:eastAsia="仿宋" w:hint="eastAsia"/>
          <w:sz w:val="32"/>
          <w:szCs w:val="32"/>
        </w:rPr>
        <w:t>、</w:t>
      </w:r>
      <w:r>
        <w:rPr>
          <w:rFonts w:eastAsia="仿宋"/>
          <w:sz w:val="32"/>
          <w:szCs w:val="32"/>
        </w:rPr>
        <w:t>船舶生活污水</w:t>
      </w:r>
      <w:r>
        <w:rPr>
          <w:rFonts w:eastAsia="仿宋" w:hint="eastAsia"/>
          <w:sz w:val="32"/>
          <w:szCs w:val="32"/>
        </w:rPr>
        <w:t>依托</w:t>
      </w:r>
      <w:r>
        <w:rPr>
          <w:rFonts w:eastAsia="仿宋"/>
          <w:sz w:val="32"/>
          <w:szCs w:val="32"/>
        </w:rPr>
        <w:t>库区</w:t>
      </w:r>
      <w:r>
        <w:rPr>
          <w:rFonts w:eastAsia="仿宋" w:hint="eastAsia"/>
          <w:sz w:val="32"/>
          <w:szCs w:val="32"/>
        </w:rPr>
        <w:t>化粪池处理满足《污水综合排放标准》（</w:t>
      </w:r>
      <w:r>
        <w:rPr>
          <w:rFonts w:eastAsia="仿宋" w:hint="eastAsia"/>
          <w:sz w:val="32"/>
          <w:szCs w:val="32"/>
        </w:rPr>
        <w:t>GB8978-1996</w:t>
      </w:r>
      <w:r>
        <w:rPr>
          <w:rFonts w:eastAsia="仿宋" w:hint="eastAsia"/>
          <w:sz w:val="32"/>
          <w:szCs w:val="32"/>
        </w:rPr>
        <w:t>）中三级标准以及云溪区污水处理厂的接收标准后经市政污水管网排入云溪区污水处理厂进行深度处理。</w:t>
      </w:r>
    </w:p>
    <w:p w:rsidR="005C3EBE" w:rsidRDefault="00F14B87">
      <w:pPr>
        <w:spacing w:line="460" w:lineRule="exact"/>
        <w:ind w:firstLine="640"/>
        <w:jc w:val="both"/>
        <w:rPr>
          <w:rFonts w:eastAsia="仿宋"/>
          <w:sz w:val="32"/>
          <w:szCs w:val="32"/>
        </w:rPr>
      </w:pPr>
      <w:r>
        <w:rPr>
          <w:rFonts w:eastAsia="仿宋" w:hint="eastAsia"/>
          <w:sz w:val="32"/>
          <w:szCs w:val="32"/>
        </w:rPr>
        <w:t>3</w:t>
      </w:r>
      <w:r>
        <w:rPr>
          <w:rFonts w:eastAsia="仿宋" w:hint="eastAsia"/>
          <w:sz w:val="32"/>
          <w:szCs w:val="32"/>
        </w:rPr>
        <w:t>、加强噪声污染防治工作。采用低噪声设备、</w:t>
      </w:r>
      <w:r>
        <w:rPr>
          <w:rFonts w:eastAsia="仿宋"/>
          <w:sz w:val="32"/>
          <w:szCs w:val="32"/>
        </w:rPr>
        <w:t>隔音、消声、降噪、减振措施</w:t>
      </w:r>
      <w:r>
        <w:rPr>
          <w:rFonts w:eastAsia="仿宋" w:hint="eastAsia"/>
          <w:sz w:val="32"/>
          <w:szCs w:val="32"/>
        </w:rPr>
        <w:t>，</w:t>
      </w:r>
      <w:r>
        <w:rPr>
          <w:rFonts w:eastAsia="仿宋"/>
          <w:sz w:val="32"/>
          <w:szCs w:val="32"/>
        </w:rPr>
        <w:t>确保厂界噪声能够满足</w:t>
      </w:r>
      <w:r>
        <w:rPr>
          <w:rFonts w:eastAsia="仿宋" w:hint="eastAsia"/>
          <w:sz w:val="32"/>
          <w:szCs w:val="32"/>
        </w:rPr>
        <w:t>《工业企业厂界环境噪声排放标准》（</w:t>
      </w:r>
      <w:r>
        <w:rPr>
          <w:rFonts w:eastAsia="仿宋" w:hint="eastAsia"/>
          <w:sz w:val="32"/>
          <w:szCs w:val="32"/>
        </w:rPr>
        <w:t>GB12348-2008</w:t>
      </w:r>
      <w:r>
        <w:rPr>
          <w:rFonts w:eastAsia="仿宋" w:hint="eastAsia"/>
          <w:sz w:val="32"/>
          <w:szCs w:val="32"/>
        </w:rPr>
        <w:t>）中的</w:t>
      </w:r>
      <w:r>
        <w:rPr>
          <w:rFonts w:eastAsia="仿宋" w:hint="eastAsia"/>
          <w:sz w:val="32"/>
          <w:szCs w:val="32"/>
        </w:rPr>
        <w:t>2</w:t>
      </w:r>
      <w:r>
        <w:rPr>
          <w:rFonts w:eastAsia="仿宋" w:hint="eastAsia"/>
          <w:sz w:val="32"/>
          <w:szCs w:val="32"/>
        </w:rPr>
        <w:t>类、</w:t>
      </w:r>
      <w:r>
        <w:rPr>
          <w:rFonts w:eastAsia="仿宋" w:hint="eastAsia"/>
          <w:sz w:val="32"/>
          <w:szCs w:val="32"/>
        </w:rPr>
        <w:t>4</w:t>
      </w:r>
      <w:r>
        <w:rPr>
          <w:rFonts w:eastAsia="仿宋" w:hint="eastAsia"/>
          <w:sz w:val="32"/>
          <w:szCs w:val="32"/>
        </w:rPr>
        <w:t>类标准要求。</w:t>
      </w:r>
    </w:p>
    <w:p w:rsidR="005C3EBE" w:rsidRDefault="00F14B87">
      <w:pPr>
        <w:spacing w:line="460" w:lineRule="exact"/>
        <w:ind w:firstLine="640"/>
        <w:jc w:val="both"/>
        <w:rPr>
          <w:rFonts w:eastAsia="仿宋"/>
          <w:sz w:val="32"/>
          <w:szCs w:val="32"/>
        </w:rPr>
      </w:pPr>
      <w:r>
        <w:rPr>
          <w:rFonts w:eastAsia="仿宋" w:hint="eastAsia"/>
          <w:sz w:val="32"/>
          <w:szCs w:val="32"/>
        </w:rPr>
        <w:t>4</w:t>
      </w:r>
      <w:r>
        <w:rPr>
          <w:rFonts w:eastAsia="仿宋" w:hint="eastAsia"/>
          <w:sz w:val="32"/>
          <w:szCs w:val="32"/>
        </w:rPr>
        <w:t>、加强固体废物防治工作。</w:t>
      </w:r>
      <w:r>
        <w:rPr>
          <w:rFonts w:ascii="仿宋" w:eastAsia="仿宋" w:hAnsi="仿宋" w:hint="eastAsia"/>
          <w:color w:val="000000"/>
          <w:sz w:val="32"/>
          <w:szCs w:val="32"/>
        </w:rPr>
        <w:t>按“无害化、减量化、资源化”原则，做好固体分类收集、暂存工作，建立健全固体废物产生、转运、处置管理台帐。</w:t>
      </w:r>
      <w:r>
        <w:rPr>
          <w:rFonts w:eastAsia="仿宋"/>
          <w:sz w:val="32"/>
          <w:szCs w:val="32"/>
        </w:rPr>
        <w:t>维护性疏浚泥属于一般工业固体废物</w:t>
      </w:r>
      <w:r>
        <w:rPr>
          <w:rFonts w:eastAsia="仿宋" w:hint="eastAsia"/>
          <w:sz w:val="32"/>
          <w:szCs w:val="32"/>
        </w:rPr>
        <w:t>，</w:t>
      </w:r>
      <w:r>
        <w:rPr>
          <w:rFonts w:eastAsia="仿宋"/>
          <w:sz w:val="32"/>
          <w:szCs w:val="32"/>
        </w:rPr>
        <w:t>按照</w:t>
      </w:r>
      <w:r>
        <w:rPr>
          <w:rFonts w:eastAsia="仿宋" w:hint="eastAsia"/>
          <w:sz w:val="32"/>
          <w:szCs w:val="32"/>
        </w:rPr>
        <w:t>《一般工业固体废物贮存、处置场污染控制标准》（</w:t>
      </w:r>
      <w:r>
        <w:rPr>
          <w:rFonts w:eastAsia="仿宋" w:hint="eastAsia"/>
          <w:sz w:val="32"/>
          <w:szCs w:val="32"/>
        </w:rPr>
        <w:t>GB18599-2001</w:t>
      </w:r>
      <w:r>
        <w:rPr>
          <w:rFonts w:eastAsia="仿宋" w:hint="eastAsia"/>
          <w:sz w:val="32"/>
          <w:szCs w:val="32"/>
        </w:rPr>
        <w:t>）及</w:t>
      </w:r>
      <w:r>
        <w:rPr>
          <w:rFonts w:eastAsia="仿宋" w:hint="eastAsia"/>
          <w:sz w:val="32"/>
          <w:szCs w:val="32"/>
        </w:rPr>
        <w:t>2013</w:t>
      </w:r>
      <w:r>
        <w:rPr>
          <w:rFonts w:eastAsia="仿宋" w:hint="eastAsia"/>
          <w:sz w:val="32"/>
          <w:szCs w:val="32"/>
        </w:rPr>
        <w:t>年修改单的要求贮存，定期送指定抛泥点处置；含油</w:t>
      </w:r>
      <w:r>
        <w:rPr>
          <w:rFonts w:eastAsia="仿宋"/>
          <w:sz w:val="32"/>
          <w:szCs w:val="32"/>
        </w:rPr>
        <w:t>手套及抹布</w:t>
      </w:r>
      <w:r>
        <w:rPr>
          <w:rFonts w:eastAsia="仿宋" w:hint="eastAsia"/>
          <w:sz w:val="32"/>
          <w:szCs w:val="32"/>
        </w:rPr>
        <w:t>、污水处理站污泥</w:t>
      </w:r>
      <w:proofErr w:type="gramStart"/>
      <w:r>
        <w:rPr>
          <w:rFonts w:eastAsia="仿宋" w:hint="eastAsia"/>
          <w:sz w:val="32"/>
          <w:szCs w:val="32"/>
        </w:rPr>
        <w:t>属危险</w:t>
      </w:r>
      <w:proofErr w:type="gramEnd"/>
      <w:r>
        <w:rPr>
          <w:rFonts w:eastAsia="仿宋" w:hint="eastAsia"/>
          <w:sz w:val="32"/>
          <w:szCs w:val="32"/>
        </w:rPr>
        <w:t>废物，应严格按照《危险废物贮存污染控制标准》（</w:t>
      </w:r>
      <w:r>
        <w:rPr>
          <w:rFonts w:eastAsia="仿宋" w:hint="eastAsia"/>
          <w:sz w:val="32"/>
          <w:szCs w:val="32"/>
        </w:rPr>
        <w:t>GB18597-2001</w:t>
      </w:r>
      <w:r>
        <w:rPr>
          <w:rFonts w:eastAsia="仿宋" w:hint="eastAsia"/>
          <w:sz w:val="32"/>
          <w:szCs w:val="32"/>
        </w:rPr>
        <w:t>）及</w:t>
      </w:r>
      <w:r>
        <w:rPr>
          <w:rFonts w:eastAsia="仿宋" w:hint="eastAsia"/>
          <w:sz w:val="32"/>
          <w:szCs w:val="32"/>
        </w:rPr>
        <w:t>2013</w:t>
      </w:r>
      <w:r>
        <w:rPr>
          <w:rFonts w:eastAsia="仿宋" w:hint="eastAsia"/>
          <w:sz w:val="32"/>
          <w:szCs w:val="32"/>
        </w:rPr>
        <w:t>年修改</w:t>
      </w:r>
      <w:proofErr w:type="gramStart"/>
      <w:r>
        <w:rPr>
          <w:rFonts w:eastAsia="仿宋" w:hint="eastAsia"/>
          <w:sz w:val="32"/>
          <w:szCs w:val="32"/>
        </w:rPr>
        <w:t>单要求</w:t>
      </w:r>
      <w:proofErr w:type="gramEnd"/>
      <w:r>
        <w:rPr>
          <w:rFonts w:eastAsia="仿宋" w:hint="eastAsia"/>
          <w:sz w:val="32"/>
          <w:szCs w:val="32"/>
        </w:rPr>
        <w:t>暂存，定期交有资质单位处置；</w:t>
      </w:r>
      <w:r>
        <w:rPr>
          <w:rFonts w:eastAsia="仿宋"/>
          <w:sz w:val="32"/>
          <w:szCs w:val="32"/>
        </w:rPr>
        <w:t>到港船舶生活垃圾经后方库区垃圾箱收集后交由环卫部门处理。</w:t>
      </w:r>
    </w:p>
    <w:p w:rsidR="005C3EBE" w:rsidRDefault="00F14B87">
      <w:pPr>
        <w:spacing w:line="460" w:lineRule="exact"/>
        <w:ind w:firstLine="640"/>
        <w:jc w:val="both"/>
        <w:rPr>
          <w:rFonts w:eastAsia="仿宋"/>
          <w:sz w:val="32"/>
          <w:szCs w:val="32"/>
        </w:rPr>
      </w:pPr>
      <w:r>
        <w:rPr>
          <w:rFonts w:eastAsia="仿宋" w:hint="eastAsia"/>
          <w:sz w:val="32"/>
          <w:szCs w:val="32"/>
        </w:rPr>
        <w:t>5</w:t>
      </w:r>
      <w:r>
        <w:rPr>
          <w:rFonts w:eastAsia="仿宋" w:hint="eastAsia"/>
          <w:sz w:val="32"/>
          <w:szCs w:val="32"/>
        </w:rPr>
        <w:t>、加强运营</w:t>
      </w:r>
      <w:proofErr w:type="gramStart"/>
      <w:r>
        <w:rPr>
          <w:rFonts w:eastAsia="仿宋" w:hint="eastAsia"/>
          <w:sz w:val="32"/>
          <w:szCs w:val="32"/>
        </w:rPr>
        <w:t>期环境</w:t>
      </w:r>
      <w:proofErr w:type="gramEnd"/>
      <w:r>
        <w:rPr>
          <w:rFonts w:eastAsia="仿宋" w:hint="eastAsia"/>
          <w:sz w:val="32"/>
          <w:szCs w:val="32"/>
        </w:rPr>
        <w:t>风险防范。严格落实报告书提出的各项环境风险防范措施，按照《突发环境事件应急管理办法》编制突发环境事件应急预案，储备风险救助物资并组织演练，杜绝</w:t>
      </w:r>
      <w:r>
        <w:rPr>
          <w:rFonts w:eastAsia="仿宋" w:hint="eastAsia"/>
          <w:sz w:val="32"/>
          <w:szCs w:val="32"/>
        </w:rPr>
        <w:lastRenderedPageBreak/>
        <w:t>环境风险事故发生。</w:t>
      </w:r>
    </w:p>
    <w:p w:rsidR="005C3EBE" w:rsidRDefault="00F14B87">
      <w:pPr>
        <w:spacing w:line="460" w:lineRule="exact"/>
        <w:ind w:firstLine="640"/>
        <w:jc w:val="both"/>
        <w:rPr>
          <w:rFonts w:eastAsia="仿宋"/>
          <w:sz w:val="32"/>
          <w:szCs w:val="32"/>
        </w:rPr>
      </w:pPr>
      <w:r>
        <w:rPr>
          <w:rFonts w:eastAsia="仿宋" w:hint="eastAsia"/>
          <w:sz w:val="32"/>
          <w:szCs w:val="32"/>
        </w:rPr>
        <w:t>6</w:t>
      </w:r>
      <w:r>
        <w:rPr>
          <w:rFonts w:eastAsia="仿宋" w:hAnsi="仿宋"/>
          <w:sz w:val="32"/>
          <w:szCs w:val="32"/>
        </w:rPr>
        <w:t>、加强环境管理，建立健全的污染防治设施运行管理台帐，设专门的环保机构，配备专人负责环保工作，确保各项污染防治设施正常运行，各类污染物稳定达标排放。</w:t>
      </w:r>
    </w:p>
    <w:p w:rsidR="005C3EBE" w:rsidRDefault="00F14B87">
      <w:pPr>
        <w:spacing w:line="460" w:lineRule="exact"/>
        <w:ind w:firstLine="640"/>
        <w:jc w:val="both"/>
        <w:rPr>
          <w:rFonts w:eastAsia="仿宋"/>
          <w:sz w:val="32"/>
          <w:szCs w:val="32"/>
        </w:rPr>
      </w:pPr>
      <w:r>
        <w:rPr>
          <w:rFonts w:eastAsia="仿宋" w:hAnsi="仿宋"/>
          <w:sz w:val="32"/>
          <w:szCs w:val="32"/>
        </w:rPr>
        <w:t>三、你公司应收到本批复后</w:t>
      </w:r>
      <w:r>
        <w:rPr>
          <w:rFonts w:eastAsia="仿宋"/>
          <w:sz w:val="32"/>
          <w:szCs w:val="32"/>
        </w:rPr>
        <w:t>15</w:t>
      </w:r>
      <w:r>
        <w:rPr>
          <w:rFonts w:eastAsia="仿宋" w:hAnsi="仿宋"/>
          <w:sz w:val="32"/>
          <w:szCs w:val="32"/>
        </w:rPr>
        <w:t>个工作日内，将批复及批准的环</w:t>
      </w:r>
      <w:proofErr w:type="gramStart"/>
      <w:r>
        <w:rPr>
          <w:rFonts w:eastAsia="仿宋" w:hAnsi="仿宋"/>
          <w:sz w:val="32"/>
          <w:szCs w:val="32"/>
        </w:rPr>
        <w:t>评报告</w:t>
      </w:r>
      <w:proofErr w:type="gramEnd"/>
      <w:r>
        <w:rPr>
          <w:rFonts w:eastAsia="仿宋" w:hAnsi="仿宋"/>
          <w:sz w:val="32"/>
          <w:szCs w:val="32"/>
        </w:rPr>
        <w:t>文件送岳阳市</w:t>
      </w:r>
      <w:proofErr w:type="gramStart"/>
      <w:r>
        <w:rPr>
          <w:rFonts w:eastAsia="仿宋" w:hAnsi="仿宋"/>
          <w:sz w:val="32"/>
          <w:szCs w:val="32"/>
        </w:rPr>
        <w:t>生态环境局</w:t>
      </w:r>
      <w:r>
        <w:rPr>
          <w:rFonts w:eastAsia="仿宋" w:hAnsi="仿宋" w:hint="eastAsia"/>
          <w:sz w:val="32"/>
          <w:szCs w:val="32"/>
        </w:rPr>
        <w:t>云溪</w:t>
      </w:r>
      <w:proofErr w:type="gramEnd"/>
      <w:r>
        <w:rPr>
          <w:rFonts w:eastAsia="仿宋" w:hAnsi="仿宋"/>
          <w:sz w:val="32"/>
          <w:szCs w:val="32"/>
        </w:rPr>
        <w:t>分局、岳阳市地方海事局</w:t>
      </w:r>
      <w:r>
        <w:rPr>
          <w:rFonts w:eastAsia="仿宋" w:hAnsi="仿宋" w:hint="eastAsia"/>
          <w:sz w:val="32"/>
          <w:szCs w:val="32"/>
        </w:rPr>
        <w:t>、湖南天瑶环境技术有限公司</w:t>
      </w:r>
      <w:r>
        <w:rPr>
          <w:rFonts w:eastAsia="仿宋" w:hAnsi="仿宋"/>
          <w:sz w:val="32"/>
          <w:szCs w:val="32"/>
        </w:rPr>
        <w:t>。</w:t>
      </w:r>
    </w:p>
    <w:p w:rsidR="005C3EBE" w:rsidRDefault="00F14B87">
      <w:pPr>
        <w:spacing w:line="460" w:lineRule="exact"/>
        <w:ind w:firstLine="640"/>
        <w:jc w:val="both"/>
        <w:rPr>
          <w:rFonts w:eastAsia="仿宋" w:hAnsi="仿宋"/>
          <w:sz w:val="32"/>
          <w:szCs w:val="32"/>
        </w:rPr>
      </w:pPr>
      <w:r>
        <w:rPr>
          <w:rFonts w:eastAsia="仿宋" w:hAnsi="仿宋"/>
          <w:sz w:val="32"/>
          <w:szCs w:val="32"/>
        </w:rPr>
        <w:t>四、请岳阳市生态环境</w:t>
      </w:r>
      <w:proofErr w:type="gramStart"/>
      <w:r>
        <w:rPr>
          <w:rFonts w:eastAsia="仿宋" w:hAnsi="仿宋"/>
          <w:sz w:val="32"/>
          <w:szCs w:val="32"/>
        </w:rPr>
        <w:t>局</w:t>
      </w:r>
      <w:r>
        <w:rPr>
          <w:rFonts w:eastAsia="仿宋" w:hAnsi="仿宋" w:hint="eastAsia"/>
          <w:sz w:val="32"/>
          <w:szCs w:val="32"/>
        </w:rPr>
        <w:t>云溪</w:t>
      </w:r>
      <w:r>
        <w:rPr>
          <w:rFonts w:eastAsia="仿宋" w:hAnsi="仿宋"/>
          <w:sz w:val="32"/>
          <w:szCs w:val="32"/>
        </w:rPr>
        <w:t>分局</w:t>
      </w:r>
      <w:proofErr w:type="gramEnd"/>
      <w:r>
        <w:rPr>
          <w:rFonts w:eastAsia="仿宋" w:hAnsi="仿宋"/>
          <w:sz w:val="32"/>
          <w:szCs w:val="32"/>
        </w:rPr>
        <w:t>负责项目建设和运营期的日常环境监管。</w:t>
      </w:r>
    </w:p>
    <w:p w:rsidR="005C3EBE" w:rsidRDefault="005C3EBE">
      <w:pPr>
        <w:spacing w:line="420" w:lineRule="exact"/>
        <w:ind w:firstLineChars="0" w:firstLine="0"/>
        <w:rPr>
          <w:rFonts w:ascii="仿宋" w:eastAsia="仿宋" w:hAnsi="仿宋"/>
          <w:color w:val="000000"/>
          <w:sz w:val="32"/>
          <w:szCs w:val="32"/>
        </w:rPr>
      </w:pPr>
    </w:p>
    <w:p w:rsidR="005C3EBE" w:rsidRDefault="005C3EBE">
      <w:pPr>
        <w:spacing w:line="420" w:lineRule="exact"/>
        <w:ind w:firstLineChars="0" w:firstLine="0"/>
        <w:rPr>
          <w:rFonts w:ascii="仿宋" w:eastAsia="仿宋" w:hAnsi="仿宋"/>
          <w:color w:val="000000"/>
          <w:sz w:val="32"/>
          <w:szCs w:val="32"/>
        </w:rPr>
      </w:pPr>
    </w:p>
    <w:p w:rsidR="005C3EBE" w:rsidRDefault="005C3EBE">
      <w:pPr>
        <w:spacing w:line="420" w:lineRule="exact"/>
        <w:ind w:firstLineChars="0" w:firstLine="0"/>
        <w:rPr>
          <w:rFonts w:ascii="仿宋" w:eastAsia="仿宋" w:hAnsi="仿宋"/>
          <w:color w:val="000000"/>
          <w:sz w:val="32"/>
          <w:szCs w:val="32"/>
        </w:rPr>
      </w:pPr>
    </w:p>
    <w:p w:rsidR="005C3EBE" w:rsidRDefault="005C3EBE">
      <w:pPr>
        <w:spacing w:line="420" w:lineRule="exact"/>
        <w:ind w:firstLineChars="0" w:firstLine="0"/>
        <w:rPr>
          <w:rFonts w:ascii="仿宋" w:eastAsia="仿宋" w:hAnsi="仿宋"/>
          <w:color w:val="000000"/>
          <w:sz w:val="32"/>
          <w:szCs w:val="32"/>
        </w:rPr>
      </w:pPr>
    </w:p>
    <w:p w:rsidR="005C3EBE" w:rsidRDefault="00F14B87">
      <w:pPr>
        <w:spacing w:line="460" w:lineRule="exact"/>
        <w:ind w:firstLineChars="0" w:firstLine="0"/>
        <w:rPr>
          <w:rFonts w:ascii="仿宋" w:eastAsia="仿宋" w:hAnsi="仿宋"/>
          <w:color w:val="000000"/>
          <w:sz w:val="32"/>
          <w:szCs w:val="32"/>
        </w:rPr>
      </w:pPr>
      <w:r>
        <w:rPr>
          <w:rFonts w:ascii="仿宋" w:eastAsia="仿宋" w:hAnsi="仿宋" w:hint="eastAsia"/>
          <w:color w:val="000000"/>
          <w:sz w:val="32"/>
          <w:szCs w:val="32"/>
        </w:rPr>
        <w:t xml:space="preserve">                                岳阳市生态环境局</w:t>
      </w:r>
    </w:p>
    <w:p w:rsidR="005C3EBE" w:rsidRPr="00EC44FD" w:rsidRDefault="00F14B87">
      <w:pPr>
        <w:spacing w:line="460" w:lineRule="exact"/>
        <w:ind w:firstLineChars="20" w:firstLine="64"/>
        <w:rPr>
          <w:rFonts w:ascii="仿宋" w:eastAsia="仿宋" w:hAnsi="仿宋"/>
          <w:color w:val="000000"/>
          <w:spacing w:val="-6"/>
          <w:sz w:val="32"/>
          <w:szCs w:val="32"/>
        </w:rPr>
      </w:pPr>
      <w:r>
        <w:rPr>
          <w:rFonts w:ascii="仿宋" w:eastAsia="仿宋" w:hAnsi="仿宋" w:hint="eastAsia"/>
          <w:color w:val="000000"/>
          <w:sz w:val="32"/>
          <w:szCs w:val="32"/>
        </w:rPr>
        <w:t xml:space="preserve">                                </w:t>
      </w:r>
      <w:r w:rsidRPr="00EC44FD">
        <w:rPr>
          <w:rFonts w:ascii="仿宋" w:eastAsia="仿宋" w:hAnsi="仿宋"/>
          <w:color w:val="000000"/>
          <w:spacing w:val="-6"/>
          <w:sz w:val="32"/>
          <w:szCs w:val="32"/>
        </w:rPr>
        <w:t>2020</w:t>
      </w:r>
      <w:r w:rsidRPr="00EC44FD">
        <w:rPr>
          <w:rFonts w:ascii="仿宋" w:eastAsia="仿宋" w:hAnsi="仿宋" w:hint="eastAsia"/>
          <w:color w:val="000000"/>
          <w:spacing w:val="-6"/>
          <w:sz w:val="32"/>
          <w:szCs w:val="32"/>
        </w:rPr>
        <w:t>年</w:t>
      </w:r>
      <w:r w:rsidRPr="00EC44FD">
        <w:rPr>
          <w:rFonts w:ascii="仿宋" w:eastAsia="仿宋" w:hAnsi="仿宋"/>
          <w:color w:val="000000"/>
          <w:spacing w:val="-6"/>
          <w:sz w:val="32"/>
          <w:szCs w:val="32"/>
        </w:rPr>
        <w:t>12</w:t>
      </w:r>
      <w:r w:rsidRPr="00EC44FD">
        <w:rPr>
          <w:rFonts w:ascii="仿宋" w:eastAsia="仿宋" w:hAnsi="仿宋" w:hint="eastAsia"/>
          <w:color w:val="000000"/>
          <w:spacing w:val="-6"/>
          <w:sz w:val="32"/>
          <w:szCs w:val="32"/>
        </w:rPr>
        <w:t>月</w:t>
      </w:r>
      <w:r w:rsidRPr="00EC44FD">
        <w:rPr>
          <w:rFonts w:ascii="仿宋" w:eastAsia="仿宋" w:hAnsi="仿宋"/>
          <w:color w:val="000000"/>
          <w:spacing w:val="-6"/>
          <w:sz w:val="32"/>
          <w:szCs w:val="32"/>
        </w:rPr>
        <w:t>29</w:t>
      </w:r>
      <w:r w:rsidRPr="00EC44FD">
        <w:rPr>
          <w:rFonts w:ascii="仿宋" w:eastAsia="仿宋" w:hAnsi="仿宋" w:hint="eastAsia"/>
          <w:color w:val="000000"/>
          <w:spacing w:val="-6"/>
          <w:sz w:val="32"/>
          <w:szCs w:val="32"/>
        </w:rPr>
        <w:t>日</w:t>
      </w:r>
    </w:p>
    <w:tbl>
      <w:tblPr>
        <w:tblpPr w:leftFromText="180" w:rightFromText="180" w:vertAnchor="page" w:horzAnchor="margin" w:tblpY="14328"/>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5C3EBE">
        <w:trPr>
          <w:trHeight w:val="1033"/>
        </w:trPr>
        <w:tc>
          <w:tcPr>
            <w:tcW w:w="8861" w:type="dxa"/>
          </w:tcPr>
          <w:p w:rsidR="005C3EBE" w:rsidRDefault="00F14B87">
            <w:pPr>
              <w:spacing w:line="460" w:lineRule="exact"/>
              <w:ind w:left="800" w:hangingChars="250" w:hanging="800"/>
              <w:rPr>
                <w:rFonts w:ascii="仿宋" w:eastAsia="仿宋" w:hAnsi="仿宋"/>
                <w:color w:val="000000"/>
                <w:sz w:val="32"/>
                <w:szCs w:val="32"/>
              </w:rPr>
            </w:pPr>
            <w:r>
              <w:rPr>
                <w:rFonts w:ascii="仿宋" w:eastAsia="仿宋" w:hAnsi="仿宋" w:hint="eastAsia"/>
                <w:color w:val="000000"/>
                <w:sz w:val="32"/>
                <w:szCs w:val="32"/>
              </w:rPr>
              <w:t>抄送:</w:t>
            </w:r>
            <w:r>
              <w:rPr>
                <w:rFonts w:eastAsia="仿宋" w:hAnsi="仿宋"/>
                <w:sz w:val="32"/>
                <w:szCs w:val="32"/>
              </w:rPr>
              <w:t>岳阳市</w:t>
            </w:r>
            <w:proofErr w:type="gramStart"/>
            <w:r>
              <w:rPr>
                <w:rFonts w:eastAsia="仿宋" w:hAnsi="仿宋"/>
                <w:sz w:val="32"/>
                <w:szCs w:val="32"/>
              </w:rPr>
              <w:t>生态环境局</w:t>
            </w:r>
            <w:r>
              <w:rPr>
                <w:rFonts w:eastAsia="仿宋" w:hAnsi="仿宋" w:hint="eastAsia"/>
                <w:sz w:val="32"/>
                <w:szCs w:val="32"/>
              </w:rPr>
              <w:t>云溪</w:t>
            </w:r>
            <w:proofErr w:type="gramEnd"/>
            <w:r>
              <w:rPr>
                <w:rFonts w:eastAsia="仿宋" w:hAnsi="仿宋"/>
                <w:sz w:val="32"/>
                <w:szCs w:val="32"/>
              </w:rPr>
              <w:t>分局、岳阳市地方海事局</w:t>
            </w:r>
            <w:r>
              <w:rPr>
                <w:rFonts w:eastAsia="仿宋" w:hAnsi="仿宋" w:hint="eastAsia"/>
                <w:sz w:val="32"/>
                <w:szCs w:val="32"/>
              </w:rPr>
              <w:t>、湖南天瑶环境技术有限公司</w:t>
            </w:r>
          </w:p>
        </w:tc>
      </w:tr>
    </w:tbl>
    <w:p w:rsidR="005C3EBE" w:rsidRDefault="005C3EBE">
      <w:pPr>
        <w:pStyle w:val="0"/>
        <w:spacing w:line="500" w:lineRule="exact"/>
        <w:ind w:left="0" w:firstLineChars="0" w:firstLine="0"/>
        <w:jc w:val="both"/>
        <w:rPr>
          <w:rFonts w:ascii="仿宋" w:eastAsia="仿宋" w:hAnsi="仿宋"/>
          <w:color w:val="FF0000"/>
        </w:rPr>
      </w:pPr>
    </w:p>
    <w:sectPr w:rsidR="005C3EBE">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18"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27" w:rsidRDefault="00093E27" w:rsidP="00F14B87">
      <w:pPr>
        <w:ind w:firstLine="400"/>
      </w:pPr>
      <w:r>
        <w:separator/>
      </w:r>
    </w:p>
  </w:endnote>
  <w:endnote w:type="continuationSeparator" w:id="0">
    <w:p w:rsidR="00093E27" w:rsidRDefault="00093E27" w:rsidP="00F14B87">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E" w:rsidRDefault="005C3EBE">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E" w:rsidRDefault="00F14B87">
    <w:pPr>
      <w:pStyle w:val="a9"/>
      <w:ind w:firstLine="360"/>
      <w:jc w:val="center"/>
    </w:pPr>
    <w:r>
      <w:fldChar w:fldCharType="begin"/>
    </w:r>
    <w:r>
      <w:instrText xml:space="preserve"> PAGE   \* MERGEFORMAT </w:instrText>
    </w:r>
    <w:r>
      <w:fldChar w:fldCharType="separate"/>
    </w:r>
    <w:r w:rsidR="00EC44FD" w:rsidRPr="00EC44FD">
      <w:rPr>
        <w:noProof/>
        <w:lang w:val="zh-CN"/>
      </w:rPr>
      <w:t>3</w:t>
    </w:r>
    <w:r>
      <w:fldChar w:fldCharType="end"/>
    </w:r>
  </w:p>
  <w:p w:rsidR="005C3EBE" w:rsidRDefault="005C3EBE">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FD" w:rsidRDefault="00EC44FD" w:rsidP="00EC44FD">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27" w:rsidRDefault="00093E27" w:rsidP="00F14B87">
      <w:pPr>
        <w:ind w:firstLine="400"/>
      </w:pPr>
      <w:r>
        <w:separator/>
      </w:r>
    </w:p>
  </w:footnote>
  <w:footnote w:type="continuationSeparator" w:id="0">
    <w:p w:rsidR="00093E27" w:rsidRDefault="00093E27" w:rsidP="00F14B87">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E" w:rsidRDefault="005C3EBE">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E" w:rsidRDefault="005C3EBE">
    <w:pPr>
      <w:pStyle w:val="aa"/>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E" w:rsidRDefault="005C3EBE">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3EBE"/>
    <w:rsid w:val="00093E27"/>
    <w:rsid w:val="005C3EBE"/>
    <w:rsid w:val="006A5AC4"/>
    <w:rsid w:val="00EC44FD"/>
    <w:rsid w:val="00F1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1"/>
    </w:pPr>
  </w:style>
  <w:style w:type="paragraph" w:styleId="1">
    <w:name w:val="heading 1"/>
    <w:basedOn w:val="a"/>
    <w:next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pPr>
      <w:adjustRightInd w:val="0"/>
      <w:spacing w:line="312" w:lineRule="atLeast"/>
      <w:ind w:firstLine="420"/>
      <w:textAlignment w:val="baseline"/>
    </w:pPr>
  </w:style>
  <w:style w:type="paragraph" w:styleId="a4">
    <w:name w:val="annotation text"/>
    <w:basedOn w:val="a"/>
    <w:link w:val="Char"/>
    <w:qFormat/>
  </w:style>
  <w:style w:type="paragraph" w:styleId="a5">
    <w:name w:val="Body Text"/>
    <w:basedOn w:val="a"/>
    <w:qFormat/>
    <w:pPr>
      <w:spacing w:after="120"/>
    </w:pPr>
  </w:style>
  <w:style w:type="paragraph" w:styleId="a6">
    <w:name w:val="Plain Text"/>
    <w:qFormat/>
    <w:pPr>
      <w:spacing w:line="440" w:lineRule="exact"/>
      <w:ind w:firstLine="425"/>
    </w:pPr>
    <w:rPr>
      <w:rFonts w:ascii="宋体" w:hAnsi="Courier New"/>
      <w:kern w:val="2"/>
      <w:sz w:val="28"/>
    </w:rPr>
  </w:style>
  <w:style w:type="paragraph" w:styleId="a7">
    <w:name w:val="Date"/>
    <w:basedOn w:val="a"/>
    <w:next w:val="a"/>
    <w:qFormat/>
    <w:pPr>
      <w:ind w:leftChars="2500" w:left="100"/>
    </w:pPr>
  </w:style>
  <w:style w:type="paragraph" w:styleId="a8">
    <w:name w:val="Balloon Text"/>
    <w:basedOn w:val="a"/>
    <w:qFormat/>
    <w:rPr>
      <w:sz w:val="18"/>
      <w:szCs w:val="18"/>
    </w:rPr>
  </w:style>
  <w:style w:type="paragraph" w:styleId="a9">
    <w:name w:val="footer"/>
    <w:basedOn w:val="a"/>
    <w:link w:val="Char0"/>
    <w:uiPriority w:val="99"/>
    <w:qFormat/>
    <w:pPr>
      <w:tabs>
        <w:tab w:val="center" w:pos="4153"/>
        <w:tab w:val="right" w:pos="8306"/>
      </w:tabs>
      <w:snapToGrid w:val="0"/>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4"/>
    <w:next w:val="a4"/>
    <w:link w:val="Char1"/>
    <w:qFormat/>
    <w:rPr>
      <w:b/>
      <w:bCs/>
    </w:rPr>
  </w:style>
  <w:style w:type="paragraph" w:styleId="ac">
    <w:name w:val="Body Text First Indent"/>
    <w:basedOn w:val="a5"/>
    <w:link w:val="Char2"/>
    <w:qFormat/>
    <w:pPr>
      <w:adjustRightInd w:val="0"/>
      <w:snapToGrid w:val="0"/>
      <w:spacing w:after="0" w:line="360" w:lineRule="auto"/>
      <w:ind w:firstLine="200"/>
      <w:jc w:val="both"/>
    </w:pPr>
    <w:rPr>
      <w:kern w:val="2"/>
      <w:sz w:val="24"/>
    </w:rPr>
  </w:style>
  <w:style w:type="table" w:styleId="ad">
    <w:name w:val="Table Grid"/>
    <w:basedOn w:val="a1"/>
    <w:qFormat/>
    <w:pPr>
      <w:widowControl w:val="0"/>
      <w:ind w:firstLineChars="200" w:firstLine="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annotation reference"/>
    <w:qFormat/>
    <w:rPr>
      <w:sz w:val="21"/>
      <w:szCs w:val="21"/>
    </w:rPr>
  </w:style>
  <w:style w:type="character" w:customStyle="1" w:styleId="Char3">
    <w:name w:val="表格文字 Char"/>
    <w:link w:val="af0"/>
    <w:qFormat/>
    <w:rPr>
      <w:rFonts w:eastAsia="宋体"/>
      <w:kern w:val="2"/>
      <w:sz w:val="21"/>
      <w:szCs w:val="21"/>
      <w:lang w:val="en-US" w:eastAsia="zh-CN" w:bidi="ar-SA"/>
    </w:rPr>
  </w:style>
  <w:style w:type="paragraph" w:customStyle="1" w:styleId="af0">
    <w:name w:val="表格文字"/>
    <w:basedOn w:val="a"/>
    <w:link w:val="Char3"/>
    <w:qFormat/>
    <w:pPr>
      <w:widowControl/>
      <w:adjustRightInd w:val="0"/>
      <w:snapToGrid w:val="0"/>
      <w:ind w:firstLineChars="0" w:firstLine="0"/>
      <w:jc w:val="center"/>
    </w:pPr>
    <w:rPr>
      <w:kern w:val="2"/>
      <w:sz w:val="21"/>
      <w:szCs w:val="21"/>
    </w:rPr>
  </w:style>
  <w:style w:type="character" w:customStyle="1" w:styleId="Char">
    <w:name w:val="批注文字 Char"/>
    <w:basedOn w:val="a0"/>
    <w:link w:val="a4"/>
    <w:qFormat/>
  </w:style>
  <w:style w:type="character" w:customStyle="1" w:styleId="CharChar">
    <w:name w:val="中文报告书样式 Char Char"/>
    <w:link w:val="af1"/>
    <w:qFormat/>
    <w:rPr>
      <w:rFonts w:eastAsia="宋体"/>
      <w:kern w:val="24"/>
      <w:sz w:val="24"/>
      <w:lang w:val="en-US" w:eastAsia="zh-CN" w:bidi="ar-SA"/>
    </w:rPr>
  </w:style>
  <w:style w:type="paragraph" w:customStyle="1" w:styleId="af1">
    <w:name w:val="中文报告书样式"/>
    <w:basedOn w:val="a"/>
    <w:link w:val="CharChar"/>
    <w:qFormat/>
    <w:pPr>
      <w:adjustRightInd w:val="0"/>
      <w:spacing w:line="480" w:lineRule="atLeast"/>
      <w:ind w:firstLine="482"/>
      <w:textAlignment w:val="baseline"/>
    </w:pPr>
    <w:rPr>
      <w:kern w:val="24"/>
      <w:sz w:val="24"/>
    </w:rPr>
  </w:style>
  <w:style w:type="character" w:customStyle="1" w:styleId="p0Char">
    <w:name w:val="p0 Char"/>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页脚 Char"/>
    <w:link w:val="a9"/>
    <w:uiPriority w:val="99"/>
    <w:qFormat/>
    <w:rPr>
      <w:sz w:val="18"/>
      <w:szCs w:val="18"/>
    </w:rPr>
  </w:style>
  <w:style w:type="character" w:customStyle="1" w:styleId="Char1">
    <w:name w:val="批注主题 Char"/>
    <w:link w:val="ab"/>
    <w:qFormat/>
    <w:rPr>
      <w:b/>
      <w:bCs/>
    </w:rPr>
  </w:style>
  <w:style w:type="character" w:customStyle="1" w:styleId="Char2">
    <w:name w:val="正文首行缩进 Char"/>
    <w:link w:val="ac"/>
    <w:qFormat/>
    <w:rPr>
      <w:rFonts w:eastAsia="宋体"/>
      <w:kern w:val="2"/>
      <w:sz w:val="24"/>
      <w:lang w:val="en-US" w:eastAsia="zh-CN" w:bidi="ar-SA"/>
    </w:rPr>
  </w:style>
  <w:style w:type="paragraph" w:customStyle="1" w:styleId="1-">
    <w:name w:val="1-正文"/>
    <w:qFormat/>
    <w:pPr>
      <w:spacing w:after="60" w:line="360" w:lineRule="auto"/>
      <w:ind w:firstLineChars="200" w:firstLine="200"/>
    </w:pPr>
    <w:rPr>
      <w:kern w:val="2"/>
      <w:sz w:val="24"/>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2">
    <w:name w:val="表格内容"/>
    <w:basedOn w:val="a"/>
    <w:qFormat/>
    <w:pPr>
      <w:autoSpaceDE w:val="0"/>
      <w:autoSpaceDN w:val="0"/>
      <w:adjustRightInd w:val="0"/>
      <w:spacing w:line="360" w:lineRule="auto"/>
      <w:ind w:firstLineChars="0" w:firstLine="0"/>
      <w:jc w:val="center"/>
      <w:textAlignment w:val="baseline"/>
    </w:pPr>
    <w:rPr>
      <w:color w:val="000000"/>
      <w:sz w:val="21"/>
      <w:szCs w:val="21"/>
    </w:rPr>
  </w:style>
  <w:style w:type="paragraph" w:customStyle="1" w:styleId="10">
    <w:name w:val="修订1"/>
    <w:uiPriority w:val="99"/>
    <w:qFormat/>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af3">
    <w:name w:val="缩进"/>
    <w:qFormat/>
    <w:pPr>
      <w:autoSpaceDE w:val="0"/>
      <w:autoSpaceDN w:val="0"/>
      <w:adjustRightInd w:val="0"/>
      <w:spacing w:line="400" w:lineRule="atLeast"/>
      <w:ind w:firstLine="425"/>
      <w:textAlignment w:val="baseline"/>
    </w:pPr>
    <w:rPr>
      <w:sz w:val="24"/>
    </w:rPr>
  </w:style>
  <w:style w:type="paragraph" w:customStyle="1" w:styleId="0012">
    <w:name w:val="样式 正文001 + 首行缩进:  2 字符"/>
    <w:pPr>
      <w:spacing w:before="60" w:line="460" w:lineRule="atLeast"/>
      <w:ind w:firstLineChars="200" w:firstLine="480"/>
    </w:pPr>
    <w:rPr>
      <w:rFonts w:cs="宋体"/>
      <w:sz w:val="24"/>
    </w:rPr>
  </w:style>
  <w:style w:type="paragraph" w:customStyle="1" w:styleId="CharCharCharCharCharCharCharCharCharCharChar">
    <w:name w:val="Char Char Char Char Char Char Char Char Char Char Char"/>
    <w:basedOn w:val="a"/>
    <w:pPr>
      <w:ind w:firstLineChars="0" w:firstLine="0"/>
      <w:jc w:val="both"/>
    </w:pPr>
    <w:rPr>
      <w:kern w:val="2"/>
      <w:sz w:val="28"/>
      <w:szCs w:val="28"/>
    </w:rPr>
  </w:style>
  <w:style w:type="paragraph" w:styleId="af4">
    <w:name w:val="List Paragraph"/>
    <w:qFormat/>
    <w:pPr>
      <w:ind w:firstLineChars="200" w:firstLine="420"/>
    </w:pPr>
  </w:style>
  <w:style w:type="paragraph" w:customStyle="1" w:styleId="XZW">
    <w:name w:val="XZW"/>
    <w:basedOn w:val="a"/>
    <w:qFormat/>
    <w:pPr>
      <w:adjustRightInd w:val="0"/>
      <w:snapToGrid w:val="0"/>
      <w:spacing w:line="360" w:lineRule="auto"/>
      <w:ind w:firstLine="200"/>
      <w:jc w:val="both"/>
    </w:pPr>
    <w:rPr>
      <w:rFonts w:ascii="Calibri" w:eastAsia="仿宋_GB2312" w:hAnsi="Calibr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857</Words>
  <Characters>910</Characters>
  <Application>Microsoft Office Word</Application>
  <DocSecurity>0</DocSecurity>
  <Lines>45</Lines>
  <Paragraphs>20</Paragraphs>
  <ScaleCrop>false</ScaleCrop>
  <Company>微软中国</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王志勤</cp:lastModifiedBy>
  <cp:revision>19</cp:revision>
  <cp:lastPrinted>2020-12-27T12:06:00Z</cp:lastPrinted>
  <dcterms:created xsi:type="dcterms:W3CDTF">2020-01-03T08:38:00Z</dcterms:created>
  <dcterms:modified xsi:type="dcterms:W3CDTF">2020-12-27T12:07:00Z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