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4" w:rsidRDefault="00527DF4">
      <w:pPr>
        <w:widowControl/>
        <w:spacing w:line="320" w:lineRule="exact"/>
        <w:jc w:val="left"/>
        <w:textAlignment w:val="top"/>
        <w:rPr>
          <w:rFonts w:ascii="Times New Roman" w:eastAsia="楷体_GB2312" w:hAnsi="Times New Roman" w:cs="Times New Roman"/>
          <w:color w:val="000000"/>
          <w:kern w:val="0"/>
          <w:sz w:val="30"/>
          <w:szCs w:val="30"/>
        </w:rPr>
      </w:pPr>
    </w:p>
    <w:p w:rsidR="00527DF4" w:rsidRDefault="00527DF4">
      <w:pPr>
        <w:pStyle w:val="2"/>
      </w:pPr>
    </w:p>
    <w:p w:rsidR="00527DF4" w:rsidRDefault="00527DF4"/>
    <w:p w:rsidR="00527DF4" w:rsidRDefault="00527DF4">
      <w:pPr>
        <w:pStyle w:val="2"/>
      </w:pPr>
    </w:p>
    <w:p w:rsidR="00527DF4" w:rsidRDefault="00527DF4">
      <w:pPr>
        <w:widowControl/>
        <w:spacing w:line="400" w:lineRule="exact"/>
        <w:ind w:firstLineChars="1750" w:firstLine="5250"/>
        <w:textAlignment w:val="top"/>
        <w:rPr>
          <w:rFonts w:ascii="Times New Roman" w:eastAsia="楷体_GB2312" w:hAnsi="Times New Roman" w:cs="Times New Roman"/>
          <w:color w:val="000000"/>
          <w:kern w:val="0"/>
          <w:sz w:val="30"/>
          <w:szCs w:val="30"/>
        </w:rPr>
      </w:pPr>
    </w:p>
    <w:p w:rsidR="00527DF4" w:rsidRDefault="006A7291">
      <w:pPr>
        <w:wordWrap w:val="0"/>
        <w:spacing w:line="440" w:lineRule="exact"/>
        <w:ind w:firstLineChars="205" w:firstLine="656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岳环评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[2020]144号</w:t>
      </w:r>
    </w:p>
    <w:p w:rsidR="00527DF4" w:rsidRDefault="006A7291">
      <w:pPr>
        <w:autoSpaceDE w:val="0"/>
        <w:autoSpaceDN w:val="0"/>
        <w:adjustRightInd w:val="0"/>
        <w:ind w:left="177" w:hanging="177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关于</w:t>
      </w:r>
      <w:bookmarkStart w:id="0" w:name="_Hlk46702741"/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湖南云科化工有限公司</w:t>
      </w:r>
      <w:bookmarkEnd w:id="0"/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9000吨/年固化剂、消光剂项目环境影响报告书的批复</w:t>
      </w:r>
    </w:p>
    <w:p w:rsidR="00527DF4" w:rsidRDefault="00527DF4">
      <w:pPr>
        <w:spacing w:line="44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20"/>
        </w:rPr>
      </w:pPr>
    </w:p>
    <w:p w:rsidR="00527DF4" w:rsidRDefault="006A7291">
      <w:pPr>
        <w:spacing w:line="500" w:lineRule="exact"/>
        <w:ind w:firstLineChars="6" w:firstLine="19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湖南云科化工有限公司：</w:t>
      </w:r>
    </w:p>
    <w:p w:rsidR="00527DF4" w:rsidRDefault="006A7291">
      <w:pPr>
        <w:spacing w:line="500" w:lineRule="exact"/>
        <w:ind w:firstLineChars="205" w:firstLine="656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你公司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《关于申请&lt;湖南云科化工有限公司9000吨/年固化剂、消光剂项目环境影响报告书&gt;环评批复的请示》、岳阳市生态环境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局云溪分局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的预审意见及有关附件收悉。经研究，批复如下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：</w:t>
      </w:r>
    </w:p>
    <w:p w:rsidR="00527DF4" w:rsidRDefault="006A7291">
      <w:pPr>
        <w:spacing w:line="500" w:lineRule="exact"/>
        <w:ind w:firstLine="656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一、湖南云科化工有限公司位于湖南岳阳绿色化工产业园长岭片区，拟投资15137万元建设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9000吨/年固化剂、消光剂项目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项目以异氰尿酸、环氧氯丙烷、苄基三甲基氯化铵、氢氧化钠、甲醇、甲苯、丙烯酸、N，N-二甲苯胺等为主要原材料，通过合成反应、环化反应、过滤脱盐、蒸馏、结晶、离心分离、造粒干燥、合成反应、蒸馏等工序生产UV树脂单体5000/a；以甲基丙烯酸丁酯、丙烯酸丁酯、苯乙烯和甲基丙烯酸缩水甘油酯等为主要原材料，通过聚合反应、减压蒸馏、冷却切片等工序生产环氧丙烯酸共聚的丙烯酸树脂1000t/a；以邻苯二甲酸酐、DMPA、苯甲酸、己二酸、三丁基氯化锡等为主要原材料，通过缩聚反应、冷却切片等工序生产聚酯型的高酸值树脂1000t/a；以己内酰胺、IPDI、甲苯等为主要原材料，通过合成反应、冷却切片等工序生产封闭异氰酸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酯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1000t/a；以苯甲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腈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、乙二胺、酰胺类催化剂等为主要原材料，通过合成反应、冷却</w:t>
      </w:r>
      <w:bookmarkStart w:id="1" w:name="_GoBack"/>
      <w:bookmarkEnd w:id="1"/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切片等工序生产2-苯基咪唑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啉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1000t/a。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主要建设内容为：新建年产9000吨/年的固化剂、消光剂生产线及配套设施，新建3层生产车间、储罐区、动力站、综合仓库、甲类仓库、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丁类仓库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，配套建设公用、辅助、环保工程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。根据联合泰泽环境科技发展有限公司编制的《湖南云科化工有限公司9000吨/年固化剂、消光剂项目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环境影响报告书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（报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批稿）》基本内容、结论、专家评审意见和岳阳市生态环境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局云溪分局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预审意见，从环境保护角度考虑，我局原则同意你公司环境影响报告书的环境影响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价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结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论和环境保护对策措施。</w:t>
      </w:r>
    </w:p>
    <w:p w:rsidR="00527DF4" w:rsidRDefault="006A7291">
      <w:pPr>
        <w:spacing w:line="5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二、认真落实专家及环境影响报告书中提出的各项污染防治措施，并应着重注意以下问题：</w:t>
      </w:r>
    </w:p>
    <w:p w:rsidR="00527DF4" w:rsidRDefault="006A7291">
      <w:pPr>
        <w:spacing w:line="5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bookmarkStart w:id="2" w:name="OLE_LINK8"/>
      <w:r>
        <w:rPr>
          <w:rFonts w:ascii="仿宋" w:eastAsia="仿宋" w:hAnsi="仿宋" w:cs="Times New Roman" w:hint="eastAsia"/>
          <w:kern w:val="0"/>
          <w:sz w:val="32"/>
          <w:szCs w:val="32"/>
        </w:rPr>
        <w:t>1、落实施工期污染防治措施。采取边界围挡、物料遮盖、定期洒水、运输车辆加盖篷布等措施减少扬尘污染，四级及以上大风天气禁止土方作业；施工废水经沉淀处理后循环使用，施工生活废水经沉淀后循环使用，施工生活污水排入园区污水管网；选用低噪声施工设备，合理布局等措施控制噪声环境影响；建筑垃圾应外运至有关部门指定场地，生活垃圾经收集后由环卫部门统一处理处置。</w:t>
      </w:r>
    </w:p>
    <w:p w:rsidR="00527DF4" w:rsidRDefault="006A7291">
      <w:pPr>
        <w:spacing w:line="5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、加强废气污染防治工作。严格控制项目废气污染，加强日常监管，最大限度减少生产过程中的废气无组织排放，厂区内非甲烷总烃执行《挥发性有机物无组织排放控制标准》（GB37822-2019），厂界非甲烷总烃和颗粒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物执行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《合成树脂工业污染物排放标准》（GB 31572-2015），恶臭执行《恶臭污染物排放标准》（GB14554-1993）；聚酯型高酸值树脂生产过程产生的有机废气、TGIC生产过程产生有机废气以及污水处理系统产生的废气一并处理，废气中的环氧氯丙烷、甲醇、邻苯二甲酸酐、非甲烷总烃满足《石油化学工业污染物排放标准》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（GB31571-2015），氨和硫化氢满足《恶臭污染物排放标准》（GB14554-1993）后，经18.5m高的DA001排气筒排放；UV树脂合成、环氧丙烯酸共聚的丙烯酸树脂以及封闭异氰酸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酯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生产过程中产生的有机废气一并处理，废气中的苯乙烯、苯烯酸丁酯、丙烯酸、非甲烷总烃满足《合成树脂工业污染物排放标准》（GB 31572-2015）后，经18.5m高的DA002排气筒排放；TGIC造粒干燥过程产生的颗粒物经处理，满足《合成树脂工业污染物排放标准》（GB 31572-2015）后，经26.5m高的DA003排气筒排放；投料包装过程产生的颗粒物经处理，满足《合成树脂工业污染物排放标准》（GB 31572-2015）后，经18.5m高的DA004排气筒排放；2-苯基咪唑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啉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生产过程产生的氨气经处理后满足《合成树脂工业污染物排放标准》（GB 31572-2015）后，经18.5m高的DA005排气筒排放。</w:t>
      </w:r>
    </w:p>
    <w:p w:rsidR="00527DF4" w:rsidRDefault="006A7291">
      <w:pPr>
        <w:spacing w:line="5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3、加强废水污染防治工作。严格按照“雨污分流、清污分流、污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污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分流”的原则规范厂区雨水及污水管网。生产废水、生活污水经处理，达到《石油化学工业污染物排放标准》（GB 31571-2015）中表1水污染物排放标准限值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和长炼污水处理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厂接纳标准后，经园区管网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进入长炼污水处理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厂进行深度处理。</w:t>
      </w:r>
    </w:p>
    <w:p w:rsidR="00527DF4" w:rsidRDefault="006A7291">
      <w:pPr>
        <w:spacing w:line="5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4、加强噪声污染防治工作。采用低噪声设备，主要的声源设备泵、冷却塔、风机、离心机、空压机、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制片机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等采取隔声、消声、减振等措施，确保厂界噪声达到《工业企业厂界环境噪声排放标准》（GB12348-2008）中的3类标准要求。</w:t>
      </w:r>
    </w:p>
    <w:p w:rsidR="00527DF4" w:rsidRDefault="006A7291">
      <w:pPr>
        <w:spacing w:line="5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5、加强固体废物防治工作。按“无害化、减量化、资源化”的原则，做好固体废物分类收集、暂存工作，建立健全固体废物产生、转运、处置管理台账。按《危险废物贮存污染控制标准》（GB18597-2001）及2013年修改单的要求管理蒸馏残渣、废水处理污泥、废包装和废活性炭等危险废物，定期交有资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单位处置，并执行转移联单制度；生活垃圾交环卫部门统一收集处理。</w:t>
      </w:r>
    </w:p>
    <w:p w:rsidR="00527DF4" w:rsidRDefault="006A7291">
      <w:pPr>
        <w:spacing w:line="5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6、加强营运期风险防范。落实各项风险防范措施，加强设施设备的维护和管理，严格按照《突发环境事件应急预案管理暂行办法》要求制定事故环境应急预案，储备风险救助物资并组织演练，杜绝环境风险事故发生。</w:t>
      </w:r>
    </w:p>
    <w:p w:rsidR="00527DF4" w:rsidRDefault="006A7291">
      <w:pPr>
        <w:spacing w:line="5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7、加强环境管理，建立健全的污染防治设施运行管理台帐，设专门的环保机构，配备专人负责环保工作，确保各项污染防治设施正常运行，各类污染物稳定达标排放。</w:t>
      </w:r>
    </w:p>
    <w:p w:rsidR="00527DF4" w:rsidRDefault="006A7291">
      <w:pPr>
        <w:spacing w:line="5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8、本项目污染物总量控制指标：VOCs≤3.9t/a，COD≤1.4t/a、NH</w:t>
      </w:r>
      <w:r>
        <w:rPr>
          <w:rFonts w:ascii="仿宋" w:eastAsia="仿宋" w:hAnsi="仿宋" w:cs="Times New Roman" w:hint="eastAsia"/>
          <w:kern w:val="0"/>
          <w:sz w:val="32"/>
          <w:szCs w:val="32"/>
          <w:vertAlign w:val="subscript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-N≤0.2t/a。</w:t>
      </w:r>
      <w:bookmarkEnd w:id="2"/>
    </w:p>
    <w:p w:rsidR="00527DF4" w:rsidRDefault="006A7291">
      <w:pPr>
        <w:spacing w:line="5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三、你公司应收到本批复后15个工作日内，将批复及批准的环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评报告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文件送岳阳市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生态环境局云溪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分局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、岳阳市绿色化工产业园管理委员会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联合泰泽环境科技发展有限公司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527DF4" w:rsidRDefault="006A7291">
      <w:pPr>
        <w:spacing w:line="5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四、请岳阳市生态环境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局云溪分局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负责项目建设和运营期的日常环境监管。   </w:t>
      </w:r>
    </w:p>
    <w:p w:rsidR="00527DF4" w:rsidRDefault="006A7291">
      <w:pPr>
        <w:spacing w:line="43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</w:p>
    <w:p w:rsidR="00527DF4" w:rsidRDefault="00527DF4">
      <w:pPr>
        <w:pStyle w:val="2"/>
      </w:pPr>
    </w:p>
    <w:p w:rsidR="00527DF4" w:rsidRDefault="00527DF4"/>
    <w:p w:rsidR="00527DF4" w:rsidRDefault="00527DF4">
      <w:pPr>
        <w:pStyle w:val="2"/>
      </w:pPr>
    </w:p>
    <w:p w:rsidR="00527DF4" w:rsidRDefault="00527DF4"/>
    <w:p w:rsidR="00527DF4" w:rsidRDefault="00527DF4">
      <w:pPr>
        <w:widowControl/>
        <w:ind w:firstLine="40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527DF4" w:rsidRDefault="006A7291">
      <w:pPr>
        <w:spacing w:line="43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          </w:t>
      </w:r>
      <w:r>
        <w:rPr>
          <w:rFonts w:ascii="仿宋" w:eastAsia="仿宋" w:hAnsi="仿宋" w:cs="Times New Roman" w:hint="eastAsia"/>
          <w:color w:val="FF0000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岳阳市生态环境局</w:t>
      </w:r>
    </w:p>
    <w:p w:rsidR="00527DF4" w:rsidRPr="00A56B4D" w:rsidRDefault="006A7291">
      <w:pPr>
        <w:spacing w:line="430" w:lineRule="exact"/>
        <w:ind w:firstLineChars="20" w:firstLine="64"/>
        <w:jc w:val="left"/>
        <w:rPr>
          <w:rFonts w:ascii="仿宋" w:eastAsia="仿宋" w:hAnsi="仿宋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                              </w:t>
      </w:r>
      <w:r w:rsidRPr="00A56B4D">
        <w:rPr>
          <w:rFonts w:ascii="仿宋" w:eastAsia="仿宋" w:hAnsi="仿宋" w:cs="Times New Roman"/>
          <w:color w:val="000000"/>
          <w:spacing w:val="-6"/>
          <w:kern w:val="0"/>
          <w:sz w:val="32"/>
          <w:szCs w:val="32"/>
        </w:rPr>
        <w:t>2020</w:t>
      </w:r>
      <w:r w:rsidRPr="00A56B4D">
        <w:rPr>
          <w:rFonts w:ascii="仿宋" w:eastAsia="仿宋" w:hAnsi="仿宋" w:cs="Times New Roman" w:hint="eastAsia"/>
          <w:color w:val="000000"/>
          <w:spacing w:val="-6"/>
          <w:kern w:val="0"/>
          <w:sz w:val="32"/>
          <w:szCs w:val="32"/>
        </w:rPr>
        <w:t>年</w:t>
      </w:r>
      <w:r w:rsidRPr="00A56B4D">
        <w:rPr>
          <w:rFonts w:ascii="仿宋" w:eastAsia="仿宋" w:hAnsi="仿宋" w:cs="Times New Roman"/>
          <w:color w:val="000000"/>
          <w:spacing w:val="-6"/>
          <w:kern w:val="0"/>
          <w:sz w:val="32"/>
          <w:szCs w:val="32"/>
        </w:rPr>
        <w:t>11</w:t>
      </w:r>
      <w:r w:rsidRPr="00A56B4D">
        <w:rPr>
          <w:rFonts w:ascii="仿宋" w:eastAsia="仿宋" w:hAnsi="仿宋" w:cs="Times New Roman" w:hint="eastAsia"/>
          <w:color w:val="000000"/>
          <w:spacing w:val="-6"/>
          <w:kern w:val="0"/>
          <w:sz w:val="32"/>
          <w:szCs w:val="32"/>
        </w:rPr>
        <w:t>月</w:t>
      </w:r>
      <w:r w:rsidRPr="00A56B4D">
        <w:rPr>
          <w:rFonts w:ascii="仿宋" w:eastAsia="仿宋" w:hAnsi="仿宋" w:cs="Times New Roman"/>
          <w:color w:val="000000"/>
          <w:spacing w:val="-6"/>
          <w:kern w:val="0"/>
          <w:sz w:val="32"/>
          <w:szCs w:val="32"/>
        </w:rPr>
        <w:t>30</w:t>
      </w:r>
      <w:r w:rsidRPr="00A56B4D">
        <w:rPr>
          <w:rFonts w:ascii="仿宋" w:eastAsia="仿宋" w:hAnsi="仿宋" w:cs="Times New Roman" w:hint="eastAsia"/>
          <w:color w:val="000000"/>
          <w:spacing w:val="-6"/>
          <w:kern w:val="0"/>
          <w:sz w:val="32"/>
          <w:szCs w:val="32"/>
        </w:rPr>
        <w:t>日</w:t>
      </w:r>
    </w:p>
    <w:p w:rsidR="00527DF4" w:rsidRDefault="00527DF4">
      <w:pPr>
        <w:spacing w:line="43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132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3"/>
      </w:tblGrid>
      <w:tr w:rsidR="00527DF4">
        <w:trPr>
          <w:trHeight w:val="915"/>
        </w:trPr>
        <w:tc>
          <w:tcPr>
            <w:tcW w:w="8883" w:type="dxa"/>
          </w:tcPr>
          <w:p w:rsidR="00527DF4" w:rsidRDefault="006A7291">
            <w:pPr>
              <w:spacing w:line="430" w:lineRule="exact"/>
              <w:ind w:left="960" w:hangingChars="300" w:hanging="960"/>
              <w:rPr>
                <w:rFonts w:ascii="仿宋" w:eastAsia="仿宋" w:hAnsi="仿宋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抄送: 岳阳市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生态环境局云溪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分局、岳阳市绿色化工产业园管理委员会、联合泰泽环境科技发展有限公司</w:t>
            </w:r>
          </w:p>
        </w:tc>
      </w:tr>
    </w:tbl>
    <w:p w:rsidR="00527DF4" w:rsidRDefault="00527DF4"/>
    <w:sectPr w:rsidR="00527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587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D4" w:rsidRDefault="005E1ED4">
      <w:r>
        <w:separator/>
      </w:r>
    </w:p>
  </w:endnote>
  <w:endnote w:type="continuationSeparator" w:id="0">
    <w:p w:rsidR="005E1ED4" w:rsidRDefault="005E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F4" w:rsidRDefault="00527DF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F4" w:rsidRDefault="006A7291">
    <w:pPr>
      <w:pStyle w:val="a4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A56B4D" w:rsidRPr="00A56B4D">
      <w:rPr>
        <w:noProof/>
        <w:lang w:val="zh-CN"/>
      </w:rPr>
      <w:t>4</w:t>
    </w:r>
    <w:r>
      <w:fldChar w:fldCharType="end"/>
    </w:r>
  </w:p>
  <w:p w:rsidR="00527DF4" w:rsidRDefault="00527DF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D4" w:rsidRDefault="005E1ED4">
      <w:r>
        <w:separator/>
      </w:r>
    </w:p>
  </w:footnote>
  <w:footnote w:type="continuationSeparator" w:id="0">
    <w:p w:rsidR="005E1ED4" w:rsidRDefault="005E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F4" w:rsidRDefault="00527DF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F4" w:rsidRDefault="00527DF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F4" w:rsidRDefault="00527DF4">
    <w:pPr>
      <w:ind w:left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4"/>
    <w:rsid w:val="00527DF4"/>
    <w:rsid w:val="005E1ED4"/>
    <w:rsid w:val="006A7291"/>
    <w:rsid w:val="006F4B87"/>
    <w:rsid w:val="00A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widowControl w:val="0"/>
      <w:spacing w:before="60" w:line="240" w:lineRule="auto"/>
      <w:ind w:leftChars="0" w:left="0" w:firstLine="210"/>
    </w:pPr>
    <w:rPr>
      <w:sz w:val="18"/>
      <w:szCs w:val="24"/>
    </w:rPr>
  </w:style>
  <w:style w:type="paragraph" w:styleId="a3">
    <w:name w:val="Body Text Indent"/>
    <w:basedOn w:val="a"/>
    <w:qFormat/>
    <w:pPr>
      <w:widowControl/>
      <w:spacing w:after="120" w:line="276" w:lineRule="auto"/>
      <w:ind w:leftChars="200" w:left="420"/>
    </w:pPr>
    <w:rPr>
      <w:kern w:val="0"/>
      <w:sz w:val="22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72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7291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widowControl w:val="0"/>
      <w:spacing w:before="60" w:line="240" w:lineRule="auto"/>
      <w:ind w:leftChars="0" w:left="0" w:firstLine="210"/>
    </w:pPr>
    <w:rPr>
      <w:sz w:val="18"/>
      <w:szCs w:val="24"/>
    </w:rPr>
  </w:style>
  <w:style w:type="paragraph" w:styleId="a3">
    <w:name w:val="Body Text Indent"/>
    <w:basedOn w:val="a"/>
    <w:qFormat/>
    <w:pPr>
      <w:widowControl/>
      <w:spacing w:after="120" w:line="276" w:lineRule="auto"/>
      <w:ind w:leftChars="200" w:left="420"/>
    </w:pPr>
    <w:rPr>
      <w:kern w:val="0"/>
      <w:sz w:val="22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72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729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1224</Words>
  <Characters>1372</Characters>
  <Application>Microsoft Office Word</Application>
  <DocSecurity>0</DocSecurity>
  <Lines>62</Lines>
  <Paragraphs>19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毛健宇</cp:lastModifiedBy>
  <cp:revision>7</cp:revision>
  <dcterms:created xsi:type="dcterms:W3CDTF">2020-08-04T13:01:00Z</dcterms:created>
  <dcterms:modified xsi:type="dcterms:W3CDTF">2020-11-29T11:19:00Z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