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ind w:firstLine="5440" w:firstLineChars="1700"/>
        <w:rPr>
          <w:rFonts w:ascii="仿宋" w:hAnsi="仿宋" w:eastAsia="仿宋"/>
          <w:sz w:val="32"/>
          <w:szCs w:val="32"/>
        </w:rPr>
      </w:pPr>
      <w:r>
        <w:rPr>
          <w:rFonts w:hint="eastAsia" w:ascii="仿宋" w:hAnsi="仿宋" w:eastAsia="仿宋"/>
          <w:sz w:val="32"/>
          <w:szCs w:val="32"/>
        </w:rPr>
        <w:t>岳环评</w:t>
      </w:r>
      <w:r>
        <w:rPr>
          <w:rFonts w:hint="eastAsia" w:ascii="仿宋" w:hAnsi="仿宋" w:eastAsia="仿宋" w:cs="仿宋"/>
          <w:sz w:val="32"/>
          <w:szCs w:val="32"/>
        </w:rPr>
        <w:t>〔</w:t>
      </w:r>
      <w:r>
        <w:rPr>
          <w:rFonts w:ascii="仿宋" w:hAnsi="仿宋" w:eastAsia="仿宋"/>
          <w:sz w:val="32"/>
          <w:szCs w:val="32"/>
        </w:rPr>
        <w:t>2020</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sz w:val="32"/>
          <w:szCs w:val="32"/>
        </w:rPr>
        <w:t>号</w:t>
      </w:r>
    </w:p>
    <w:p>
      <w:pPr>
        <w:jc w:val="center"/>
        <w:rPr>
          <w:rFonts w:ascii="宋体" w:cs="宋体"/>
          <w:b/>
          <w:bCs/>
          <w:sz w:val="36"/>
          <w:szCs w:val="36"/>
        </w:rPr>
      </w:pPr>
      <w:r>
        <w:rPr>
          <w:rFonts w:hint="eastAsia" w:ascii="宋体" w:hAnsi="宋体" w:cs="宋体"/>
          <w:b/>
          <w:bCs/>
          <w:sz w:val="36"/>
          <w:szCs w:val="36"/>
        </w:rPr>
        <w:t>关于</w:t>
      </w:r>
      <w:r>
        <w:rPr>
          <w:rFonts w:hint="eastAsia" w:ascii="宋体" w:hAnsi="宋体" w:cs="宋体"/>
          <w:b/>
          <w:bCs/>
          <w:color w:val="000000"/>
          <w:sz w:val="36"/>
          <w:szCs w:val="36"/>
        </w:rPr>
        <w:t>岳阳穗南风电有限公司岳阳新开马山风电场工程</w:t>
      </w:r>
      <w:r>
        <w:rPr>
          <w:rFonts w:hint="eastAsia" w:ascii="宋体" w:hAnsi="宋体" w:cs="宋体"/>
          <w:b/>
          <w:bCs/>
          <w:sz w:val="36"/>
          <w:szCs w:val="36"/>
        </w:rPr>
        <w:t>环境影响报告表的批复</w:t>
      </w:r>
    </w:p>
    <w:p>
      <w:pPr>
        <w:spacing w:line="500" w:lineRule="exact"/>
        <w:rPr>
          <w:rFonts w:ascii="宋体" w:cs="宋体"/>
          <w:b/>
          <w:bCs/>
          <w:color w:val="000000"/>
          <w:sz w:val="30"/>
          <w:szCs w:val="30"/>
        </w:rPr>
      </w:pPr>
    </w:p>
    <w:p>
      <w:pPr>
        <w:keepNext w:val="0"/>
        <w:keepLines w:val="0"/>
        <w:pageBreakBefore w:val="0"/>
        <w:widowControl w:val="0"/>
        <w:kinsoku/>
        <w:wordWrap/>
        <w:overflowPunct/>
        <w:topLinePunct w:val="0"/>
        <w:bidi w:val="0"/>
        <w:adjustRightInd/>
        <w:snapToGrid/>
        <w:spacing w:line="500" w:lineRule="exact"/>
        <w:textAlignment w:val="auto"/>
        <w:rPr>
          <w:rFonts w:ascii="仿宋" w:hAnsi="仿宋" w:eastAsia="仿宋" w:cs="仿宋"/>
          <w:sz w:val="32"/>
          <w:szCs w:val="32"/>
        </w:rPr>
      </w:pPr>
      <w:r>
        <w:rPr>
          <w:rFonts w:hint="eastAsia" w:ascii="仿宋" w:hAnsi="仿宋" w:eastAsia="仿宋" w:cs="仿宋"/>
          <w:color w:val="000000"/>
          <w:sz w:val="32"/>
          <w:szCs w:val="32"/>
        </w:rPr>
        <w:t>岳阳穗南风电有限公司</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spacing w:line="500" w:lineRule="exact"/>
        <w:ind w:firstLine="640"/>
        <w:textAlignment w:val="auto"/>
        <w:rPr>
          <w:rFonts w:ascii="仿宋" w:hAnsi="仿宋" w:eastAsia="仿宋" w:cs="仿宋"/>
          <w:color w:val="000000"/>
          <w:sz w:val="32"/>
          <w:szCs w:val="32"/>
        </w:rPr>
      </w:pPr>
      <w:r>
        <w:rPr>
          <w:rFonts w:hint="eastAsia" w:ascii="仿宋" w:hAnsi="仿宋" w:eastAsia="仿宋" w:cs="仿宋"/>
          <w:color w:val="000000"/>
          <w:sz w:val="32"/>
          <w:szCs w:val="32"/>
        </w:rPr>
        <w:t>你公司《关于对</w:t>
      </w:r>
      <w:r>
        <w:rPr>
          <w:rFonts w:ascii="仿宋" w:hAnsi="仿宋" w:eastAsia="仿宋" w:cs="仿宋"/>
          <w:color w:val="000000"/>
          <w:sz w:val="32"/>
          <w:szCs w:val="32"/>
        </w:rPr>
        <w:t>&lt;</w:t>
      </w:r>
      <w:r>
        <w:rPr>
          <w:rFonts w:hint="eastAsia" w:ascii="仿宋" w:hAnsi="仿宋" w:eastAsia="仿宋" w:cs="仿宋"/>
          <w:color w:val="000000"/>
          <w:sz w:val="32"/>
          <w:szCs w:val="32"/>
        </w:rPr>
        <w:t>岳阳新开马山风电场工程环境影响报告表</w:t>
      </w:r>
      <w:r>
        <w:rPr>
          <w:rFonts w:ascii="仿宋" w:hAnsi="仿宋" w:eastAsia="仿宋" w:cs="仿宋"/>
          <w:color w:val="000000"/>
          <w:sz w:val="32"/>
          <w:szCs w:val="32"/>
        </w:rPr>
        <w:t>&gt;</w:t>
      </w:r>
      <w:r>
        <w:rPr>
          <w:rFonts w:hint="eastAsia" w:ascii="仿宋" w:hAnsi="仿宋" w:eastAsia="仿宋" w:cs="仿宋"/>
          <w:color w:val="000000"/>
          <w:sz w:val="32"/>
          <w:szCs w:val="32"/>
        </w:rPr>
        <w:t>的进行审批的请示》（穗南风电请〔</w:t>
      </w:r>
      <w:r>
        <w:rPr>
          <w:rFonts w:ascii="仿宋" w:hAnsi="仿宋" w:eastAsia="仿宋" w:cs="仿宋"/>
          <w:color w:val="000000"/>
          <w:sz w:val="32"/>
          <w:szCs w:val="32"/>
        </w:rPr>
        <w:t>2019</w:t>
      </w:r>
      <w:r>
        <w:rPr>
          <w:rFonts w:hint="eastAsia" w:ascii="仿宋" w:hAnsi="仿宋" w:eastAsia="仿宋" w:cs="仿宋"/>
          <w:color w:val="000000"/>
          <w:sz w:val="32"/>
          <w:szCs w:val="32"/>
        </w:rPr>
        <w:t>〕</w:t>
      </w:r>
      <w:r>
        <w:rPr>
          <w:rFonts w:ascii="仿宋" w:hAnsi="仿宋" w:eastAsia="仿宋" w:cs="仿宋"/>
          <w:color w:val="000000"/>
          <w:sz w:val="32"/>
          <w:szCs w:val="32"/>
        </w:rPr>
        <w:t xml:space="preserve">2 </w:t>
      </w:r>
      <w:r>
        <w:rPr>
          <w:rFonts w:hint="eastAsia" w:ascii="仿宋" w:hAnsi="仿宋" w:eastAsia="仿宋" w:cs="仿宋"/>
          <w:color w:val="000000"/>
          <w:sz w:val="32"/>
          <w:szCs w:val="32"/>
        </w:rPr>
        <w:t>号）、岳阳市生态环境局岳阳县分局《关于岳阳新开马山风电场工程环境影响报告表的预审意见》及相关附件收悉。经研究，现批复如下：</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ascii="仿宋" w:hAnsi="仿宋" w:eastAsia="仿宋"/>
          <w:b/>
          <w:sz w:val="32"/>
          <w:szCs w:val="32"/>
        </w:rPr>
      </w:pPr>
      <w:r>
        <w:rPr>
          <w:rFonts w:hint="eastAsia" w:ascii="仿宋" w:hAnsi="仿宋" w:eastAsia="仿宋" w:cs="仿宋"/>
          <w:color w:val="000000"/>
          <w:sz w:val="32"/>
          <w:szCs w:val="32"/>
        </w:rPr>
        <w:t>一、岳阳新开马山风电场工程位于岳阳县新开镇和麻塘镇境内，场址范围在东经</w:t>
      </w:r>
      <w:r>
        <w:rPr>
          <w:rFonts w:ascii="仿宋" w:hAnsi="仿宋" w:eastAsia="仿宋" w:cs="仿宋"/>
          <w:color w:val="000000"/>
          <w:sz w:val="32"/>
          <w:szCs w:val="32"/>
        </w:rPr>
        <w:t>113</w:t>
      </w:r>
      <w:r>
        <w:rPr>
          <w:rFonts w:hint="eastAsia" w:ascii="仿宋" w:hAnsi="仿宋" w:eastAsia="仿宋" w:cs="仿宋"/>
          <w:color w:val="000000"/>
          <w:sz w:val="32"/>
          <w:szCs w:val="32"/>
        </w:rPr>
        <w:t>°</w:t>
      </w:r>
      <w:r>
        <w:rPr>
          <w:rFonts w:ascii="仿宋" w:hAnsi="仿宋" w:eastAsia="仿宋" w:cs="仿宋"/>
          <w:color w:val="000000"/>
          <w:sz w:val="32"/>
          <w:szCs w:val="32"/>
        </w:rPr>
        <w:t>8'51"</w:t>
      </w:r>
      <w:r>
        <w:rPr>
          <w:rFonts w:hint="eastAsia" w:ascii="仿宋" w:hAnsi="仿宋" w:eastAsia="仿宋" w:cs="仿宋"/>
          <w:color w:val="000000"/>
          <w:sz w:val="32"/>
          <w:szCs w:val="32"/>
        </w:rPr>
        <w:t>～</w:t>
      </w:r>
      <w:r>
        <w:rPr>
          <w:rFonts w:ascii="仿宋" w:hAnsi="仿宋" w:eastAsia="仿宋" w:cs="仿宋"/>
          <w:color w:val="000000"/>
          <w:sz w:val="32"/>
          <w:szCs w:val="32"/>
        </w:rPr>
        <w:t>113</w:t>
      </w:r>
      <w:r>
        <w:rPr>
          <w:rFonts w:hint="eastAsia" w:ascii="仿宋" w:hAnsi="仿宋" w:eastAsia="仿宋" w:cs="仿宋"/>
          <w:color w:val="000000"/>
          <w:sz w:val="32"/>
          <w:szCs w:val="32"/>
        </w:rPr>
        <w:t>°</w:t>
      </w:r>
      <w:r>
        <w:rPr>
          <w:rFonts w:ascii="仿宋" w:hAnsi="仿宋" w:eastAsia="仿宋" w:cs="仿宋"/>
          <w:color w:val="000000"/>
          <w:sz w:val="32"/>
          <w:szCs w:val="32"/>
        </w:rPr>
        <w:t>12'33"</w:t>
      </w:r>
      <w:r>
        <w:rPr>
          <w:rFonts w:hint="eastAsia" w:ascii="仿宋" w:hAnsi="仿宋" w:eastAsia="仿宋" w:cs="仿宋"/>
          <w:color w:val="000000"/>
          <w:sz w:val="32"/>
          <w:szCs w:val="32"/>
        </w:rPr>
        <w:t>，北纬</w:t>
      </w:r>
      <w:r>
        <w:rPr>
          <w:rFonts w:ascii="仿宋" w:hAnsi="仿宋" w:eastAsia="仿宋" w:cs="仿宋"/>
          <w:color w:val="000000"/>
          <w:sz w:val="32"/>
          <w:szCs w:val="32"/>
        </w:rPr>
        <w:t>29</w:t>
      </w:r>
      <w:r>
        <w:rPr>
          <w:rFonts w:hint="eastAsia" w:ascii="仿宋" w:hAnsi="仿宋" w:eastAsia="仿宋" w:cs="仿宋"/>
          <w:color w:val="000000"/>
          <w:sz w:val="32"/>
          <w:szCs w:val="32"/>
        </w:rPr>
        <w:t>°</w:t>
      </w:r>
      <w:r>
        <w:rPr>
          <w:rFonts w:ascii="仿宋" w:hAnsi="仿宋" w:eastAsia="仿宋" w:cs="仿宋"/>
          <w:color w:val="000000"/>
          <w:sz w:val="32"/>
          <w:szCs w:val="32"/>
        </w:rPr>
        <w:t>10'11"</w:t>
      </w:r>
      <w:r>
        <w:rPr>
          <w:rFonts w:hint="eastAsia" w:ascii="仿宋" w:hAnsi="仿宋" w:eastAsia="仿宋" w:cs="仿宋"/>
          <w:color w:val="000000"/>
          <w:sz w:val="32"/>
          <w:szCs w:val="32"/>
        </w:rPr>
        <w:t>～</w:t>
      </w:r>
      <w:r>
        <w:rPr>
          <w:rFonts w:ascii="仿宋" w:hAnsi="仿宋" w:eastAsia="仿宋" w:cs="仿宋"/>
          <w:color w:val="000000"/>
          <w:sz w:val="32"/>
          <w:szCs w:val="32"/>
        </w:rPr>
        <w:t>29</w:t>
      </w:r>
      <w:r>
        <w:rPr>
          <w:rFonts w:hint="eastAsia" w:ascii="仿宋" w:hAnsi="仿宋" w:eastAsia="仿宋" w:cs="仿宋"/>
          <w:color w:val="000000"/>
          <w:sz w:val="32"/>
          <w:szCs w:val="32"/>
        </w:rPr>
        <w:t>°</w:t>
      </w:r>
      <w:r>
        <w:rPr>
          <w:rFonts w:ascii="仿宋" w:hAnsi="仿宋" w:eastAsia="仿宋" w:cs="仿宋"/>
          <w:color w:val="000000"/>
          <w:sz w:val="32"/>
          <w:szCs w:val="32"/>
        </w:rPr>
        <w:t>14'48"</w:t>
      </w:r>
      <w:r>
        <w:rPr>
          <w:rFonts w:hint="eastAsia" w:ascii="仿宋" w:hAnsi="仿宋" w:eastAsia="仿宋" w:cs="仿宋"/>
          <w:color w:val="000000"/>
          <w:sz w:val="32"/>
          <w:szCs w:val="32"/>
        </w:rPr>
        <w:t>之间，海拔高度在</w:t>
      </w:r>
      <w:r>
        <w:rPr>
          <w:rFonts w:ascii="仿宋" w:hAnsi="仿宋" w:eastAsia="仿宋" w:cs="仿宋"/>
          <w:color w:val="000000"/>
          <w:sz w:val="32"/>
          <w:szCs w:val="32"/>
        </w:rPr>
        <w:t xml:space="preserve"> 115m</w:t>
      </w:r>
      <w:r>
        <w:rPr>
          <w:rFonts w:hint="eastAsia" w:ascii="仿宋" w:hAnsi="仿宋" w:eastAsia="仿宋" w:cs="仿宋"/>
          <w:color w:val="000000"/>
          <w:sz w:val="32"/>
          <w:szCs w:val="32"/>
        </w:rPr>
        <w:t>～</w:t>
      </w:r>
      <w:r>
        <w:rPr>
          <w:rFonts w:ascii="仿宋" w:hAnsi="仿宋" w:eastAsia="仿宋" w:cs="仿宋"/>
          <w:color w:val="000000"/>
          <w:sz w:val="32"/>
          <w:szCs w:val="32"/>
        </w:rPr>
        <w:t>287m</w:t>
      </w:r>
      <w:r>
        <w:rPr>
          <w:rFonts w:hint="eastAsia" w:ascii="仿宋" w:hAnsi="仿宋" w:eastAsia="仿宋" w:cs="仿宋"/>
          <w:color w:val="000000"/>
          <w:sz w:val="32"/>
          <w:szCs w:val="32"/>
        </w:rPr>
        <w:t>之间，总用地面积</w:t>
      </w:r>
      <w:r>
        <w:rPr>
          <w:rFonts w:ascii="仿宋" w:hAnsi="仿宋" w:eastAsia="仿宋" w:cs="仿宋"/>
          <w:color w:val="000000"/>
          <w:sz w:val="32"/>
          <w:szCs w:val="32"/>
        </w:rPr>
        <w:t>51.97hm</w:t>
      </w:r>
      <w:r>
        <w:rPr>
          <w:rFonts w:ascii="仿宋" w:hAnsi="仿宋" w:eastAsia="仿宋" w:cs="仿宋"/>
          <w:color w:val="000000"/>
          <w:sz w:val="32"/>
          <w:szCs w:val="32"/>
          <w:vertAlign w:val="superscript"/>
        </w:rPr>
        <w:t>2</w:t>
      </w:r>
      <w:r>
        <w:rPr>
          <w:rFonts w:hint="eastAsia" w:ascii="仿宋" w:hAnsi="仿宋" w:eastAsia="仿宋" w:cs="仿宋"/>
          <w:color w:val="000000"/>
          <w:sz w:val="32"/>
          <w:szCs w:val="32"/>
        </w:rPr>
        <w:t>，其中永久用地面积</w:t>
      </w:r>
      <w:r>
        <w:rPr>
          <w:rFonts w:ascii="仿宋" w:hAnsi="仿宋" w:eastAsia="仿宋" w:cs="仿宋"/>
          <w:color w:val="000000"/>
          <w:sz w:val="32"/>
          <w:szCs w:val="32"/>
        </w:rPr>
        <w:t>17.38hm</w:t>
      </w:r>
      <w:r>
        <w:rPr>
          <w:rFonts w:ascii="仿宋" w:hAnsi="仿宋" w:eastAsia="仿宋" w:cs="仿宋"/>
          <w:color w:val="000000"/>
          <w:sz w:val="32"/>
          <w:szCs w:val="32"/>
          <w:vertAlign w:val="superscript"/>
        </w:rPr>
        <w:t>2</w:t>
      </w:r>
      <w:r>
        <w:rPr>
          <w:rFonts w:hint="eastAsia" w:ascii="仿宋" w:hAnsi="仿宋" w:eastAsia="仿宋" w:cs="仿宋"/>
          <w:color w:val="000000"/>
          <w:sz w:val="32"/>
          <w:szCs w:val="32"/>
        </w:rPr>
        <w:t>，临时用地面积</w:t>
      </w:r>
      <w:r>
        <w:rPr>
          <w:rFonts w:ascii="仿宋" w:hAnsi="仿宋" w:eastAsia="仿宋" w:cs="仿宋"/>
          <w:color w:val="000000"/>
          <w:sz w:val="32"/>
          <w:szCs w:val="32"/>
        </w:rPr>
        <w:t>34.59hm</w:t>
      </w:r>
      <w:r>
        <w:rPr>
          <w:rFonts w:ascii="仿宋" w:hAnsi="仿宋" w:eastAsia="仿宋" w:cs="仿宋"/>
          <w:color w:val="000000"/>
          <w:sz w:val="32"/>
          <w:szCs w:val="32"/>
          <w:vertAlign w:val="superscript"/>
        </w:rPr>
        <w:t>2</w:t>
      </w:r>
      <w:r>
        <w:rPr>
          <w:rFonts w:hint="eastAsia" w:ascii="仿宋" w:hAnsi="仿宋" w:eastAsia="仿宋" w:cs="仿宋"/>
          <w:color w:val="000000"/>
          <w:sz w:val="32"/>
          <w:szCs w:val="32"/>
        </w:rPr>
        <w:t>。风电场设计安装</w:t>
      </w:r>
      <w:r>
        <w:rPr>
          <w:rFonts w:ascii="仿宋" w:hAnsi="仿宋" w:eastAsia="仿宋" w:cs="仿宋"/>
          <w:color w:val="000000"/>
          <w:sz w:val="32"/>
          <w:szCs w:val="32"/>
        </w:rPr>
        <w:t>36</w:t>
      </w:r>
      <w:r>
        <w:rPr>
          <w:rFonts w:hint="eastAsia" w:ascii="仿宋" w:hAnsi="仿宋" w:eastAsia="仿宋" w:cs="仿宋"/>
          <w:color w:val="000000"/>
          <w:sz w:val="32"/>
          <w:szCs w:val="32"/>
        </w:rPr>
        <w:t>台单机容量为</w:t>
      </w:r>
      <w:r>
        <w:rPr>
          <w:rFonts w:ascii="仿宋" w:hAnsi="仿宋" w:eastAsia="仿宋" w:cs="仿宋"/>
          <w:color w:val="000000"/>
          <w:sz w:val="32"/>
          <w:szCs w:val="32"/>
        </w:rPr>
        <w:t>2500kW</w:t>
      </w:r>
      <w:r>
        <w:rPr>
          <w:rFonts w:hint="eastAsia" w:ascii="仿宋" w:hAnsi="仿宋" w:eastAsia="仿宋" w:cs="仿宋"/>
          <w:color w:val="000000"/>
          <w:sz w:val="32"/>
          <w:szCs w:val="32"/>
        </w:rPr>
        <w:t>的风力发电机组，采用一机一变，每台风机采用一台箱式变电站。另设两台备选机位，总装机规模为</w:t>
      </w:r>
      <w:r>
        <w:rPr>
          <w:rFonts w:ascii="仿宋" w:hAnsi="仿宋" w:eastAsia="仿宋" w:cs="仿宋"/>
          <w:color w:val="000000"/>
          <w:sz w:val="32"/>
          <w:szCs w:val="32"/>
        </w:rPr>
        <w:t>90MW</w:t>
      </w:r>
      <w:r>
        <w:rPr>
          <w:rFonts w:hint="eastAsia" w:ascii="仿宋" w:hAnsi="仿宋" w:eastAsia="仿宋" w:cs="仿宋"/>
          <w:color w:val="000000"/>
          <w:sz w:val="32"/>
          <w:szCs w:val="32"/>
        </w:rPr>
        <w:t>，同时配套新建一座</w:t>
      </w:r>
      <w:r>
        <w:rPr>
          <w:rFonts w:ascii="仿宋" w:hAnsi="仿宋" w:eastAsia="仿宋" w:cs="仿宋"/>
          <w:color w:val="000000"/>
          <w:sz w:val="32"/>
          <w:szCs w:val="32"/>
        </w:rPr>
        <w:t>110kV</w:t>
      </w:r>
      <w:r>
        <w:rPr>
          <w:rFonts w:hint="eastAsia" w:ascii="仿宋" w:hAnsi="仿宋" w:eastAsia="仿宋" w:cs="仿宋"/>
          <w:color w:val="000000"/>
          <w:sz w:val="32"/>
          <w:szCs w:val="32"/>
        </w:rPr>
        <w:t>升压站，升压站拟以</w:t>
      </w:r>
      <w:r>
        <w:rPr>
          <w:rFonts w:ascii="仿宋" w:hAnsi="仿宋" w:eastAsia="仿宋" w:cs="仿宋"/>
          <w:color w:val="000000"/>
          <w:sz w:val="32"/>
          <w:szCs w:val="32"/>
        </w:rPr>
        <w:t>1</w:t>
      </w:r>
      <w:r>
        <w:rPr>
          <w:rFonts w:hint="eastAsia" w:ascii="仿宋" w:hAnsi="仿宋" w:eastAsia="仿宋" w:cs="仿宋"/>
          <w:color w:val="000000"/>
          <w:sz w:val="32"/>
          <w:szCs w:val="32"/>
        </w:rPr>
        <w:t>回</w:t>
      </w:r>
      <w:r>
        <w:rPr>
          <w:rFonts w:ascii="仿宋" w:hAnsi="仿宋" w:eastAsia="仿宋" w:cs="仿宋"/>
          <w:color w:val="000000"/>
          <w:sz w:val="32"/>
          <w:szCs w:val="32"/>
        </w:rPr>
        <w:t>110kV</w:t>
      </w:r>
      <w:r>
        <w:rPr>
          <w:rFonts w:hint="eastAsia" w:ascii="仿宋" w:hAnsi="仿宋" w:eastAsia="仿宋" w:cs="仿宋"/>
          <w:color w:val="000000"/>
          <w:sz w:val="32"/>
          <w:szCs w:val="32"/>
        </w:rPr>
        <w:t>架空线接入</w:t>
      </w:r>
      <w:r>
        <w:rPr>
          <w:rFonts w:ascii="仿宋" w:hAnsi="仿宋" w:eastAsia="仿宋" w:cs="仿宋"/>
          <w:color w:val="000000"/>
          <w:sz w:val="32"/>
          <w:szCs w:val="32"/>
        </w:rPr>
        <w:t xml:space="preserve">110kV </w:t>
      </w:r>
      <w:r>
        <w:rPr>
          <w:rFonts w:hint="eastAsia" w:ascii="仿宋" w:hAnsi="仿宋" w:eastAsia="仿宋" w:cs="仿宋"/>
          <w:color w:val="000000"/>
          <w:sz w:val="32"/>
          <w:szCs w:val="32"/>
        </w:rPr>
        <w:t>植山变电站，线路长度约</w:t>
      </w:r>
      <w:r>
        <w:rPr>
          <w:rFonts w:ascii="仿宋" w:hAnsi="仿宋" w:eastAsia="仿宋" w:cs="仿宋"/>
          <w:color w:val="000000"/>
          <w:sz w:val="32"/>
          <w:szCs w:val="32"/>
        </w:rPr>
        <w:t>7km</w:t>
      </w:r>
      <w:r>
        <w:rPr>
          <w:rFonts w:hint="eastAsia" w:ascii="仿宋" w:hAnsi="仿宋" w:eastAsia="仿宋" w:cs="仿宋"/>
          <w:color w:val="000000"/>
          <w:sz w:val="32"/>
          <w:szCs w:val="32"/>
        </w:rPr>
        <w:t>。主要建设内容为：</w:t>
      </w:r>
      <w:r>
        <w:rPr>
          <w:rFonts w:hint="eastAsia" w:ascii="宋体" w:hAnsi="宋体" w:cs="宋体"/>
          <w:color w:val="000000"/>
          <w:sz w:val="32"/>
          <w:szCs w:val="32"/>
        </w:rPr>
        <w:t>①</w:t>
      </w:r>
      <w:r>
        <w:rPr>
          <w:rFonts w:hint="eastAsia" w:ascii="仿宋" w:hAnsi="仿宋" w:eastAsia="仿宋" w:cs="仿宋"/>
          <w:color w:val="000000"/>
          <w:sz w:val="32"/>
          <w:szCs w:val="32"/>
        </w:rPr>
        <w:t>风力发电机组：</w:t>
      </w:r>
      <w:r>
        <w:rPr>
          <w:rFonts w:ascii="仿宋" w:hAnsi="仿宋" w:eastAsia="仿宋" w:cs="仿宋"/>
          <w:color w:val="000000"/>
          <w:sz w:val="32"/>
          <w:szCs w:val="32"/>
        </w:rPr>
        <w:t>36</w:t>
      </w:r>
      <w:r>
        <w:rPr>
          <w:rFonts w:hint="eastAsia" w:ascii="仿宋" w:hAnsi="仿宋" w:eastAsia="仿宋" w:cs="仿宋"/>
          <w:color w:val="000000"/>
          <w:sz w:val="32"/>
          <w:szCs w:val="32"/>
        </w:rPr>
        <w:t>台风力发电机组，配套</w:t>
      </w:r>
      <w:r>
        <w:rPr>
          <w:rFonts w:ascii="仿宋" w:hAnsi="仿宋" w:eastAsia="仿宋" w:cs="仿宋"/>
          <w:color w:val="000000"/>
          <w:sz w:val="32"/>
          <w:szCs w:val="32"/>
        </w:rPr>
        <w:t>36</w:t>
      </w:r>
      <w:r>
        <w:rPr>
          <w:rFonts w:hint="eastAsia" w:ascii="仿宋" w:hAnsi="仿宋" w:eastAsia="仿宋" w:cs="仿宋"/>
          <w:color w:val="000000"/>
          <w:sz w:val="32"/>
          <w:szCs w:val="32"/>
        </w:rPr>
        <w:t>台</w:t>
      </w:r>
      <w:r>
        <w:rPr>
          <w:rFonts w:ascii="仿宋" w:hAnsi="仿宋" w:eastAsia="仿宋" w:cs="仿宋"/>
          <w:color w:val="000000"/>
          <w:sz w:val="32"/>
          <w:szCs w:val="32"/>
        </w:rPr>
        <w:t>2500kVA</w:t>
      </w:r>
      <w:r>
        <w:rPr>
          <w:rFonts w:hint="eastAsia" w:ascii="仿宋" w:hAnsi="仿宋" w:eastAsia="仿宋" w:cs="仿宋"/>
          <w:color w:val="000000"/>
          <w:sz w:val="32"/>
          <w:szCs w:val="32"/>
        </w:rPr>
        <w:t>箱式变电站；②交通道路：改造进场道路约</w:t>
      </w:r>
      <w:r>
        <w:rPr>
          <w:rFonts w:ascii="仿宋" w:hAnsi="仿宋" w:eastAsia="仿宋" w:cs="仿宋"/>
          <w:color w:val="000000"/>
          <w:sz w:val="32"/>
          <w:szCs w:val="32"/>
        </w:rPr>
        <w:t>12.16km</w:t>
      </w:r>
      <w:r>
        <w:rPr>
          <w:rFonts w:hint="eastAsia" w:ascii="仿宋" w:hAnsi="仿宋" w:eastAsia="仿宋" w:cs="仿宋"/>
          <w:color w:val="000000"/>
          <w:sz w:val="32"/>
          <w:szCs w:val="32"/>
        </w:rPr>
        <w:t>，从岳临高速</w:t>
      </w:r>
      <w:r>
        <w:rPr>
          <w:rFonts w:ascii="仿宋" w:hAnsi="仿宋" w:eastAsia="仿宋" w:cs="仿宋"/>
          <w:color w:val="000000"/>
          <w:sz w:val="32"/>
          <w:szCs w:val="32"/>
        </w:rPr>
        <w:t>S61</w:t>
      </w:r>
      <w:r>
        <w:rPr>
          <w:rFonts w:hint="eastAsia" w:ascii="仿宋" w:hAnsi="仿宋" w:eastAsia="仿宋" w:cs="仿宋"/>
          <w:color w:val="000000"/>
          <w:sz w:val="32"/>
          <w:szCs w:val="32"/>
        </w:rPr>
        <w:t>收费站下高速～经省道</w:t>
      </w:r>
      <w:r>
        <w:rPr>
          <w:rFonts w:ascii="仿宋" w:hAnsi="仿宋" w:eastAsia="仿宋" w:cs="仿宋"/>
          <w:color w:val="000000"/>
          <w:sz w:val="32"/>
          <w:szCs w:val="32"/>
        </w:rPr>
        <w:t>S306</w:t>
      </w:r>
      <w:r>
        <w:rPr>
          <w:rFonts w:hint="eastAsia" w:ascii="仿宋" w:hAnsi="仿宋" w:eastAsia="仿宋" w:cs="仿宋"/>
          <w:color w:val="000000"/>
          <w:sz w:val="32"/>
          <w:szCs w:val="32"/>
        </w:rPr>
        <w:t>至新开镇～转国道</w:t>
      </w:r>
      <w:r>
        <w:rPr>
          <w:rFonts w:ascii="仿宋" w:hAnsi="仿宋" w:eastAsia="仿宋" w:cs="仿宋"/>
          <w:color w:val="000000"/>
          <w:sz w:val="32"/>
          <w:szCs w:val="32"/>
        </w:rPr>
        <w:t>G107</w:t>
      </w:r>
      <w:r>
        <w:rPr>
          <w:rFonts w:hint="eastAsia" w:ascii="仿宋" w:hAnsi="仿宋" w:eastAsia="仿宋" w:cs="仿宋"/>
          <w:color w:val="000000"/>
          <w:sz w:val="32"/>
          <w:szCs w:val="32"/>
        </w:rPr>
        <w:t>至风电场山脚；新建临时施工检修道路总长约</w:t>
      </w:r>
      <w:r>
        <w:rPr>
          <w:rFonts w:ascii="仿宋" w:hAnsi="仿宋" w:eastAsia="仿宋" w:cs="仿宋"/>
          <w:color w:val="000000"/>
          <w:sz w:val="32"/>
          <w:szCs w:val="32"/>
        </w:rPr>
        <w:t>21.83km</w:t>
      </w:r>
      <w:r>
        <w:rPr>
          <w:rFonts w:hint="eastAsia" w:ascii="仿宋" w:hAnsi="仿宋" w:eastAsia="仿宋" w:cs="仿宋"/>
          <w:color w:val="000000"/>
          <w:sz w:val="32"/>
          <w:szCs w:val="32"/>
        </w:rPr>
        <w:t>；③集电线路：集电线路采用直埋敷设方式，总长度</w:t>
      </w:r>
      <w:r>
        <w:rPr>
          <w:rFonts w:ascii="仿宋" w:hAnsi="仿宋" w:eastAsia="仿宋" w:cs="仿宋"/>
          <w:color w:val="000000"/>
          <w:sz w:val="32"/>
          <w:szCs w:val="32"/>
        </w:rPr>
        <w:t>44.0km</w:t>
      </w:r>
      <w:r>
        <w:rPr>
          <w:rFonts w:hint="eastAsia" w:ascii="仿宋" w:hAnsi="仿宋" w:eastAsia="仿宋" w:cs="仿宋"/>
          <w:color w:val="000000"/>
          <w:sz w:val="32"/>
          <w:szCs w:val="32"/>
        </w:rPr>
        <w:t>；④升压变电站：包括综合楼、主变压器、动态无功补偿装置、危废暂存间等。⑤环保工程：水土保持工程、污水处理设施、事故油池、噪声防治工程和固体废物暂存场所。工程另设临时施工生产生活区</w:t>
      </w:r>
      <w:r>
        <w:rPr>
          <w:rFonts w:ascii="仿宋" w:hAnsi="仿宋" w:eastAsia="仿宋" w:cs="仿宋"/>
          <w:color w:val="000000"/>
          <w:sz w:val="32"/>
          <w:szCs w:val="32"/>
        </w:rPr>
        <w:t>1</w:t>
      </w:r>
      <w:r>
        <w:rPr>
          <w:rFonts w:hint="eastAsia" w:ascii="仿宋" w:hAnsi="仿宋" w:eastAsia="仿宋" w:cs="仿宋"/>
          <w:color w:val="000000"/>
          <w:sz w:val="32"/>
          <w:szCs w:val="32"/>
        </w:rPr>
        <w:t>个，弃渣场</w:t>
      </w:r>
      <w:r>
        <w:rPr>
          <w:rFonts w:ascii="仿宋" w:hAnsi="仿宋" w:eastAsia="仿宋" w:cs="仿宋"/>
          <w:color w:val="000000"/>
          <w:sz w:val="32"/>
          <w:szCs w:val="32"/>
        </w:rPr>
        <w:t>6</w:t>
      </w:r>
      <w:r>
        <w:rPr>
          <w:rFonts w:hint="eastAsia" w:ascii="仿宋" w:hAnsi="仿宋" w:eastAsia="仿宋" w:cs="仿宋"/>
          <w:color w:val="000000"/>
          <w:sz w:val="32"/>
          <w:szCs w:val="32"/>
        </w:rPr>
        <w:t>处，表土堆存区</w:t>
      </w:r>
      <w:r>
        <w:rPr>
          <w:rFonts w:ascii="仿宋" w:hAnsi="仿宋" w:eastAsia="仿宋" w:cs="仿宋"/>
          <w:color w:val="000000"/>
          <w:sz w:val="32"/>
          <w:szCs w:val="32"/>
        </w:rPr>
        <w:t>1</w:t>
      </w:r>
      <w:r>
        <w:rPr>
          <w:rFonts w:hint="eastAsia" w:ascii="仿宋" w:hAnsi="仿宋" w:eastAsia="仿宋" w:cs="仿宋"/>
          <w:color w:val="000000"/>
          <w:sz w:val="32"/>
          <w:szCs w:val="32"/>
        </w:rPr>
        <w:t>处。项目总投资</w:t>
      </w:r>
      <w:r>
        <w:rPr>
          <w:rFonts w:ascii="仿宋" w:hAnsi="仿宋" w:eastAsia="仿宋" w:cs="仿宋"/>
          <w:color w:val="000000"/>
          <w:sz w:val="32"/>
          <w:szCs w:val="32"/>
        </w:rPr>
        <w:t>80186</w:t>
      </w:r>
      <w:r>
        <w:rPr>
          <w:rFonts w:hint="eastAsia" w:ascii="仿宋" w:hAnsi="仿宋" w:eastAsia="仿宋" w:cs="仿宋"/>
          <w:color w:val="000000"/>
          <w:sz w:val="32"/>
          <w:szCs w:val="32"/>
        </w:rPr>
        <w:t>万元，其中环保投资</w:t>
      </w:r>
      <w:r>
        <w:rPr>
          <w:rFonts w:ascii="仿宋" w:hAnsi="仿宋" w:eastAsia="仿宋" w:cs="仿宋"/>
          <w:color w:val="000000"/>
          <w:sz w:val="32"/>
          <w:szCs w:val="32"/>
        </w:rPr>
        <w:t>615</w:t>
      </w:r>
      <w:r>
        <w:rPr>
          <w:rFonts w:hint="eastAsia" w:ascii="仿宋" w:hAnsi="仿宋" w:eastAsia="仿宋" w:cs="仿宋"/>
          <w:color w:val="000000"/>
          <w:sz w:val="32"/>
          <w:szCs w:val="32"/>
        </w:rPr>
        <w:t>万元，预计</w:t>
      </w:r>
      <w:r>
        <w:rPr>
          <w:rFonts w:ascii="仿宋" w:hAnsi="仿宋" w:eastAsia="仿宋" w:cs="仿宋"/>
          <w:color w:val="000000"/>
          <w:sz w:val="32"/>
          <w:szCs w:val="32"/>
        </w:rPr>
        <w:t>2020</w:t>
      </w:r>
      <w:r>
        <w:rPr>
          <w:rFonts w:hint="eastAsia" w:ascii="仿宋" w:hAnsi="仿宋" w:eastAsia="仿宋" w:cs="仿宋"/>
          <w:color w:val="000000"/>
          <w:sz w:val="32"/>
          <w:szCs w:val="32"/>
        </w:rPr>
        <w:t>年</w:t>
      </w:r>
      <w:r>
        <w:rPr>
          <w:rFonts w:ascii="仿宋" w:hAnsi="仿宋" w:eastAsia="仿宋" w:cs="仿宋"/>
          <w:color w:val="000000"/>
          <w:sz w:val="32"/>
          <w:szCs w:val="32"/>
        </w:rPr>
        <w:t>10</w:t>
      </w:r>
      <w:r>
        <w:rPr>
          <w:rFonts w:hint="eastAsia" w:ascii="仿宋" w:hAnsi="仿宋" w:eastAsia="仿宋" w:cs="仿宋"/>
          <w:color w:val="000000"/>
          <w:sz w:val="32"/>
          <w:szCs w:val="32"/>
        </w:rPr>
        <w:t>月投产。项目建成后，年上网电量为</w:t>
      </w:r>
      <w:r>
        <w:rPr>
          <w:rFonts w:ascii="仿宋" w:hAnsi="仿宋" w:eastAsia="仿宋" w:cs="仿宋"/>
          <w:color w:val="000000"/>
          <w:sz w:val="32"/>
          <w:szCs w:val="32"/>
        </w:rPr>
        <w:t>18603</w:t>
      </w:r>
      <w:r>
        <w:rPr>
          <w:rFonts w:hint="eastAsia" w:ascii="仿宋" w:hAnsi="仿宋" w:eastAsia="仿宋" w:cs="仿宋"/>
          <w:color w:val="000000"/>
          <w:sz w:val="32"/>
          <w:szCs w:val="32"/>
        </w:rPr>
        <w:t>万</w:t>
      </w:r>
      <w:r>
        <w:rPr>
          <w:rFonts w:ascii="仿宋" w:hAnsi="仿宋" w:eastAsia="仿宋" w:cs="仿宋"/>
          <w:color w:val="000000"/>
          <w:sz w:val="32"/>
          <w:szCs w:val="32"/>
        </w:rPr>
        <w:t>kW•h</w:t>
      </w:r>
      <w:r>
        <w:rPr>
          <w:rFonts w:hint="eastAsia" w:ascii="仿宋" w:hAnsi="仿宋" w:eastAsia="仿宋" w:cs="仿宋"/>
          <w:color w:val="000000"/>
          <w:sz w:val="32"/>
          <w:szCs w:val="32"/>
        </w:rPr>
        <w:t>。经折算，每年可节约标煤</w:t>
      </w:r>
      <w:r>
        <w:rPr>
          <w:rFonts w:ascii="仿宋" w:hAnsi="仿宋" w:eastAsia="仿宋" w:cs="仿宋"/>
          <w:color w:val="000000"/>
          <w:sz w:val="32"/>
          <w:szCs w:val="32"/>
        </w:rPr>
        <w:t>5.8</w:t>
      </w:r>
      <w:r>
        <w:rPr>
          <w:rFonts w:hint="eastAsia" w:ascii="仿宋" w:hAnsi="仿宋" w:eastAsia="仿宋" w:cs="仿宋"/>
          <w:color w:val="000000"/>
          <w:sz w:val="32"/>
          <w:szCs w:val="32"/>
        </w:rPr>
        <w:t>万吨，每年可减少排放二氧化硫</w:t>
      </w:r>
      <w:r>
        <w:rPr>
          <w:rFonts w:ascii="仿宋" w:hAnsi="仿宋" w:eastAsia="仿宋" w:cs="仿宋"/>
          <w:color w:val="000000"/>
          <w:sz w:val="32"/>
          <w:szCs w:val="32"/>
        </w:rPr>
        <w:t>(SO</w:t>
      </w:r>
      <w:r>
        <w:rPr>
          <w:rFonts w:ascii="仿宋" w:hAnsi="仿宋" w:eastAsia="仿宋" w:cs="仿宋"/>
          <w:color w:val="000000"/>
          <w:sz w:val="32"/>
          <w:szCs w:val="32"/>
          <w:vertAlign w:val="subscript"/>
        </w:rPr>
        <w:t>2</w:t>
      </w:r>
      <w:r>
        <w:rPr>
          <w:rFonts w:ascii="仿宋" w:hAnsi="仿宋" w:eastAsia="仿宋" w:cs="仿宋"/>
          <w:color w:val="000000"/>
          <w:sz w:val="32"/>
          <w:szCs w:val="32"/>
        </w:rPr>
        <w:t>)</w:t>
      </w:r>
      <w:r>
        <w:rPr>
          <w:rFonts w:hint="eastAsia" w:ascii="仿宋" w:hAnsi="仿宋" w:eastAsia="仿宋" w:cs="仿宋"/>
          <w:color w:val="000000"/>
          <w:sz w:val="32"/>
          <w:szCs w:val="32"/>
        </w:rPr>
        <w:t>约</w:t>
      </w:r>
      <w:r>
        <w:rPr>
          <w:rFonts w:ascii="仿宋" w:hAnsi="仿宋" w:eastAsia="仿宋" w:cs="仿宋"/>
          <w:color w:val="000000"/>
          <w:sz w:val="32"/>
          <w:szCs w:val="32"/>
        </w:rPr>
        <w:t>1107.5</w:t>
      </w:r>
      <w:r>
        <w:rPr>
          <w:rFonts w:hint="eastAsia" w:ascii="仿宋" w:hAnsi="仿宋" w:eastAsia="仿宋" w:cs="仿宋"/>
          <w:color w:val="000000"/>
          <w:sz w:val="32"/>
          <w:szCs w:val="32"/>
        </w:rPr>
        <w:t>吨、碳氢化合物</w:t>
      </w:r>
      <w:r>
        <w:rPr>
          <w:rFonts w:ascii="仿宋" w:hAnsi="仿宋" w:eastAsia="仿宋" w:cs="仿宋"/>
          <w:color w:val="000000"/>
          <w:sz w:val="32"/>
          <w:szCs w:val="32"/>
        </w:rPr>
        <w:t>(C</w:t>
      </w:r>
      <w:r>
        <w:rPr>
          <w:rFonts w:ascii="仿宋" w:hAnsi="仿宋" w:eastAsia="仿宋" w:cs="仿宋"/>
          <w:color w:val="000000"/>
          <w:sz w:val="32"/>
          <w:szCs w:val="32"/>
          <w:vertAlign w:val="subscript"/>
        </w:rPr>
        <w:t>n</w:t>
      </w:r>
      <w:r>
        <w:rPr>
          <w:rFonts w:ascii="仿宋" w:hAnsi="仿宋" w:eastAsia="仿宋" w:cs="仿宋"/>
          <w:color w:val="000000"/>
          <w:sz w:val="32"/>
          <w:szCs w:val="32"/>
        </w:rPr>
        <w:t>H</w:t>
      </w:r>
      <w:r>
        <w:rPr>
          <w:rFonts w:ascii="仿宋" w:hAnsi="仿宋" w:eastAsia="仿宋" w:cs="仿宋"/>
          <w:color w:val="000000"/>
          <w:sz w:val="32"/>
          <w:szCs w:val="32"/>
          <w:vertAlign w:val="subscript"/>
        </w:rPr>
        <w:t>n</w:t>
      </w:r>
      <w:r>
        <w:rPr>
          <w:rFonts w:ascii="仿宋" w:hAnsi="仿宋" w:eastAsia="仿宋" w:cs="仿宋"/>
          <w:color w:val="000000"/>
          <w:sz w:val="32"/>
          <w:szCs w:val="32"/>
        </w:rPr>
        <w:t>)</w:t>
      </w:r>
      <w:r>
        <w:rPr>
          <w:rFonts w:hint="eastAsia" w:ascii="仿宋" w:hAnsi="仿宋" w:eastAsia="仿宋" w:cs="仿宋"/>
          <w:color w:val="000000"/>
          <w:sz w:val="32"/>
          <w:szCs w:val="32"/>
        </w:rPr>
        <w:t>约</w:t>
      </w:r>
      <w:r>
        <w:rPr>
          <w:rFonts w:ascii="仿宋" w:hAnsi="仿宋" w:eastAsia="仿宋" w:cs="仿宋"/>
          <w:color w:val="000000"/>
          <w:sz w:val="32"/>
          <w:szCs w:val="32"/>
        </w:rPr>
        <w:t>6.3</w:t>
      </w:r>
      <w:r>
        <w:rPr>
          <w:rFonts w:hint="eastAsia" w:ascii="仿宋" w:hAnsi="仿宋" w:eastAsia="仿宋" w:cs="仿宋"/>
          <w:color w:val="000000"/>
          <w:sz w:val="32"/>
          <w:szCs w:val="32"/>
        </w:rPr>
        <w:t>吨、氮氧化物</w:t>
      </w:r>
      <w:r>
        <w:rPr>
          <w:rFonts w:ascii="仿宋" w:hAnsi="仿宋" w:eastAsia="仿宋" w:cs="仿宋"/>
          <w:color w:val="000000"/>
          <w:sz w:val="32"/>
          <w:szCs w:val="32"/>
        </w:rPr>
        <w:t>(</w:t>
      </w:r>
      <w:r>
        <w:rPr>
          <w:rFonts w:hint="eastAsia" w:ascii="仿宋" w:hAnsi="仿宋" w:eastAsia="仿宋" w:cs="仿宋"/>
          <w:color w:val="000000"/>
          <w:sz w:val="32"/>
          <w:szCs w:val="32"/>
        </w:rPr>
        <w:t>以</w:t>
      </w:r>
      <w:r>
        <w:rPr>
          <w:rFonts w:ascii="仿宋" w:hAnsi="仿宋" w:eastAsia="仿宋" w:cs="仿宋"/>
          <w:color w:val="000000"/>
          <w:sz w:val="32"/>
          <w:szCs w:val="32"/>
        </w:rPr>
        <w:t>NO</w:t>
      </w:r>
      <w:r>
        <w:rPr>
          <w:rFonts w:ascii="仿宋" w:hAnsi="仿宋" w:eastAsia="仿宋" w:cs="仿宋"/>
          <w:color w:val="000000"/>
          <w:sz w:val="32"/>
          <w:szCs w:val="32"/>
          <w:vertAlign w:val="subscript"/>
        </w:rPr>
        <w:t>2</w:t>
      </w:r>
      <w:r>
        <w:rPr>
          <w:rFonts w:hint="eastAsia" w:ascii="仿宋" w:hAnsi="仿宋" w:eastAsia="仿宋" w:cs="仿宋"/>
          <w:color w:val="000000"/>
          <w:sz w:val="32"/>
          <w:szCs w:val="32"/>
        </w:rPr>
        <w:t>计</w:t>
      </w:r>
      <w:r>
        <w:rPr>
          <w:rFonts w:ascii="仿宋" w:hAnsi="仿宋" w:eastAsia="仿宋" w:cs="仿宋"/>
          <w:color w:val="000000"/>
          <w:sz w:val="32"/>
          <w:szCs w:val="32"/>
        </w:rPr>
        <w:t>)</w:t>
      </w:r>
      <w:r>
        <w:rPr>
          <w:rFonts w:hint="eastAsia" w:ascii="仿宋" w:hAnsi="仿宋" w:eastAsia="仿宋" w:cs="仿宋"/>
          <w:color w:val="000000"/>
          <w:sz w:val="32"/>
          <w:szCs w:val="32"/>
        </w:rPr>
        <w:t>约</w:t>
      </w:r>
      <w:r>
        <w:rPr>
          <w:rFonts w:ascii="仿宋" w:hAnsi="仿宋" w:eastAsia="仿宋" w:cs="仿宋"/>
          <w:color w:val="000000"/>
          <w:sz w:val="32"/>
          <w:szCs w:val="32"/>
        </w:rPr>
        <w:t>629.1</w:t>
      </w:r>
      <w:r>
        <w:rPr>
          <w:rFonts w:hint="eastAsia" w:ascii="仿宋" w:hAnsi="仿宋" w:eastAsia="仿宋" w:cs="仿宋"/>
          <w:color w:val="000000"/>
          <w:sz w:val="32"/>
          <w:szCs w:val="32"/>
        </w:rPr>
        <w:t>吨、灰渣约</w:t>
      </w:r>
      <w:r>
        <w:rPr>
          <w:rFonts w:ascii="仿宋" w:hAnsi="仿宋" w:eastAsia="仿宋" w:cs="仿宋"/>
          <w:color w:val="000000"/>
          <w:sz w:val="32"/>
          <w:szCs w:val="32"/>
        </w:rPr>
        <w:t>1.8</w:t>
      </w:r>
      <w:r>
        <w:rPr>
          <w:rFonts w:hint="eastAsia" w:ascii="仿宋" w:hAnsi="仿宋" w:eastAsia="仿宋" w:cs="仿宋"/>
          <w:color w:val="000000"/>
          <w:sz w:val="32"/>
          <w:szCs w:val="32"/>
        </w:rPr>
        <w:t>万吨。根据湖南葆</w:t>
      </w:r>
      <w:r>
        <w:rPr>
          <w:rFonts w:hint="eastAsia" w:ascii="仿宋" w:hAnsi="仿宋" w:eastAsia="仿宋"/>
          <w:bCs/>
          <w:color w:val="000000"/>
          <w:sz w:val="32"/>
          <w:szCs w:val="32"/>
        </w:rPr>
        <w:t>华环保有限公司</w:t>
      </w:r>
      <w:r>
        <w:rPr>
          <w:rFonts w:hint="eastAsia" w:ascii="仿宋" w:hAnsi="仿宋" w:eastAsia="仿宋"/>
          <w:sz w:val="32"/>
          <w:szCs w:val="32"/>
        </w:rPr>
        <w:t>编制的《岳阳新</w:t>
      </w:r>
      <w:r>
        <w:rPr>
          <w:rFonts w:hint="eastAsia" w:ascii="仿宋" w:hAnsi="仿宋" w:eastAsia="仿宋" w:cs="仿宋"/>
          <w:color w:val="000000"/>
          <w:sz w:val="32"/>
          <w:szCs w:val="32"/>
        </w:rPr>
        <w:t>开马山风电场工程环境影响报告表</w:t>
      </w:r>
      <w:r>
        <w:rPr>
          <w:rFonts w:hint="eastAsia" w:ascii="仿宋" w:hAnsi="仿宋" w:eastAsia="仿宋"/>
          <w:sz w:val="32"/>
          <w:szCs w:val="32"/>
        </w:rPr>
        <w:t>（报批稿）》的基本内容、结论、专家评审意见和岳阳市生态环境局岳阳县分局预审意见，综合考虑，我局原则同意你公司环境影响报告表中所列建设项目的性质、规模、工艺、地点和环境保护对策措施。</w:t>
      </w:r>
      <w:r>
        <w:rPr>
          <w:rFonts w:ascii="仿宋" w:hAnsi="仿宋" w:eastAsia="仿宋"/>
          <w:b/>
          <w:sz w:val="32"/>
          <w:szCs w:val="32"/>
        </w:rPr>
        <w:t xml:space="preserve"> </w:t>
      </w:r>
    </w:p>
    <w:p>
      <w:pPr>
        <w:pStyle w:val="6"/>
        <w:keepNext w:val="0"/>
        <w:keepLines w:val="0"/>
        <w:pageBreakBefore w:val="0"/>
        <w:widowControl w:val="0"/>
        <w:kinsoku/>
        <w:wordWrap/>
        <w:overflowPunct/>
        <w:topLinePunct w:val="0"/>
        <w:bidi w:val="0"/>
        <w:adjustRightInd/>
        <w:snapToGrid/>
        <w:spacing w:after="0"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二、项目建设及营运过程中，须全面落实环境影响报告表提出的各项污染防治和生态保护措施，并着重做好以下工作：</w:t>
      </w:r>
      <w:r>
        <w:rPr>
          <w:rFonts w:ascii="仿宋" w:hAnsi="仿宋" w:eastAsia="仿宋"/>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（一）重点加强施工期环境保护工作。强化施工期环境管理，</w:t>
      </w:r>
      <w:r>
        <w:rPr>
          <w:rFonts w:hint="eastAsia" w:ascii="仿宋" w:hAnsi="仿宋" w:eastAsia="仿宋" w:cs="仿宋"/>
          <w:color w:val="000000"/>
          <w:sz w:val="32"/>
          <w:szCs w:val="32"/>
          <w:u w:val="none"/>
        </w:rPr>
        <w:t>做好施工期环境监理工作</w:t>
      </w:r>
      <w:r>
        <w:rPr>
          <w:rFonts w:hint="eastAsia"/>
          <w:sz w:val="32"/>
          <w:szCs w:val="32"/>
          <w:u w:val="none"/>
        </w:rPr>
        <w:t>。</w:t>
      </w:r>
      <w:r>
        <w:rPr>
          <w:rFonts w:hint="eastAsia" w:ascii="仿宋" w:hAnsi="仿宋" w:eastAsia="仿宋" w:cs="仿宋"/>
          <w:color w:val="000000"/>
          <w:sz w:val="32"/>
          <w:szCs w:val="32"/>
          <w:u w:val="none"/>
        </w:rPr>
        <w:t>优</w:t>
      </w:r>
      <w:r>
        <w:rPr>
          <w:rFonts w:hint="eastAsia" w:ascii="仿宋" w:hAnsi="仿宋" w:eastAsia="仿宋" w:cs="仿宋"/>
          <w:color w:val="000000"/>
          <w:sz w:val="32"/>
          <w:szCs w:val="32"/>
        </w:rPr>
        <w:t>化施工方案，严格落实报告表中提出各项施工扬尘、噪声、废水、弃渣的防治措施，确保不对麻布山省级森林公园等</w:t>
      </w:r>
      <w:r>
        <w:rPr>
          <w:rFonts w:hint="eastAsia" w:ascii="仿宋" w:hAnsi="仿宋" w:eastAsia="仿宋" w:cs="仿宋"/>
          <w:color w:val="000000"/>
          <w:sz w:val="32"/>
          <w:szCs w:val="32"/>
          <w:lang w:val="en-US" w:eastAsia="zh-CN"/>
        </w:rPr>
        <w:t>重点保护区域</w:t>
      </w:r>
      <w:r>
        <w:rPr>
          <w:rFonts w:hint="eastAsia" w:ascii="仿宋" w:hAnsi="仿宋" w:eastAsia="仿宋" w:cs="仿宋"/>
          <w:color w:val="000000"/>
          <w:sz w:val="32"/>
          <w:szCs w:val="32"/>
        </w:rPr>
        <w:t>造成影响，确保减少施工期扬尘、废水等对其他周边环境的影响，避免造成施工扰民。施工废水及生活污水经处理后回用于生产，不得外排。施工区域、施工道路、取弃土场及时洒水抑尘，施工采用商品混凝土，现场不得设置搅拌场。合理安排施工时间，防止噪声扰民。</w:t>
      </w:r>
      <w:r>
        <w:rPr>
          <w:rFonts w:hint="eastAsia" w:ascii="仿宋" w:hAnsi="仿宋" w:eastAsia="仿宋" w:cs="仿宋"/>
          <w:color w:val="000000"/>
          <w:sz w:val="32"/>
          <w:szCs w:val="32"/>
          <w:lang w:val="en-US" w:eastAsia="zh-CN"/>
        </w:rPr>
        <w:t>科学设置物料运输路线，物料运输采用专用密闭式运输车辆，确保沿途不撒漏，不扰民。</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二）生态防治工作。落实《生态专题报告》提出的各项生态保护措施。严格控制施工场界，不得越界施工破坏周边生态环境。合理规范设置弃渣场、表土堆存区、临时施工生产生活区、施工便道等临时工程，避让麻布山省级森林公园等生态敏感区和生态红线</w:t>
      </w:r>
      <w:r>
        <w:rPr>
          <w:rFonts w:hint="eastAsia" w:ascii="仿宋" w:hAnsi="仿宋" w:eastAsia="仿宋"/>
          <w:sz w:val="32"/>
          <w:szCs w:val="32"/>
          <w:lang w:val="en-US" w:eastAsia="zh-CN"/>
        </w:rPr>
        <w:t>区</w:t>
      </w:r>
      <w:r>
        <w:rPr>
          <w:rFonts w:hint="eastAsia" w:ascii="仿宋" w:hAnsi="仿宋" w:eastAsia="仿宋"/>
          <w:sz w:val="32"/>
          <w:szCs w:val="32"/>
        </w:rPr>
        <w:t>，做好相应防护措施，弃渣场及时进行防护和压坡处理，做好引水排水工程措施，确保不对麻布山省级森林公园等</w:t>
      </w:r>
      <w:r>
        <w:rPr>
          <w:rFonts w:hint="eastAsia" w:ascii="仿宋" w:hAnsi="仿宋" w:eastAsia="仿宋"/>
          <w:sz w:val="32"/>
          <w:szCs w:val="32"/>
          <w:lang w:val="en-US" w:eastAsia="zh-CN"/>
        </w:rPr>
        <w:t>环境</w:t>
      </w:r>
      <w:r>
        <w:rPr>
          <w:rFonts w:hint="eastAsia" w:ascii="仿宋" w:hAnsi="仿宋" w:eastAsia="仿宋"/>
          <w:sz w:val="32"/>
          <w:szCs w:val="32"/>
        </w:rPr>
        <w:t>敏感区和周边环境造成影响。施工过程中，尽量减少对场地原植被的扰动，对临时性占地破坏的植被按要求边施工边恢复，施工结束后，及时做好施工便道、临时堆场等临时工程的现场清理及生态恢复、补偿工作。</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三）落实运营期环保措施。升压站厂区雨污分流，变压器发生事故时泄漏的含油废水经隔油处理后与升压站生活污水一并经配套的地埋式一体化污水处理设备处理达标后回用于周边绿化，不外排。做好风电机组、箱式变压器的检查维护，规范设置固体废物暂存间、事故集油池，产生的废油、废蓄电池等危险废物经妥善收集后交由有资质单位安全处置。升压站厂界噪声执行《工业企业厂界环境噪声排放标准》（GB12348-2008）中 2 类标准。</w:t>
      </w:r>
      <w:r>
        <w:rPr>
          <w:rFonts w:hint="eastAsia" w:ascii="仿宋" w:hAnsi="仿宋" w:eastAsia="仿宋"/>
          <w:sz w:val="32"/>
          <w:szCs w:val="32"/>
          <w:u w:val="none"/>
        </w:rPr>
        <w:t>站界工频电场强度、工频磁感应强度执行《电磁环境控制限值》(GB8702-2014)中相应限值。</w:t>
      </w:r>
      <w:r>
        <w:rPr>
          <w:rFonts w:hint="eastAsia" w:ascii="仿宋" w:hAnsi="仿宋" w:eastAsia="仿宋"/>
          <w:sz w:val="32"/>
          <w:szCs w:val="32"/>
          <w:u w:val="none"/>
          <w:lang w:val="en-US" w:eastAsia="zh-CN"/>
        </w:rPr>
        <w:t>采取措施</w:t>
      </w:r>
      <w:r>
        <w:rPr>
          <w:rFonts w:hint="eastAsia" w:ascii="仿宋" w:hAnsi="仿宋" w:eastAsia="仿宋"/>
          <w:sz w:val="32"/>
          <w:szCs w:val="32"/>
          <w:u w:val="none"/>
        </w:rPr>
        <w:t>减</w:t>
      </w:r>
      <w:r>
        <w:rPr>
          <w:rFonts w:hint="eastAsia" w:ascii="仿宋" w:hAnsi="仿宋" w:eastAsia="仿宋"/>
          <w:sz w:val="32"/>
          <w:szCs w:val="32"/>
        </w:rPr>
        <w:t>少风电场运行的噪声影响，做到噪声不扰民。生活垃圾及时交由环卫部门清运处理。</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sz w:val="32"/>
          <w:szCs w:val="32"/>
        </w:rPr>
      </w:pPr>
      <w:r>
        <w:rPr>
          <w:rFonts w:hint="eastAsia"/>
          <w:sz w:val="32"/>
          <w:szCs w:val="32"/>
        </w:rPr>
        <w:t>（</w:t>
      </w:r>
      <w:r>
        <w:rPr>
          <w:rFonts w:hint="eastAsia" w:ascii="仿宋" w:hAnsi="仿宋" w:eastAsia="仿宋"/>
          <w:sz w:val="32"/>
          <w:szCs w:val="32"/>
        </w:rPr>
        <w:t>四）配合做好周边控规工作。公司应配合当地政府及有关主管部门做好相关控规工作，项目风电机组平台边界300米和升压站站址半径300 米范围内禁止新建居民点、幼儿园、学校、医院等噪声敏感建筑物。</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sz w:val="32"/>
          <w:szCs w:val="32"/>
          <w:u w:val="none"/>
        </w:rPr>
      </w:pPr>
      <w:r>
        <w:rPr>
          <w:rFonts w:hint="eastAsia" w:ascii="仿宋" w:hAnsi="仿宋" w:eastAsia="仿宋"/>
          <w:sz w:val="32"/>
          <w:szCs w:val="32"/>
        </w:rPr>
        <w:t>（五）环境管理和环境风险防范工作。配备专职环保管理人员并加强环境管理培训，建立健全污染防治设施运行、环境管理等各类台帐，做好定期环境监测工作，确保各项污染防治设施的正常运行，各类污染物稳定达标排放。严格落实报告表中提出的各项风险防范措施，做好危废暂存场所防渗防漏措施，储备应急物资并组织演练，确保周边环境安全。</w:t>
      </w:r>
      <w:r>
        <w:rPr>
          <w:rFonts w:hint="eastAsia" w:ascii="仿宋" w:hAnsi="仿宋" w:eastAsia="仿宋"/>
          <w:sz w:val="32"/>
          <w:szCs w:val="32"/>
          <w:u w:val="none"/>
        </w:rPr>
        <w:t>项目施工、运行过程中，若对周边环境保护目标的环境影响超出报告表预测结果，应及时采取相应措施</w:t>
      </w:r>
      <w:r>
        <w:rPr>
          <w:rFonts w:hint="eastAsia" w:ascii="仿宋" w:hAnsi="仿宋" w:eastAsia="仿宋"/>
          <w:sz w:val="32"/>
          <w:szCs w:val="32"/>
          <w:u w:val="none"/>
          <w:lang w:val="en-US" w:eastAsia="zh-CN"/>
        </w:rPr>
        <w:t>解决影响</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adjustRightInd/>
        <w:snapToGrid/>
        <w:spacing w:line="500" w:lineRule="exact"/>
        <w:ind w:firstLine="640"/>
        <w:textAlignment w:val="auto"/>
        <w:rPr>
          <w:rFonts w:ascii="仿宋" w:hAnsi="仿宋" w:eastAsia="仿宋"/>
          <w:sz w:val="32"/>
          <w:szCs w:val="32"/>
        </w:rPr>
      </w:pPr>
      <w:r>
        <w:rPr>
          <w:rFonts w:hint="eastAsia" w:ascii="仿宋" w:hAnsi="仿宋" w:eastAsia="仿宋"/>
          <w:sz w:val="32"/>
          <w:szCs w:val="32"/>
        </w:rPr>
        <w:t>三、你公司应收到本批复后</w:t>
      </w:r>
      <w:r>
        <w:rPr>
          <w:rFonts w:ascii="仿宋" w:hAnsi="仿宋" w:eastAsia="仿宋"/>
          <w:sz w:val="32"/>
          <w:szCs w:val="32"/>
        </w:rPr>
        <w:t>15</w:t>
      </w:r>
      <w:r>
        <w:rPr>
          <w:rFonts w:hint="eastAsia" w:ascii="仿宋" w:hAnsi="仿宋" w:eastAsia="仿宋"/>
          <w:sz w:val="32"/>
          <w:szCs w:val="32"/>
        </w:rPr>
        <w:t>个工作日内，将批复及批准的环评报告文件送岳阳市生态环境局岳阳县分局、湖南葆华环保有限公司。</w:t>
      </w:r>
    </w:p>
    <w:p>
      <w:pPr>
        <w:keepNext w:val="0"/>
        <w:keepLines w:val="0"/>
        <w:pageBreakBefore w:val="0"/>
        <w:widowControl w:val="0"/>
        <w:kinsoku/>
        <w:wordWrap/>
        <w:overflowPunct/>
        <w:topLinePunct w:val="0"/>
        <w:bidi w:val="0"/>
        <w:adjustRightInd/>
        <w:snapToGrid/>
        <w:spacing w:line="500" w:lineRule="exact"/>
        <w:ind w:firstLine="640"/>
        <w:textAlignment w:val="auto"/>
        <w:rPr>
          <w:rFonts w:ascii="仿宋" w:hAnsi="仿宋" w:eastAsia="仿宋"/>
          <w:sz w:val="32"/>
          <w:szCs w:val="32"/>
        </w:rPr>
      </w:pPr>
      <w:r>
        <w:rPr>
          <w:rFonts w:hint="eastAsia" w:ascii="仿宋" w:hAnsi="仿宋" w:eastAsia="仿宋"/>
          <w:sz w:val="32"/>
          <w:szCs w:val="32"/>
        </w:rPr>
        <w:t>四、请岳阳市生态环境局岳阳县分局负责项目建设和运营期的日常环境监管。</w:t>
      </w:r>
    </w:p>
    <w:p>
      <w:pPr>
        <w:spacing w:line="400" w:lineRule="exact"/>
        <w:rPr>
          <w:rFonts w:ascii="仿宋" w:hAnsi="仿宋" w:eastAsia="仿宋"/>
          <w:sz w:val="32"/>
          <w:szCs w:val="32"/>
        </w:rPr>
      </w:pPr>
    </w:p>
    <w:p>
      <w:pPr>
        <w:spacing w:line="400" w:lineRule="exact"/>
        <w:rPr>
          <w:rFonts w:ascii="仿宋" w:hAnsi="仿宋" w:eastAsia="仿宋"/>
          <w:sz w:val="32"/>
          <w:szCs w:val="32"/>
        </w:rPr>
      </w:pPr>
      <w:r>
        <w:rPr>
          <w:rFonts w:ascii="仿宋" w:hAnsi="仿宋" w:eastAsia="仿宋"/>
          <w:sz w:val="32"/>
          <w:szCs w:val="32"/>
        </w:rPr>
        <w:t xml:space="preserve"> </w:t>
      </w: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40" w:lineRule="exact"/>
        <w:ind w:firstLine="4499" w:firstLineChars="1406"/>
        <w:rPr>
          <w:rFonts w:ascii="仿宋" w:hAnsi="仿宋" w:eastAsia="仿宋"/>
          <w:sz w:val="32"/>
          <w:szCs w:val="32"/>
        </w:rPr>
      </w:pPr>
      <w:r>
        <w:rPr>
          <w:rFonts w:hint="eastAsia" w:ascii="仿宋" w:hAnsi="仿宋" w:eastAsia="仿宋"/>
          <w:sz w:val="32"/>
          <w:szCs w:val="32"/>
        </w:rPr>
        <w:t>岳阳市生态环境局</w:t>
      </w:r>
    </w:p>
    <w:p>
      <w:pPr>
        <w:spacing w:line="440" w:lineRule="exact"/>
        <w:ind w:firstLine="4499" w:firstLineChars="1406"/>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w:t>
      </w:r>
    </w:p>
    <w:p>
      <w:pPr>
        <w:pStyle w:val="2"/>
      </w:pPr>
    </w:p>
    <w:p>
      <w:pPr>
        <w:pStyle w:val="4"/>
        <w:ind w:left="420" w:hanging="420"/>
      </w:pPr>
    </w:p>
    <w:p/>
    <w:p>
      <w:pPr>
        <w:pStyle w:val="2"/>
      </w:pPr>
    </w:p>
    <w:p>
      <w:pPr>
        <w:pStyle w:val="4"/>
        <w:ind w:left="420" w:hanging="420"/>
      </w:pPr>
    </w:p>
    <w:p/>
    <w:p>
      <w:pPr>
        <w:pStyle w:val="2"/>
      </w:pPr>
    </w:p>
    <w:p>
      <w:pPr>
        <w:pStyle w:val="4"/>
      </w:pPr>
    </w:p>
    <w:p>
      <w:pPr>
        <w:keepNext w:val="0"/>
        <w:keepLines w:val="0"/>
        <w:pageBreakBefore w:val="0"/>
        <w:widowControl w:val="0"/>
        <w:kinsoku/>
        <w:wordWrap/>
        <w:overflowPunct/>
        <w:topLinePunct w:val="0"/>
        <w:bidi w:val="0"/>
        <w:snapToGrid/>
        <w:spacing w:line="200" w:lineRule="exact"/>
      </w:pPr>
    </w:p>
    <w:p>
      <w:pPr>
        <w:pStyle w:val="2"/>
        <w:keepNext w:val="0"/>
        <w:keepLines w:val="0"/>
        <w:pageBreakBefore w:val="0"/>
        <w:widowControl w:val="0"/>
        <w:kinsoku/>
        <w:wordWrap/>
        <w:overflowPunct/>
        <w:topLinePunct w:val="0"/>
        <w:bidi w:val="0"/>
        <w:snapToGrid/>
        <w:spacing w:line="200" w:lineRule="exact"/>
      </w:pPr>
    </w:p>
    <w:p>
      <w:pPr>
        <w:pStyle w:val="4"/>
      </w:pPr>
    </w:p>
    <w:p>
      <w:pPr>
        <w:pStyle w:val="4"/>
        <w:keepNext w:val="0"/>
        <w:keepLines w:val="0"/>
        <w:pageBreakBefore w:val="0"/>
        <w:widowControl w:val="0"/>
        <w:kinsoku/>
        <w:wordWrap/>
        <w:overflowPunct/>
        <w:topLinePunct w:val="0"/>
        <w:bidi w:val="0"/>
        <w:snapToGrid/>
        <w:spacing w:line="200" w:lineRule="exact"/>
      </w:pPr>
    </w:p>
    <w:p>
      <w:pPr>
        <w:keepNext w:val="0"/>
        <w:keepLines w:val="0"/>
        <w:pageBreakBefore w:val="0"/>
        <w:widowControl w:val="0"/>
        <w:kinsoku/>
        <w:wordWrap/>
        <w:overflowPunct/>
        <w:topLinePunct w:val="0"/>
        <w:bidi w:val="0"/>
        <w:snapToGrid/>
        <w:spacing w:line="200" w:lineRule="exact"/>
      </w:pPr>
    </w:p>
    <w:p>
      <w:pPr>
        <w:pStyle w:val="2"/>
      </w:pPr>
    </w:p>
    <w:p>
      <w:pPr>
        <w:pStyle w:val="4"/>
      </w:pPr>
    </w:p>
    <w:p/>
    <w:p>
      <w:pPr>
        <w:pStyle w:val="2"/>
      </w:pPr>
    </w:p>
    <w:p>
      <w:pPr>
        <w:pStyle w:val="4"/>
      </w:pPr>
    </w:p>
    <w:p/>
    <w:p>
      <w:pPr>
        <w:pStyle w:val="2"/>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p>
      <w:pPr>
        <w:spacing w:line="20" w:lineRule="exact"/>
        <w:ind w:firstLine="2952" w:firstLineChars="1406"/>
        <w:rPr>
          <w:rFonts w:ascii="仿宋" w:hAnsi="仿宋" w:eastAsia="仿宋"/>
          <w:szCs w:val="21"/>
        </w:rPr>
      </w:pPr>
    </w:p>
    <w:tbl>
      <w:tblPr>
        <w:tblStyle w:val="10"/>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920" w:type="dxa"/>
            <w:vAlign w:val="center"/>
          </w:tcPr>
          <w:p>
            <w:pPr>
              <w:spacing w:line="460" w:lineRule="exact"/>
              <w:rPr>
                <w:rFonts w:ascii="仿宋" w:hAnsi="仿宋" w:eastAsia="仿宋"/>
                <w:sz w:val="32"/>
                <w:szCs w:val="32"/>
              </w:rPr>
            </w:pPr>
            <w:r>
              <w:rPr>
                <w:rFonts w:hint="eastAsia" w:ascii="仿宋" w:hAnsi="仿宋" w:eastAsia="仿宋"/>
                <w:sz w:val="32"/>
                <w:szCs w:val="32"/>
              </w:rPr>
              <w:t>抄送：岳阳市生态环境局岳阳县分局</w:t>
            </w:r>
            <w:r>
              <w:rPr>
                <w:rFonts w:hint="eastAsia" w:ascii="仿宋" w:hAnsi="仿宋" w:eastAsia="仿宋"/>
                <w:bCs/>
                <w:color w:val="000000"/>
                <w:sz w:val="32"/>
                <w:szCs w:val="32"/>
              </w:rPr>
              <w:t>、湖南葆华环保有限公司</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6"/>
      <w:numFmt w:val="decimal"/>
      <w:lvlText w:val="%1."/>
      <w:lvlJc w:val="left"/>
      <w:pPr>
        <w:tabs>
          <w:tab w:val="left" w:pos="425"/>
        </w:tabs>
        <w:ind w:left="425" w:hanging="425"/>
      </w:pPr>
      <w:rPr>
        <w:rFonts w:hint="default" w:ascii="Times New Roman" w:hAnsi="Times New Roman" w:eastAsia="黑体" w:cs="Times New Roman"/>
        <w:b/>
        <w:i w:val="0"/>
        <w:caps w:val="0"/>
        <w:sz w:val="24"/>
        <w:szCs w:val="24"/>
      </w:rPr>
    </w:lvl>
    <w:lvl w:ilvl="1" w:tentative="0">
      <w:start w:val="1"/>
      <w:numFmt w:val="decimal"/>
      <w:suff w:val="space"/>
      <w:lvlText w:val="%1.%2."/>
      <w:lvlJc w:val="left"/>
      <w:rPr>
        <w:rFonts w:hint="eastAsia" w:ascii="Times New Roman" w:hAnsi="Times New Roman" w:cs="Times New Roman"/>
        <w:b w:val="0"/>
        <w:bCs w:val="0"/>
        <w:i w:val="0"/>
        <w:iCs w:val="0"/>
        <w:caps w:val="0"/>
        <w:smallCaps w:val="0"/>
        <w:snapToGrid w:val="0"/>
        <w:color w:val="000000"/>
        <w:spacing w:val="0"/>
        <w:w w:val="0"/>
        <w:kern w:val="0"/>
        <w:position w:val="0"/>
        <w:sz w:val="16"/>
        <w:szCs w:val="16"/>
        <w:u w:val="none"/>
      </w:rPr>
    </w:lvl>
    <w:lvl w:ilvl="2" w:tentative="0">
      <w:start w:val="1"/>
      <w:numFmt w:val="decimal"/>
      <w:suff w:val="space"/>
      <w:lvlText w:val="%1.%2.%3."/>
      <w:lvlJc w:val="left"/>
      <w:rPr>
        <w:rFonts w:hint="default" w:ascii="Times New Roman" w:hAnsi="Times New Roman" w:eastAsia="宋体" w:cs="Times New Roman"/>
        <w:b/>
        <w:i w:val="0"/>
        <w:caps w:val="0"/>
        <w:sz w:val="24"/>
        <w:szCs w:val="24"/>
      </w:rPr>
    </w:lvl>
    <w:lvl w:ilvl="3" w:tentative="0">
      <w:start w:val="1"/>
      <w:numFmt w:val="decimal"/>
      <w:pStyle w:val="5"/>
      <w:suff w:val="space"/>
      <w:lvlText w:val="%1.%2.%3.%4."/>
      <w:lvlJc w:val="left"/>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00000006"/>
    <w:multiLevelType w:val="multilevel"/>
    <w:tmpl w:val="00000006"/>
    <w:lvl w:ilvl="0" w:tentative="0">
      <w:start w:val="1"/>
      <w:numFmt w:val="lowerLetter"/>
      <w:lvlText w:val="%1."/>
      <w:lvlJc w:val="left"/>
      <w:pPr>
        <w:tabs>
          <w:tab w:val="left" w:pos="420"/>
        </w:tabs>
        <w:ind w:firstLine="539"/>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19"/>
      <w:lvlText w:val="%3."/>
      <w:lvlJc w:val="right"/>
      <w:pPr>
        <w:tabs>
          <w:tab w:val="left" w:pos="1260"/>
        </w:tabs>
        <w:ind w:left="1260" w:hanging="420"/>
      </w:pPr>
      <w:rPr>
        <w:rFonts w:cs="Times New Roman"/>
      </w:rPr>
    </w:lvl>
    <w:lvl w:ilvl="3" w:tentative="0">
      <w:start w:val="1"/>
      <w:numFmt w:val="decimal"/>
      <w:pStyle w:val="18"/>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C796DEE"/>
    <w:rsid w:val="0003078D"/>
    <w:rsid w:val="001300E9"/>
    <w:rsid w:val="00183CFD"/>
    <w:rsid w:val="001F77A9"/>
    <w:rsid w:val="00322464"/>
    <w:rsid w:val="00453A6F"/>
    <w:rsid w:val="005406CA"/>
    <w:rsid w:val="007A0565"/>
    <w:rsid w:val="007A0F1E"/>
    <w:rsid w:val="008D4A79"/>
    <w:rsid w:val="00D55F69"/>
    <w:rsid w:val="00E27411"/>
    <w:rsid w:val="00F4753F"/>
    <w:rsid w:val="00F65768"/>
    <w:rsid w:val="017D39C7"/>
    <w:rsid w:val="029A058B"/>
    <w:rsid w:val="02E55161"/>
    <w:rsid w:val="07C92730"/>
    <w:rsid w:val="0A39078E"/>
    <w:rsid w:val="0AE50591"/>
    <w:rsid w:val="0BD237BE"/>
    <w:rsid w:val="0C0D5335"/>
    <w:rsid w:val="0C796DEE"/>
    <w:rsid w:val="0CE317C6"/>
    <w:rsid w:val="0F0735E8"/>
    <w:rsid w:val="105B4539"/>
    <w:rsid w:val="179D7F30"/>
    <w:rsid w:val="17D62F52"/>
    <w:rsid w:val="1953258D"/>
    <w:rsid w:val="1A38469B"/>
    <w:rsid w:val="204D1471"/>
    <w:rsid w:val="213A25F4"/>
    <w:rsid w:val="220B4127"/>
    <w:rsid w:val="227A776D"/>
    <w:rsid w:val="22A52B96"/>
    <w:rsid w:val="25362187"/>
    <w:rsid w:val="26F05B81"/>
    <w:rsid w:val="27C83B25"/>
    <w:rsid w:val="29CF09C8"/>
    <w:rsid w:val="2A1A16F5"/>
    <w:rsid w:val="2B217314"/>
    <w:rsid w:val="2B576B93"/>
    <w:rsid w:val="2CD31743"/>
    <w:rsid w:val="32A33064"/>
    <w:rsid w:val="348952A6"/>
    <w:rsid w:val="34EA786A"/>
    <w:rsid w:val="360A4D55"/>
    <w:rsid w:val="38EB200F"/>
    <w:rsid w:val="38FC5BAE"/>
    <w:rsid w:val="3BFE4195"/>
    <w:rsid w:val="3E55643A"/>
    <w:rsid w:val="41C31735"/>
    <w:rsid w:val="427272BC"/>
    <w:rsid w:val="43F86C28"/>
    <w:rsid w:val="449F0AD3"/>
    <w:rsid w:val="48E2140A"/>
    <w:rsid w:val="49EE07B0"/>
    <w:rsid w:val="49F65368"/>
    <w:rsid w:val="4A736923"/>
    <w:rsid w:val="53786406"/>
    <w:rsid w:val="54B0424F"/>
    <w:rsid w:val="5A0B30FF"/>
    <w:rsid w:val="5B430A93"/>
    <w:rsid w:val="5CDA5553"/>
    <w:rsid w:val="5D393FF7"/>
    <w:rsid w:val="64A61064"/>
    <w:rsid w:val="64C97536"/>
    <w:rsid w:val="652713AE"/>
    <w:rsid w:val="66E72F59"/>
    <w:rsid w:val="68790F67"/>
    <w:rsid w:val="72153D95"/>
    <w:rsid w:val="7235033F"/>
    <w:rsid w:val="731208FB"/>
    <w:rsid w:val="75B336AD"/>
    <w:rsid w:val="79695A0A"/>
    <w:rsid w:val="7AB04FD1"/>
    <w:rsid w:val="7D537E2E"/>
    <w:rsid w:val="7DB72009"/>
    <w:rsid w:val="7E136B2F"/>
    <w:rsid w:val="7F436D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4"/>
    <w:basedOn w:val="1"/>
    <w:next w:val="1"/>
    <w:link w:val="12"/>
    <w:qFormat/>
    <w:uiPriority w:val="99"/>
    <w:pPr>
      <w:keepNext/>
      <w:keepLines/>
      <w:numPr>
        <w:ilvl w:val="3"/>
        <w:numId w:val="1"/>
      </w:numPr>
      <w:tabs>
        <w:tab w:val="left" w:pos="425"/>
        <w:tab w:val="left" w:pos="1060"/>
      </w:tabs>
      <w:spacing w:line="360" w:lineRule="auto"/>
      <w:ind w:firstLine="422" w:firstLineChars="200"/>
      <w:outlineLvl w:val="3"/>
    </w:pPr>
    <w:rPr>
      <w:rFonts w:ascii="Times New Roman" w:hAnsi="Times New Roman"/>
      <w:bCs/>
      <w:sz w:val="24"/>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pPr>
    <w:rPr>
      <w:rFonts w:ascii="黑体" w:hAnsi="Calibri" w:eastAsia="黑体" w:cs="黑体"/>
      <w:color w:val="000000"/>
      <w:sz w:val="24"/>
      <w:szCs w:val="24"/>
    </w:rPr>
  </w:style>
  <w:style w:type="paragraph" w:customStyle="1" w:styleId="3">
    <w:name w:val="纯文本1"/>
    <w:basedOn w:val="1"/>
    <w:uiPriority w:val="99"/>
    <w:pPr>
      <w:adjustRightInd w:val="0"/>
      <w:textAlignment w:val="baseline"/>
    </w:pPr>
    <w:rPr>
      <w:rFonts w:ascii="宋体" w:hAnsi="Courier New"/>
      <w:szCs w:val="20"/>
    </w:rPr>
  </w:style>
  <w:style w:type="paragraph" w:styleId="4">
    <w:name w:val="List"/>
    <w:basedOn w:val="1"/>
    <w:next w:val="1"/>
    <w:uiPriority w:val="99"/>
    <w:pPr>
      <w:ind w:left="200" w:hanging="200" w:hangingChars="200"/>
      <w:contextualSpacing/>
    </w:pPr>
  </w:style>
  <w:style w:type="paragraph" w:styleId="6">
    <w:name w:val="Body Text"/>
    <w:basedOn w:val="1"/>
    <w:next w:val="7"/>
    <w:link w:val="13"/>
    <w:uiPriority w:val="99"/>
    <w:pPr>
      <w:spacing w:after="120"/>
    </w:pPr>
  </w:style>
  <w:style w:type="paragraph" w:customStyle="1" w:styleId="7">
    <w:name w:val="xl27"/>
    <w:basedOn w:val="1"/>
    <w:uiPriority w:val="99"/>
    <w:pPr>
      <w:widowControl/>
      <w:pBdr>
        <w:bottom w:val="single" w:color="auto" w:sz="4" w:space="0"/>
        <w:right w:val="single" w:color="auto" w:sz="4" w:space="0"/>
      </w:pBdr>
      <w:spacing w:beforeAutospacing="1" w:afterAutospacing="1"/>
      <w:jc w:val="center"/>
    </w:pPr>
    <w:rPr>
      <w:kern w:val="0"/>
      <w:szCs w:val="21"/>
    </w:rPr>
  </w:style>
  <w:style w:type="paragraph" w:styleId="8">
    <w:name w:val="footer"/>
    <w:basedOn w:val="1"/>
    <w:link w:val="14"/>
    <w:uiPriority w:val="99"/>
    <w:pPr>
      <w:tabs>
        <w:tab w:val="center" w:pos="4153"/>
        <w:tab w:val="right" w:pos="8306"/>
      </w:tabs>
      <w:snapToGrid w:val="0"/>
      <w:jc w:val="left"/>
    </w:pPr>
    <w:rPr>
      <w:sz w:val="18"/>
    </w:rPr>
  </w:style>
  <w:style w:type="paragraph" w:styleId="9">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2">
    <w:name w:val="Heading 4 Char"/>
    <w:basedOn w:val="11"/>
    <w:link w:val="5"/>
    <w:semiHidden/>
    <w:uiPriority w:val="9"/>
    <w:rPr>
      <w:rFonts w:asciiTheme="majorHAnsi" w:hAnsiTheme="majorHAnsi" w:eastAsiaTheme="majorEastAsia" w:cstheme="majorBidi"/>
      <w:b/>
      <w:bCs/>
      <w:sz w:val="28"/>
      <w:szCs w:val="28"/>
    </w:rPr>
  </w:style>
  <w:style w:type="character" w:customStyle="1" w:styleId="13">
    <w:name w:val="Body Text Char"/>
    <w:basedOn w:val="11"/>
    <w:link w:val="6"/>
    <w:semiHidden/>
    <w:uiPriority w:val="99"/>
    <w:rPr>
      <w:rFonts w:ascii="Calibri" w:hAnsi="Calibri"/>
      <w:szCs w:val="24"/>
    </w:rPr>
  </w:style>
  <w:style w:type="character" w:customStyle="1" w:styleId="14">
    <w:name w:val="Footer Char"/>
    <w:basedOn w:val="11"/>
    <w:link w:val="8"/>
    <w:semiHidden/>
    <w:uiPriority w:val="99"/>
    <w:rPr>
      <w:rFonts w:ascii="Calibri" w:hAnsi="Calibri"/>
      <w:sz w:val="18"/>
      <w:szCs w:val="18"/>
    </w:rPr>
  </w:style>
  <w:style w:type="character" w:customStyle="1" w:styleId="15">
    <w:name w:val="Header Char"/>
    <w:basedOn w:val="11"/>
    <w:link w:val="9"/>
    <w:semiHidden/>
    <w:uiPriority w:val="99"/>
    <w:rPr>
      <w:rFonts w:ascii="Calibri" w:hAnsi="Calibri"/>
      <w:sz w:val="18"/>
      <w:szCs w:val="18"/>
    </w:rPr>
  </w:style>
  <w:style w:type="paragraph" w:customStyle="1" w:styleId="16">
    <w:name w:val="四级条标题"/>
    <w:basedOn w:val="17"/>
    <w:next w:val="21"/>
    <w:uiPriority w:val="99"/>
    <w:pPr>
      <w:tabs>
        <w:tab w:val="left" w:pos="1260"/>
      </w:tabs>
      <w:outlineLvl w:val="5"/>
    </w:pPr>
    <w:rPr>
      <w:szCs w:val="20"/>
    </w:rPr>
  </w:style>
  <w:style w:type="paragraph" w:customStyle="1" w:styleId="17">
    <w:name w:val="三级条标题"/>
    <w:basedOn w:val="18"/>
    <w:next w:val="21"/>
    <w:uiPriority w:val="99"/>
    <w:pPr>
      <w:numPr>
        <w:numId w:val="0"/>
      </w:numPr>
      <w:tabs>
        <w:tab w:val="left" w:pos="1260"/>
      </w:tabs>
      <w:outlineLvl w:val="4"/>
    </w:pPr>
  </w:style>
  <w:style w:type="paragraph" w:customStyle="1" w:styleId="18">
    <w:name w:val="二级条标题"/>
    <w:basedOn w:val="19"/>
    <w:next w:val="21"/>
    <w:uiPriority w:val="99"/>
    <w:pPr>
      <w:numPr>
        <w:ilvl w:val="3"/>
      </w:numPr>
      <w:tabs>
        <w:tab w:val="left" w:pos="1260"/>
      </w:tabs>
      <w:outlineLvl w:val="3"/>
    </w:pPr>
  </w:style>
  <w:style w:type="paragraph" w:customStyle="1" w:styleId="19">
    <w:name w:val="一级条标题"/>
    <w:basedOn w:val="20"/>
    <w:next w:val="21"/>
    <w:uiPriority w:val="99"/>
    <w:pPr>
      <w:numPr>
        <w:ilvl w:val="2"/>
        <w:numId w:val="2"/>
      </w:numPr>
      <w:spacing w:beforeLines="0" w:afterLines="0"/>
      <w:outlineLvl w:val="2"/>
    </w:pPr>
  </w:style>
  <w:style w:type="paragraph" w:customStyle="1" w:styleId="20">
    <w:name w:val="章标题"/>
    <w:next w:val="21"/>
    <w:uiPriority w:val="99"/>
    <w:pPr>
      <w:spacing w:beforeLines="50" w:afterLines="50"/>
      <w:jc w:val="both"/>
      <w:outlineLvl w:val="1"/>
    </w:pPr>
    <w:rPr>
      <w:rFonts w:ascii="黑体" w:hAnsi="Times New Roman" w:eastAsia="黑体" w:cs="Times New Roman"/>
      <w:kern w:val="0"/>
      <w:sz w:val="21"/>
      <w:szCs w:val="22"/>
      <w:lang w:val="en-US" w:eastAsia="zh-CN" w:bidi="ar-SA"/>
    </w:rPr>
  </w:style>
  <w:style w:type="paragraph" w:customStyle="1" w:styleId="21">
    <w:name w:val="段"/>
    <w:uiPriority w:val="99"/>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22">
    <w:name w:val="0"/>
    <w:basedOn w:val="1"/>
    <w:uiPriority w:val="99"/>
    <w:pPr>
      <w:widowControl/>
      <w:snapToGrid w:val="0"/>
      <w:spacing w:line="365" w:lineRule="atLeast"/>
      <w:ind w:left="1"/>
      <w:textAlignment w:val="bottom"/>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341</Words>
  <Characters>1949</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2020-01-15T07:02:00Z</dcterms:created>
  <dc:creator>Administrator</dc:creator>
  <cp:lastModifiedBy>Administrator</cp:lastModifiedBy>
  <dcterms:modified xsi:type="dcterms:W3CDTF">2020-03-18T01:30:46Z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