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13" w:rsidRDefault="00A14E13">
      <w:pPr>
        <w:pStyle w:val="p0"/>
        <w:rPr>
          <w:rFonts w:eastAsia="黑体"/>
          <w:b/>
          <w:kern w:val="2"/>
          <w:sz w:val="36"/>
        </w:rPr>
      </w:pPr>
    </w:p>
    <w:p w:rsidR="00A14E13" w:rsidRDefault="00A14E13">
      <w:pPr>
        <w:pStyle w:val="p0"/>
        <w:rPr>
          <w:rFonts w:eastAsia="黑体"/>
          <w:b/>
          <w:kern w:val="2"/>
          <w:sz w:val="36"/>
        </w:rPr>
      </w:pPr>
    </w:p>
    <w:p w:rsidR="00A14E13" w:rsidRDefault="00A14E13" w:rsidP="00E83BE6">
      <w:pPr>
        <w:pStyle w:val="p0"/>
        <w:spacing w:afterLines="50" w:after="145"/>
        <w:rPr>
          <w:rFonts w:eastAsia="黑体"/>
          <w:b/>
          <w:kern w:val="2"/>
          <w:sz w:val="36"/>
        </w:rPr>
      </w:pPr>
    </w:p>
    <w:p w:rsidR="00A14E13" w:rsidRDefault="00A14E13">
      <w:pPr>
        <w:pStyle w:val="p0"/>
        <w:rPr>
          <w:rFonts w:eastAsia="黑体"/>
          <w:b/>
          <w:kern w:val="2"/>
          <w:sz w:val="18"/>
          <w:szCs w:val="18"/>
        </w:rPr>
      </w:pPr>
    </w:p>
    <w:p w:rsidR="00A14E13" w:rsidRDefault="00B94814">
      <w:pPr>
        <w:pStyle w:val="p0"/>
        <w:ind w:right="320"/>
        <w:jc w:val="right"/>
        <w:rPr>
          <w:rFonts w:eastAsia="黑体"/>
          <w:b/>
          <w:kern w:val="2"/>
          <w:sz w:val="36"/>
        </w:rPr>
      </w:pPr>
      <w:bookmarkStart w:id="0" w:name="_GoBack"/>
      <w:r>
        <w:rPr>
          <w:rFonts w:ascii="仿宋" w:eastAsia="仿宋" w:hAnsi="仿宋" w:hint="eastAsia"/>
          <w:color w:val="000000"/>
        </w:rPr>
        <w:t>岳环评</w:t>
      </w:r>
      <w:r>
        <w:rPr>
          <w:rFonts w:ascii="仿宋" w:eastAsia="仿宋" w:hAnsi="仿宋" w:cs="仿宋" w:hint="eastAsia"/>
          <w:color w:val="000000"/>
        </w:rPr>
        <w:t>〔</w:t>
      </w:r>
      <w:r>
        <w:rPr>
          <w:rFonts w:ascii="仿宋" w:eastAsia="仿宋" w:hAnsi="仿宋"/>
          <w:color w:val="000000"/>
        </w:rPr>
        <w:t>20</w:t>
      </w:r>
      <w:r>
        <w:rPr>
          <w:rFonts w:ascii="仿宋" w:eastAsia="仿宋" w:hAnsi="仿宋" w:hint="eastAsia"/>
          <w:color w:val="000000"/>
        </w:rPr>
        <w:t>20</w:t>
      </w:r>
      <w:r>
        <w:rPr>
          <w:rFonts w:ascii="仿宋" w:eastAsia="仿宋" w:hAnsi="仿宋" w:cs="仿宋" w:hint="eastAsia"/>
          <w:color w:val="000000"/>
        </w:rPr>
        <w:t>〕</w:t>
      </w:r>
      <w:ins w:id="1" w:author="毛健宇" w:date="2020-11-18T14:57:00Z">
        <w:r w:rsidR="00E83BE6">
          <w:rPr>
            <w:rFonts w:ascii="仿宋" w:eastAsia="仿宋" w:hAnsi="仿宋" w:cs="仿宋" w:hint="eastAsia"/>
            <w:color w:val="000000"/>
          </w:rPr>
          <w:t>133</w:t>
        </w:r>
      </w:ins>
      <w:r>
        <w:rPr>
          <w:rFonts w:ascii="仿宋" w:eastAsia="仿宋" w:hAnsi="仿宋" w:hint="eastAsia"/>
          <w:color w:val="000000"/>
        </w:rPr>
        <w:t>号</w:t>
      </w:r>
      <w:bookmarkEnd w:id="0"/>
    </w:p>
    <w:p w:rsidR="00A14E13" w:rsidRDefault="00B94814">
      <w:pPr>
        <w:spacing w:line="520" w:lineRule="exact"/>
        <w:jc w:val="center"/>
        <w:rPr>
          <w:rFonts w:ascii="宋体" w:hAnsi="宋体"/>
          <w:b/>
          <w:kern w:val="0"/>
          <w:sz w:val="36"/>
          <w:szCs w:val="36"/>
        </w:rPr>
      </w:pPr>
      <w:r>
        <w:rPr>
          <w:rFonts w:ascii="宋体" w:hAnsi="宋体" w:hint="eastAsia"/>
          <w:b/>
          <w:kern w:val="0"/>
          <w:sz w:val="36"/>
          <w:szCs w:val="36"/>
        </w:rPr>
        <w:t>关于岳阳LNG接收站（储备中心）项目工程（一期）</w:t>
      </w:r>
    </w:p>
    <w:p w:rsidR="00A14E13" w:rsidRDefault="00B94814">
      <w:pPr>
        <w:pStyle w:val="p0"/>
        <w:spacing w:line="520" w:lineRule="exact"/>
        <w:jc w:val="center"/>
        <w:rPr>
          <w:rFonts w:ascii="宋体" w:hAnsi="宋体"/>
          <w:b/>
          <w:sz w:val="36"/>
          <w:szCs w:val="36"/>
        </w:rPr>
      </w:pPr>
      <w:r>
        <w:rPr>
          <w:rFonts w:ascii="宋体" w:hAnsi="宋体" w:hint="eastAsia"/>
          <w:b/>
          <w:sz w:val="36"/>
          <w:szCs w:val="36"/>
        </w:rPr>
        <w:t>环境影响报告书的批复</w:t>
      </w:r>
    </w:p>
    <w:p w:rsidR="00A14E13" w:rsidRDefault="00A14E13">
      <w:pPr>
        <w:pStyle w:val="0"/>
        <w:spacing w:line="480" w:lineRule="exact"/>
        <w:rPr>
          <w:rFonts w:eastAsia="仿宋_GB2312"/>
          <w:kern w:val="2"/>
          <w:sz w:val="32"/>
        </w:rPr>
      </w:pPr>
    </w:p>
    <w:p w:rsidR="00A14E13" w:rsidRDefault="00B94814">
      <w:pPr>
        <w:spacing w:line="482" w:lineRule="exact"/>
        <w:rPr>
          <w:rFonts w:ascii="仿宋" w:eastAsia="仿宋" w:hAnsi="仿宋"/>
          <w:sz w:val="32"/>
          <w:szCs w:val="32"/>
        </w:rPr>
      </w:pPr>
      <w:r>
        <w:rPr>
          <w:rFonts w:ascii="仿宋" w:eastAsia="仿宋" w:hAnsi="仿宋" w:hint="eastAsia"/>
          <w:sz w:val="32"/>
          <w:szCs w:val="32"/>
        </w:rPr>
        <w:t>岳阳液化天然气有限公司：</w:t>
      </w:r>
    </w:p>
    <w:p w:rsidR="00A14E13" w:rsidRDefault="00B94814">
      <w:pPr>
        <w:spacing w:line="482" w:lineRule="exact"/>
        <w:ind w:firstLineChars="200" w:firstLine="640"/>
        <w:rPr>
          <w:rFonts w:ascii="仿宋" w:eastAsia="仿宋" w:hAnsi="仿宋"/>
          <w:sz w:val="32"/>
          <w:szCs w:val="32"/>
          <w:u w:val="single"/>
        </w:rPr>
      </w:pPr>
      <w:r>
        <w:rPr>
          <w:rFonts w:ascii="仿宋" w:eastAsia="仿宋" w:hAnsi="仿宋" w:hint="eastAsia"/>
          <w:sz w:val="32"/>
          <w:szCs w:val="32"/>
        </w:rPr>
        <w:t>你公司《关于“岳阳LNG接收站（储备中心）项目工程（一期）”环境影响报告书批复的申请报告》、岳阳市生态环境局君山分局预审意见及有关附件收悉。经研究，批复如下：</w:t>
      </w:r>
    </w:p>
    <w:p w:rsidR="00A14E13" w:rsidRDefault="00B94814">
      <w:pPr>
        <w:spacing w:line="482" w:lineRule="exact"/>
        <w:ind w:firstLineChars="200" w:firstLine="640"/>
        <w:rPr>
          <w:rFonts w:ascii="仿宋" w:eastAsia="仿宋" w:hAnsi="仿宋"/>
          <w:sz w:val="32"/>
          <w:szCs w:val="32"/>
        </w:rPr>
      </w:pPr>
      <w:r>
        <w:rPr>
          <w:rFonts w:ascii="仿宋" w:eastAsia="仿宋" w:hAnsi="仿宋" w:hint="eastAsia"/>
          <w:sz w:val="32"/>
          <w:szCs w:val="32"/>
        </w:rPr>
        <w:t>一、为改善城市能源结构、保护生态环境，岳阳液化天然气有限公司拟投资101940万元（其中环保投资1410万），选址于岳阳市君山区广兴洲镇（中心地理坐标：经度：</w:t>
      </w:r>
      <w:r>
        <w:rPr>
          <w:rFonts w:ascii="仿宋" w:eastAsia="仿宋" w:hAnsi="仿宋"/>
          <w:sz w:val="32"/>
          <w:szCs w:val="32"/>
        </w:rPr>
        <w:t>29.</w:t>
      </w:r>
      <w:r>
        <w:rPr>
          <w:rFonts w:ascii="仿宋" w:eastAsia="仿宋" w:hAnsi="仿宋" w:hint="eastAsia"/>
          <w:sz w:val="32"/>
          <w:szCs w:val="32"/>
        </w:rPr>
        <w:t>581186、纬度：</w:t>
      </w:r>
      <w:r>
        <w:rPr>
          <w:rFonts w:ascii="仿宋" w:eastAsia="仿宋" w:hAnsi="仿宋"/>
          <w:sz w:val="32"/>
          <w:szCs w:val="32"/>
        </w:rPr>
        <w:t>112.</w:t>
      </w:r>
      <w:r>
        <w:rPr>
          <w:rFonts w:ascii="仿宋" w:eastAsia="仿宋" w:hAnsi="仿宋" w:hint="eastAsia"/>
          <w:sz w:val="32"/>
          <w:szCs w:val="32"/>
        </w:rPr>
        <w:t>906654）实施岳阳LNG接收站（储备中心）项目。项目共分三期建设，本次环评内容为一期库区工程和码头工程两部分。输气管线和冷能利用工程不在本次环评范围内，须另行环评。项目占地面积28.85hm</w:t>
      </w:r>
      <w:r>
        <w:rPr>
          <w:rFonts w:ascii="仿宋" w:eastAsia="仿宋" w:hAnsi="仿宋" w:hint="eastAsia"/>
          <w:sz w:val="32"/>
          <w:szCs w:val="32"/>
          <w:vertAlign w:val="superscript"/>
        </w:rPr>
        <w:t>2</w:t>
      </w:r>
      <w:r>
        <w:rPr>
          <w:rFonts w:ascii="仿宋" w:eastAsia="仿宋" w:hAnsi="仿宋" w:hint="eastAsia"/>
          <w:sz w:val="32"/>
          <w:szCs w:val="32"/>
        </w:rPr>
        <w:t>（含二期用地10.9公顷和厂外管廊用地约8450m</w:t>
      </w:r>
      <w:r>
        <w:rPr>
          <w:rFonts w:ascii="仿宋" w:eastAsia="仿宋" w:hAnsi="仿宋" w:hint="eastAsia"/>
          <w:sz w:val="32"/>
          <w:szCs w:val="32"/>
          <w:vertAlign w:val="superscript"/>
        </w:rPr>
        <w:t>2</w:t>
      </w:r>
      <w:r>
        <w:rPr>
          <w:rFonts w:ascii="仿宋" w:eastAsia="仿宋" w:hAnsi="仿宋" w:hint="eastAsia"/>
          <w:sz w:val="32"/>
          <w:szCs w:val="32"/>
        </w:rPr>
        <w:t>）。全站分为生产装置区、储罐区、辅助生产及公用工程区、码头区、行政管理区。主要建设内容：库区工程包括一座50000m</w:t>
      </w:r>
      <w:r>
        <w:rPr>
          <w:rFonts w:ascii="仿宋" w:eastAsia="仿宋" w:hAnsi="仿宋" w:hint="eastAsia"/>
          <w:sz w:val="32"/>
          <w:szCs w:val="32"/>
          <w:vertAlign w:val="superscript"/>
        </w:rPr>
        <w:t>3</w:t>
      </w:r>
      <w:r>
        <w:rPr>
          <w:rFonts w:ascii="仿宋" w:eastAsia="仿宋" w:hAnsi="仿宋" w:hint="eastAsia"/>
          <w:sz w:val="32"/>
          <w:szCs w:val="32"/>
        </w:rPr>
        <w:t>的LNG储罐（采用预应力混凝土全容罐）和配套LNG气化设施（采用空温式和循环热水组合气化方案）；码头工程为拟建2个8500m</w:t>
      </w:r>
      <w:r>
        <w:rPr>
          <w:rFonts w:ascii="仿宋" w:eastAsia="仿宋" w:hAnsi="仿宋" w:hint="eastAsia"/>
          <w:sz w:val="32"/>
          <w:szCs w:val="32"/>
          <w:vertAlign w:val="superscript"/>
        </w:rPr>
        <w:t>3</w:t>
      </w:r>
      <w:r>
        <w:rPr>
          <w:rFonts w:ascii="仿宋" w:eastAsia="仿宋" w:hAnsi="仿宋" w:hint="eastAsia"/>
          <w:sz w:val="32"/>
          <w:szCs w:val="32"/>
        </w:rPr>
        <w:t>LNG接卸泊位及1个工作船泊位，接卸泊位占用岸线长度322.1m，工作船泊位占用岸线长度56m。卸料采用4台单台能力为1000m</w:t>
      </w:r>
      <w:r>
        <w:rPr>
          <w:rFonts w:ascii="仿宋" w:eastAsia="仿宋" w:hAnsi="仿宋" w:hint="eastAsia"/>
          <w:sz w:val="32"/>
          <w:szCs w:val="32"/>
          <w:vertAlign w:val="superscript"/>
        </w:rPr>
        <w:t>3</w:t>
      </w:r>
      <w:r>
        <w:rPr>
          <w:rFonts w:ascii="仿宋" w:eastAsia="仿宋" w:hAnsi="仿宋" w:hint="eastAsia"/>
          <w:sz w:val="32"/>
          <w:szCs w:val="32"/>
        </w:rPr>
        <w:t>/h的卸料臂和2台能力为2000m</w:t>
      </w:r>
      <w:r>
        <w:rPr>
          <w:rFonts w:ascii="仿宋" w:eastAsia="仿宋" w:hAnsi="仿宋" w:hint="eastAsia"/>
          <w:sz w:val="32"/>
          <w:szCs w:val="32"/>
          <w:vertAlign w:val="superscript"/>
        </w:rPr>
        <w:t>3</w:t>
      </w:r>
      <w:r>
        <w:rPr>
          <w:rFonts w:ascii="仿宋" w:eastAsia="仿宋" w:hAnsi="仿宋" w:hint="eastAsia"/>
          <w:sz w:val="32"/>
          <w:szCs w:val="32"/>
        </w:rPr>
        <w:t>/h的气体返回臂；配套建设综合用房及管墩、助导航设施、港区道路、LNG装车区等辅助工程；公用工程有：照明设施和防雷系统、给排水、通信工程、化验室、空压站、氮气站和火炬系统等；环保工程有：废水治理、废气治理、固体废物暂存、环境风险防范设施等。项目自制氮气采用PSA工艺。备用电源配套1台功率0.4kV，800kw的柴油发电机。供暖设置一台1.4MW（2t/h）燃气热水机组。项目消防工程依托君山消防中队。码头一期年吞吐量为50万吨</w:t>
      </w:r>
      <w:r>
        <w:rPr>
          <w:rFonts w:ascii="仿宋" w:eastAsia="仿宋" w:hAnsi="仿宋" w:cs="仿宋" w:hint="eastAsia"/>
          <w:sz w:val="32"/>
          <w:szCs w:val="32"/>
        </w:rPr>
        <w:t>/</w:t>
      </w:r>
      <w:r>
        <w:rPr>
          <w:rFonts w:ascii="仿宋" w:eastAsia="仿宋" w:hAnsi="仿宋" w:hint="eastAsia"/>
          <w:sz w:val="32"/>
          <w:szCs w:val="32"/>
        </w:rPr>
        <w:t>年。港区劳动定员共</w:t>
      </w:r>
      <w:r>
        <w:rPr>
          <w:rFonts w:ascii="仿宋" w:eastAsia="仿宋" w:hAnsi="仿宋"/>
          <w:sz w:val="32"/>
          <w:szCs w:val="32"/>
        </w:rPr>
        <w:t>1</w:t>
      </w:r>
      <w:r>
        <w:rPr>
          <w:rFonts w:ascii="仿宋" w:eastAsia="仿宋" w:hAnsi="仿宋" w:hint="eastAsia"/>
          <w:sz w:val="32"/>
          <w:szCs w:val="32"/>
        </w:rPr>
        <w:t>8人。项目共设置6用2备共8套装车位，具有47.5万吨LNG槽车分输转运能力。一期建设暂无外输管网，主要运营模式以“液进液出”为主，通过LNG槽车外运。港区设储存、汽车外运及气化返输功能。项目运行工艺流程：以来源于江苏启东、新奥舟山和宁波LNG接收站等周边接收站的液化天然气，经LNG船→LNG装卸臂→码头管线输至本站储罐，经调压计量后外输。主要经LNG槽车外运供应到下游用气单位和用户，极少部分经LNG气化外输和CNG外输。BOG处理采用直接压缩外输至天然气管网。</w:t>
      </w:r>
      <w:r>
        <w:rPr>
          <w:rFonts w:ascii="仿宋" w:eastAsia="仿宋" w:hAnsi="仿宋" w:cs="仿宋" w:hint="eastAsia"/>
          <w:sz w:val="32"/>
          <w:szCs w:val="32"/>
        </w:rPr>
        <w:t>项目不</w:t>
      </w:r>
      <w:r>
        <w:rPr>
          <w:rFonts w:ascii="仿宋" w:eastAsia="仿宋" w:hAnsi="仿宋" w:hint="eastAsia"/>
          <w:sz w:val="32"/>
          <w:szCs w:val="32"/>
        </w:rPr>
        <w:t>设取、弃土场，码头建设不需进行疏浚工程，不在现场设置搅拌站。根据永清环保股份有限公司编制的《岳阳LNG接收站（储备中心）项目工程（一期）建设项目环境影响报告书》（报批稿）基本内容、结论和专家评审意见及岳阳市生态环境局君山分局预审意见，综合考虑，我局原则同意你公司环境影响报告书中所列建设项目的性质、规模、工艺、地点和环境保护对策措施。</w:t>
      </w:r>
    </w:p>
    <w:p w:rsidR="00A14E13" w:rsidRDefault="00B94814">
      <w:pPr>
        <w:spacing w:line="482"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 w:hint="eastAsia"/>
          <w:sz w:val="32"/>
          <w:szCs w:val="32"/>
        </w:rPr>
        <w:t>项目实施须严格落实湖南东洞庭湖国家级自然保护区管理局的相关要求。同时</w:t>
      </w:r>
      <w:r>
        <w:rPr>
          <w:rFonts w:ascii="仿宋" w:eastAsia="仿宋" w:hAnsi="仿宋" w:hint="eastAsia"/>
          <w:sz w:val="32"/>
          <w:szCs w:val="32"/>
        </w:rPr>
        <w:t>项目建设和运营必须全面落实环境影响报告书提出的各项环保措施，并着重做好以下工作：</w:t>
      </w:r>
    </w:p>
    <w:p w:rsidR="00A14E13" w:rsidRDefault="00B94814">
      <w:pPr>
        <w:spacing w:line="482" w:lineRule="exact"/>
        <w:ind w:firstLine="640"/>
        <w:rPr>
          <w:rFonts w:eastAsia="仿宋"/>
        </w:rPr>
      </w:pPr>
      <w:r>
        <w:rPr>
          <w:rFonts w:ascii="仿宋" w:eastAsia="仿宋" w:hAnsi="仿宋" w:hint="eastAsia"/>
          <w:sz w:val="32"/>
          <w:szCs w:val="32"/>
        </w:rPr>
        <w:t>（一）加强施工期环境管理。严格落实报告书中提出的要求，做好施工扬尘、噪声、废水、弃渣的防治措施，减少施工期</w:t>
      </w:r>
      <w:r>
        <w:rPr>
          <w:rFonts w:ascii="仿宋" w:eastAsia="仿宋" w:hAnsi="仿宋" w:cs="仿宋" w:hint="eastAsia"/>
          <w:sz w:val="32"/>
          <w:szCs w:val="32"/>
        </w:rPr>
        <w:t>对东</w:t>
      </w:r>
      <w:r>
        <w:rPr>
          <w:rFonts w:ascii="仿宋" w:eastAsia="仿宋" w:hAnsi="仿宋" w:cs="仿宋" w:hint="eastAsia"/>
          <w:color w:val="000000"/>
          <w:sz w:val="32"/>
          <w:szCs w:val="32"/>
        </w:rPr>
        <w:t>洞庭湖自然保护区等</w:t>
      </w:r>
      <w:r>
        <w:rPr>
          <w:rFonts w:ascii="仿宋" w:eastAsia="仿宋" w:hAnsi="仿宋" w:cs="仿宋" w:hint="eastAsia"/>
          <w:sz w:val="32"/>
          <w:szCs w:val="32"/>
        </w:rPr>
        <w:t>周边环境的影响，避免造成施工扰民。</w:t>
      </w:r>
      <w:r>
        <w:rPr>
          <w:rFonts w:ascii="仿宋" w:eastAsia="仿宋" w:hAnsi="仿宋" w:cs="仿宋" w:hint="eastAsia"/>
          <w:color w:val="000000"/>
          <w:sz w:val="32"/>
          <w:szCs w:val="32"/>
        </w:rPr>
        <w:t>优化项目码头工程涉水施工工艺，选择合适施工方案和作业方式，港池开挖等作业选择枯水期进行，作业区设围堰，避免对长江水域环境造成影响。项目占地不设临时占地，依托第二三期用地作为一期临时施工营地和材料堆场。施工人员生活污水经化粪池处理后回用于周边农田，不外排。施工机械船只安装油水分离器对机舱废水进行收集，施工机械含油废水经收集隔油沉淀处理后回用，混凝土养护废水经收集沉淀处理后回用，均不外排；项目在绿化区设临时堆渣场，表土经临时堆渣场后用于绿化。工程弃渣（土）和建筑垃圾由渣土管理部门统一调配，严禁倾倒在东洞庭湖自然保护区实验区范围内；项目采用外购商品混凝土，严禁物料露天堆放，施工区域和物料堆场设置围挡。严禁大风大雨等恶劣天气施工，加强对施工扬尘产尘点的监控管理，配备洒水设备并定期洒水抑尘；合理安排物料运输路线，严格落实封闭式运输，减少扬尘对周边环境的影响；合理安排施工时段，禁止夜间施工，尽量选用低噪声设备，合理进行施工布置，落实好临时降噪措施，在距工程较近的居民点等环境敏感点作业设临时声屏障，加强运输车辆、施工机械和设备管理及维护，确保项目施工噪声满足《建筑施工场界环境噪声排放标准》（GB12523-2011）相关要求。工程建设完成后，及时进行植被恢复和河道梳理工作。</w:t>
      </w:r>
    </w:p>
    <w:p w:rsidR="00A14E13" w:rsidRDefault="00B94814">
      <w:pPr>
        <w:spacing w:line="482" w:lineRule="exact"/>
        <w:ind w:firstLine="640"/>
        <w:rPr>
          <w:rFonts w:ascii="仿宋" w:eastAsia="仿宋" w:hAnsi="仿宋"/>
          <w:sz w:val="32"/>
          <w:szCs w:val="32"/>
        </w:rPr>
      </w:pPr>
      <w:r>
        <w:rPr>
          <w:rFonts w:ascii="仿宋" w:eastAsia="仿宋" w:hAnsi="仿宋" w:hint="eastAsia"/>
          <w:sz w:val="32"/>
          <w:szCs w:val="32"/>
        </w:rPr>
        <w:t>（二）废气污染防治工作。严格落实报告书提出的废气防治措施，采用密闭装卸工艺等措施减少LNG无组织排放，确保站区厂界无组织废气满足《大气污染物综合排放标准》（GB16297-1996）表2中无组织排放监控浓度限值要求。接收站正常运营储罐挥发的BOG经BOG系统收集处置后回用供气，不外排；规范建设火炬及放空系统，BOG总管超压排放的气体经火炬系统30米高排气筒外排；SCV气化器、燃气锅炉燃烧废气</w:t>
      </w:r>
      <w:r>
        <w:rPr>
          <w:rFonts w:ascii="仿宋" w:eastAsia="仿宋" w:hAnsi="仿宋" w:hint="eastAsia"/>
          <w:sz w:val="30"/>
          <w:szCs w:val="30"/>
        </w:rPr>
        <w:t>经收集处理</w:t>
      </w:r>
      <w:r>
        <w:rPr>
          <w:rFonts w:ascii="仿宋" w:eastAsia="仿宋" w:hAnsi="仿宋" w:hint="eastAsia"/>
          <w:sz w:val="32"/>
          <w:szCs w:val="32"/>
        </w:rPr>
        <w:t>满足《锅炉大气污染物排放标准》（GB13271-2014）表3燃气锅炉特别排放限值要求后，均由15米高排气筒外排；发电机使用时，发电机燃油废气经处理达标后引至屋顶外排。</w:t>
      </w:r>
    </w:p>
    <w:p w:rsidR="00A14E13" w:rsidRDefault="00B94814">
      <w:pPr>
        <w:autoSpaceDE w:val="0"/>
        <w:autoSpaceDN w:val="0"/>
        <w:adjustRightInd w:val="0"/>
        <w:spacing w:line="482" w:lineRule="exact"/>
        <w:ind w:firstLineChars="200" w:firstLine="640"/>
        <w:rPr>
          <w:sz w:val="24"/>
        </w:rPr>
      </w:pPr>
      <w:r>
        <w:rPr>
          <w:rFonts w:ascii="仿宋" w:eastAsia="仿宋" w:hAnsi="仿宋" w:hint="eastAsia"/>
          <w:sz w:val="32"/>
          <w:szCs w:val="32"/>
        </w:rPr>
        <w:t>（三）废水污染防治工作。港区及站内区域严格落实雨污分流制。船舶生活污水、船舶含油污水由具有相关资质的船舶污染物回收企业进行接收处理；维修车间产生的机修含油废水经收集处理后由专业泵车运至君山区第二污水处理厂达标处理；生活污水经自建5m</w:t>
      </w:r>
      <w:r>
        <w:rPr>
          <w:rFonts w:ascii="仿宋" w:eastAsia="仿宋" w:hAnsi="仿宋" w:hint="eastAsia"/>
          <w:sz w:val="32"/>
          <w:szCs w:val="32"/>
          <w:vertAlign w:val="superscript"/>
        </w:rPr>
        <w:t>3</w:t>
      </w:r>
      <w:r>
        <w:rPr>
          <w:rFonts w:ascii="仿宋" w:eastAsia="仿宋" w:hAnsi="仿宋" w:hint="eastAsia"/>
          <w:sz w:val="32"/>
          <w:szCs w:val="32"/>
        </w:rPr>
        <w:t>/h一体化污水处理站处理达到《城市污水再生利用 城市杂用水水质》（GB/T18920-2002）城市绿化用水要求后，回用作站内绿化用水，不外排。</w:t>
      </w:r>
    </w:p>
    <w:p w:rsidR="00A14E13" w:rsidRDefault="00B94814">
      <w:pPr>
        <w:autoSpaceDE w:val="0"/>
        <w:autoSpaceDN w:val="0"/>
        <w:adjustRightInd w:val="0"/>
        <w:spacing w:line="482" w:lineRule="exact"/>
        <w:ind w:firstLineChars="200" w:firstLine="640"/>
        <w:jc w:val="left"/>
        <w:rPr>
          <w:rFonts w:ascii="仿宋" w:eastAsia="仿宋" w:hAnsi="仿宋"/>
          <w:sz w:val="32"/>
          <w:szCs w:val="32"/>
        </w:rPr>
      </w:pPr>
      <w:r>
        <w:rPr>
          <w:rFonts w:ascii="仿宋" w:eastAsia="仿宋" w:hAnsi="仿宋" w:hint="eastAsia"/>
          <w:sz w:val="32"/>
          <w:szCs w:val="32"/>
        </w:rPr>
        <w:t>（四）噪声防治工作。船舶尽量避免夜间到港，到港船舶禁止鸣笛，加强到港船舶发动机的维护工作，发动机设置在隔离间并采取降噪措施；选用新型低噪声装卸臂等设备，加强各类机械设施的维修保养，对输送船泵、风机等产生高噪声的设备采取减震隔音措施，确保厂界噪声满足《工业企业厂界环境噪声排放标准》（</w:t>
      </w:r>
      <w:r>
        <w:rPr>
          <w:rFonts w:ascii="仿宋" w:eastAsia="仿宋" w:hAnsi="仿宋"/>
          <w:sz w:val="32"/>
          <w:szCs w:val="32"/>
        </w:rPr>
        <w:t>GB12348-2008</w:t>
      </w:r>
      <w:r>
        <w:rPr>
          <w:rFonts w:ascii="仿宋" w:eastAsia="仿宋" w:hAnsi="仿宋" w:hint="eastAsia"/>
          <w:sz w:val="32"/>
          <w:szCs w:val="32"/>
        </w:rPr>
        <w:t>）中</w:t>
      </w:r>
      <w:r>
        <w:rPr>
          <w:rFonts w:ascii="仿宋" w:eastAsia="仿宋" w:hAnsi="仿宋"/>
          <w:sz w:val="32"/>
          <w:szCs w:val="32"/>
        </w:rPr>
        <w:t>2</w:t>
      </w:r>
      <w:r>
        <w:rPr>
          <w:rFonts w:ascii="仿宋" w:eastAsia="仿宋" w:hAnsi="仿宋" w:hint="eastAsia"/>
          <w:sz w:val="32"/>
          <w:szCs w:val="32"/>
        </w:rPr>
        <w:t>类标准要求。</w:t>
      </w:r>
    </w:p>
    <w:p w:rsidR="00A14E13" w:rsidRDefault="00B94814">
      <w:pPr>
        <w:spacing w:line="482" w:lineRule="exact"/>
        <w:ind w:firstLineChars="200" w:firstLine="640"/>
        <w:rPr>
          <w:rFonts w:ascii="仿宋" w:eastAsia="仿宋" w:hAnsi="仿宋"/>
          <w:sz w:val="32"/>
          <w:szCs w:val="32"/>
        </w:rPr>
      </w:pPr>
      <w:r>
        <w:rPr>
          <w:rFonts w:ascii="仿宋" w:eastAsia="仿宋" w:hAnsi="仿宋" w:hint="eastAsia"/>
          <w:sz w:val="32"/>
          <w:szCs w:val="32"/>
        </w:rPr>
        <w:t>（五）固体废物管理工作。严格按照《一般工业固体废物贮存、处置场污染控制标准》（GB18599-2001）及2013年修改单和《危险废物贮存污染控制标准（GB18597-2001）》及其2013年修改单要求，规范建设暂存场所，建立健全各类固体废物管理台帐。在港船舶严格执行《船舶水污染物排放控制标准》（GB3552-2018）的规定。船舶垃圾由专业船舶接收处理，废矿物油和含油抹布等危险废物交有资质单位妥善处置；落实转移联单制度并规范建立台帐。机修固废中的一般工业固体废物经收集后综合利用；港池及连接水域产生的疏浚物严格按照海事主管部门的要求进行处理；生活污水处理后产生的污泥经脱水处理满足生活垃圾填埋场入场要求后，与生活垃圾一并交由环卫部门统一处理。根据分区防控原则，</w:t>
      </w:r>
      <w:r>
        <w:rPr>
          <w:rFonts w:ascii="仿宋" w:eastAsia="仿宋" w:hAnsi="仿宋" w:cs="宋体" w:hint="eastAsia"/>
          <w:sz w:val="32"/>
          <w:szCs w:val="32"/>
        </w:rPr>
        <w:t>做好站内污水</w:t>
      </w:r>
      <w:r>
        <w:rPr>
          <w:rFonts w:ascii="仿宋" w:eastAsia="仿宋" w:hAnsi="仿宋" w:hint="eastAsia"/>
          <w:sz w:val="32"/>
          <w:szCs w:val="32"/>
        </w:rPr>
        <w:t>管网密封防腐和污水处理各类池体等场所防渗、防漏工作，防止发生渗漏对区域地下水和土壤环境造成污染。</w:t>
      </w:r>
    </w:p>
    <w:p w:rsidR="00A14E13" w:rsidRDefault="00B94814">
      <w:pPr>
        <w:snapToGrid w:val="0"/>
        <w:spacing w:line="482" w:lineRule="exact"/>
        <w:ind w:firstLineChars="196" w:firstLine="627"/>
        <w:rPr>
          <w:rFonts w:ascii="仿宋" w:eastAsia="仿宋" w:hAnsi="仿宋"/>
          <w:sz w:val="32"/>
          <w:szCs w:val="32"/>
          <w:u w:val="single"/>
        </w:rPr>
      </w:pPr>
      <w:r>
        <w:rPr>
          <w:rFonts w:ascii="仿宋" w:eastAsia="仿宋" w:hAnsi="仿宋" w:hint="eastAsia"/>
          <w:sz w:val="32"/>
          <w:szCs w:val="32"/>
        </w:rPr>
        <w:t>（六）环境管理和风险防范工作。加强对输气管道和加气、储罐等设备和各污染防治设施的维护管理，加强对港区船舶的航行、作业管理，建立健全操作规程和应急处理机制，常备安全消防用具。加强环境风险管理，采用DGPS定位系统，配备警戒船，配置各类报警设备等，制定并落实事故风险应急预案，规范建设事故收集系统，储备各类应急物资并组织演练。加强</w:t>
      </w:r>
      <w:r>
        <w:rPr>
          <w:rFonts w:ascii="仿宋" w:eastAsia="仿宋" w:hAnsi="仿宋"/>
          <w:sz w:val="32"/>
          <w:szCs w:val="32"/>
        </w:rPr>
        <w:t>LNG</w:t>
      </w:r>
      <w:r>
        <w:rPr>
          <w:rFonts w:ascii="仿宋" w:eastAsia="仿宋" w:hAnsi="仿宋" w:hint="eastAsia"/>
          <w:sz w:val="32"/>
          <w:szCs w:val="32"/>
        </w:rPr>
        <w:t>运输、装卸、贮存中的安全管理，杜绝风险事故的发生。</w:t>
      </w:r>
    </w:p>
    <w:p w:rsidR="00A14E13" w:rsidRDefault="00B94814">
      <w:pPr>
        <w:snapToGrid w:val="0"/>
        <w:spacing w:line="482" w:lineRule="exact"/>
        <w:ind w:firstLineChars="196" w:firstLine="627"/>
        <w:rPr>
          <w:rFonts w:ascii="仿宋" w:eastAsia="仿宋" w:hAnsi="仿宋"/>
          <w:sz w:val="32"/>
          <w:szCs w:val="32"/>
        </w:rPr>
      </w:pPr>
      <w:r>
        <w:rPr>
          <w:rFonts w:ascii="仿宋" w:eastAsia="仿宋" w:hAnsi="仿宋" w:hint="eastAsia"/>
          <w:sz w:val="32"/>
          <w:szCs w:val="32"/>
        </w:rPr>
        <w:t>（七）项目污染物总量控制指标为：NOx</w:t>
      </w:r>
      <w:r>
        <w:rPr>
          <w:rFonts w:ascii="仿宋" w:eastAsia="仿宋" w:hAnsi="仿宋"/>
          <w:sz w:val="32"/>
          <w:szCs w:val="32"/>
        </w:rPr>
        <w:t>≤</w:t>
      </w:r>
      <w:r>
        <w:rPr>
          <w:rFonts w:ascii="仿宋" w:eastAsia="仿宋" w:hAnsi="仿宋" w:hint="eastAsia"/>
          <w:sz w:val="32"/>
          <w:szCs w:val="32"/>
        </w:rPr>
        <w:t>0.2吨/年。</w:t>
      </w:r>
    </w:p>
    <w:p w:rsidR="00A14E13" w:rsidRDefault="00B94814">
      <w:pPr>
        <w:spacing w:line="482"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八）项目位于东洞庭湖国家级自然保护区实验区，根据《生态专题报告》结论：项目的建设和运营对东洞庭湖国家级自然保护区水体及鱼类、水禽、鸟类产生的负面影响不大。你公司须认真落实《生态专题报告》提出的各项生态保护措施，运营后维护性疏浚严格按照《疏浚与吹填工程施工规范》（JTS207-2012）和《疏浚工程技术规范》（JTJ319-99）中的相关要求进行，确保项目生态环境风险在可控范围内。</w:t>
      </w:r>
    </w:p>
    <w:p w:rsidR="00A14E13" w:rsidRDefault="00B94814">
      <w:pPr>
        <w:spacing w:line="482"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(九)在项目上游现有的谭子坑饮用水源取水口取得相关水利主管部门调整许可前，项目不得开工建设。</w:t>
      </w:r>
    </w:p>
    <w:p w:rsidR="00A14E13" w:rsidRDefault="00B94814">
      <w:pPr>
        <w:spacing w:line="482"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三、你公司应在收到本批复后15个工作日内，将批复及批准的环评报告文本送至岳阳市生态环境局君山分局和永清环保股份有限公司。</w:t>
      </w:r>
    </w:p>
    <w:p w:rsidR="00A14E13" w:rsidRDefault="00B94814">
      <w:pPr>
        <w:spacing w:line="482" w:lineRule="exact"/>
        <w:ind w:firstLineChars="200" w:firstLine="640"/>
      </w:pPr>
      <w:r>
        <w:rPr>
          <w:rFonts w:ascii="仿宋" w:eastAsia="仿宋" w:hAnsi="仿宋" w:hint="eastAsia"/>
          <w:sz w:val="32"/>
          <w:szCs w:val="32"/>
        </w:rPr>
        <w:t>四、请岳阳市生态环境局君山分局负责项目建设期和运营期的日常环境监管。</w:t>
      </w:r>
    </w:p>
    <w:p w:rsidR="00A14E13" w:rsidRDefault="00A14E13">
      <w:pPr>
        <w:pStyle w:val="0"/>
        <w:spacing w:line="482" w:lineRule="exact"/>
        <w:ind w:firstLine="585"/>
        <w:rPr>
          <w:rFonts w:ascii="仿宋" w:eastAsia="仿宋" w:hAnsi="仿宋" w:cs="仿宋"/>
          <w:kern w:val="2"/>
          <w:sz w:val="32"/>
          <w:szCs w:val="32"/>
        </w:rPr>
      </w:pPr>
    </w:p>
    <w:p w:rsidR="00A14E13" w:rsidRDefault="00A14E13">
      <w:pPr>
        <w:pStyle w:val="0"/>
        <w:spacing w:line="520" w:lineRule="exact"/>
        <w:ind w:firstLine="585"/>
        <w:rPr>
          <w:rFonts w:ascii="仿宋" w:eastAsia="仿宋" w:hAnsi="仿宋" w:cs="仿宋"/>
          <w:kern w:val="2"/>
          <w:sz w:val="32"/>
          <w:szCs w:val="32"/>
        </w:rPr>
      </w:pPr>
    </w:p>
    <w:p w:rsidR="00A14E13" w:rsidRDefault="00A14E13">
      <w:pPr>
        <w:pStyle w:val="0"/>
        <w:spacing w:line="520" w:lineRule="exact"/>
        <w:rPr>
          <w:rFonts w:ascii="仿宋" w:eastAsia="仿宋" w:hAnsi="仿宋" w:cs="仿宋"/>
          <w:kern w:val="2"/>
          <w:sz w:val="32"/>
          <w:szCs w:val="32"/>
        </w:rPr>
      </w:pPr>
    </w:p>
    <w:p w:rsidR="00A14E13" w:rsidRDefault="00A14E13">
      <w:pPr>
        <w:pStyle w:val="0"/>
        <w:spacing w:line="520" w:lineRule="exact"/>
        <w:rPr>
          <w:rFonts w:ascii="仿宋" w:eastAsia="仿宋" w:hAnsi="仿宋" w:cs="仿宋"/>
          <w:kern w:val="2"/>
          <w:sz w:val="32"/>
          <w:szCs w:val="32"/>
        </w:rPr>
      </w:pPr>
    </w:p>
    <w:p w:rsidR="00A14E13" w:rsidRDefault="00B94814">
      <w:pPr>
        <w:pStyle w:val="0"/>
        <w:spacing w:line="480" w:lineRule="exact"/>
        <w:ind w:left="0" w:firstLineChars="1400" w:firstLine="4480"/>
        <w:rPr>
          <w:rFonts w:ascii="仿宋" w:eastAsia="仿宋" w:hAnsi="仿宋" w:cs="仿宋"/>
          <w:kern w:val="2"/>
          <w:sz w:val="32"/>
          <w:szCs w:val="32"/>
        </w:rPr>
      </w:pPr>
      <w:r>
        <w:rPr>
          <w:rFonts w:ascii="仿宋" w:eastAsia="仿宋" w:hAnsi="仿宋" w:cs="仿宋" w:hint="eastAsia"/>
          <w:kern w:val="2"/>
          <w:sz w:val="32"/>
          <w:szCs w:val="32"/>
        </w:rPr>
        <w:t>岳阳市生态环境局</w:t>
      </w:r>
    </w:p>
    <w:p w:rsidR="00A14E13" w:rsidRDefault="00B94814">
      <w:pPr>
        <w:pStyle w:val="0"/>
        <w:spacing w:line="480" w:lineRule="exact"/>
        <w:ind w:left="0" w:firstLineChars="1400" w:firstLine="4480"/>
        <w:rPr>
          <w:rFonts w:ascii="仿宋" w:eastAsia="仿宋" w:hAnsi="仿宋" w:cs="仿宋"/>
          <w:kern w:val="2"/>
          <w:sz w:val="32"/>
          <w:szCs w:val="32"/>
        </w:rPr>
      </w:pPr>
      <w:r>
        <w:rPr>
          <w:rFonts w:ascii="仿宋" w:eastAsia="仿宋" w:hAnsi="仿宋" w:cs="仿宋"/>
          <w:kern w:val="2"/>
          <w:sz w:val="32"/>
          <w:szCs w:val="32"/>
        </w:rPr>
        <w:t>20</w:t>
      </w:r>
      <w:r>
        <w:rPr>
          <w:rFonts w:ascii="仿宋" w:eastAsia="仿宋" w:hAnsi="仿宋" w:cs="仿宋" w:hint="eastAsia"/>
          <w:kern w:val="2"/>
          <w:sz w:val="32"/>
          <w:szCs w:val="32"/>
        </w:rPr>
        <w:t>20年10月</w:t>
      </w:r>
      <w:ins w:id="2" w:author="毛健宇" w:date="2020-11-18T14:57:00Z">
        <w:r w:rsidR="00E83BE6">
          <w:rPr>
            <w:rFonts w:ascii="仿宋" w:eastAsia="仿宋" w:hAnsi="仿宋" w:cs="仿宋" w:hint="eastAsia"/>
            <w:kern w:val="2"/>
            <w:sz w:val="32"/>
            <w:szCs w:val="32"/>
          </w:rPr>
          <w:t>29</w:t>
        </w:r>
      </w:ins>
      <w:r>
        <w:rPr>
          <w:rFonts w:ascii="仿宋" w:eastAsia="仿宋" w:hAnsi="仿宋" w:cs="仿宋" w:hint="eastAsia"/>
          <w:kern w:val="2"/>
          <w:sz w:val="32"/>
          <w:szCs w:val="32"/>
        </w:rPr>
        <w:t>日</w:t>
      </w: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p w:rsidR="00A14E13" w:rsidRDefault="00A14E13">
      <w:pPr>
        <w:pStyle w:val="0"/>
        <w:spacing w:line="20" w:lineRule="exact"/>
        <w:ind w:left="0" w:firstLineChars="1450" w:firstLine="4640"/>
        <w:rPr>
          <w:rFonts w:ascii="仿宋" w:eastAsia="仿宋" w:hAnsi="仿宋" w:cs="仿宋"/>
          <w:kern w:val="2"/>
          <w:sz w:val="32"/>
          <w:szCs w:val="32"/>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6"/>
      </w:tblGrid>
      <w:tr w:rsidR="00A14E13">
        <w:trPr>
          <w:trHeight w:val="794"/>
          <w:jc w:val="center"/>
        </w:trPr>
        <w:tc>
          <w:tcPr>
            <w:tcW w:w="8946" w:type="dxa"/>
            <w:tcBorders>
              <w:left w:val="nil"/>
              <w:right w:val="nil"/>
            </w:tcBorders>
            <w:vAlign w:val="center"/>
          </w:tcPr>
          <w:p w:rsidR="00A14E13" w:rsidRDefault="00B94814" w:rsidP="00E83BE6">
            <w:pPr>
              <w:pStyle w:val="WPSPlain"/>
              <w:spacing w:beforeLines="50" w:before="145" w:line="600" w:lineRule="exact"/>
              <w:ind w:right="-119"/>
              <w:jc w:val="both"/>
              <w:textAlignment w:val="top"/>
              <w:rPr>
                <w:rFonts w:ascii="仿宋" w:eastAsia="仿宋" w:hAnsi="仿宋" w:cs="仿宋"/>
                <w:kern w:val="2"/>
                <w:sz w:val="32"/>
                <w:szCs w:val="32"/>
              </w:rPr>
            </w:pPr>
            <w:r>
              <w:rPr>
                <w:rFonts w:ascii="仿宋" w:eastAsia="仿宋" w:hAnsi="仿宋" w:cs="仿宋" w:hint="eastAsia"/>
                <w:kern w:val="2"/>
                <w:sz w:val="32"/>
                <w:szCs w:val="32"/>
              </w:rPr>
              <w:t>抄送：</w:t>
            </w:r>
            <w:r>
              <w:rPr>
                <w:rFonts w:ascii="仿宋" w:eastAsia="仿宋" w:hAnsi="仿宋" w:hint="eastAsia"/>
                <w:sz w:val="32"/>
                <w:szCs w:val="32"/>
              </w:rPr>
              <w:t>岳阳市生态环境局君山分局</w:t>
            </w:r>
            <w:r>
              <w:rPr>
                <w:rFonts w:ascii="仿宋" w:eastAsia="仿宋" w:hAnsi="仿宋" w:cs="仿宋" w:hint="eastAsia"/>
                <w:kern w:val="2"/>
                <w:sz w:val="32"/>
                <w:szCs w:val="32"/>
              </w:rPr>
              <w:t>、</w:t>
            </w:r>
            <w:r>
              <w:rPr>
                <w:rFonts w:ascii="仿宋" w:eastAsia="仿宋" w:hAnsi="仿宋" w:hint="eastAsia"/>
                <w:kern w:val="2"/>
                <w:sz w:val="32"/>
                <w:szCs w:val="32"/>
              </w:rPr>
              <w:t>永清环保股份有限公司</w:t>
            </w:r>
          </w:p>
        </w:tc>
      </w:tr>
    </w:tbl>
    <w:p w:rsidR="00A14E13" w:rsidRDefault="00A14E13">
      <w:pPr>
        <w:pStyle w:val="WPSPlain"/>
        <w:spacing w:line="20" w:lineRule="exact"/>
        <w:ind w:right="-119"/>
        <w:jc w:val="both"/>
        <w:textAlignment w:val="top"/>
        <w:rPr>
          <w:rFonts w:eastAsia="仿宋_GB2312"/>
          <w:sz w:val="10"/>
          <w:szCs w:val="10"/>
          <w:u w:val="single"/>
        </w:rPr>
      </w:pPr>
    </w:p>
    <w:sectPr w:rsidR="00A14E13" w:rsidSect="00A14E13">
      <w:headerReference w:type="default" r:id="rId8"/>
      <w:footerReference w:type="default" r:id="rId9"/>
      <w:pgSz w:w="11906" w:h="16838"/>
      <w:pgMar w:top="1440" w:right="1588" w:bottom="1418" w:left="1588" w:header="851" w:footer="992" w:gutter="0"/>
      <w:cols w:space="720"/>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13" w:rsidRDefault="00A14E13" w:rsidP="00A14E13">
      <w:r>
        <w:separator/>
      </w:r>
    </w:p>
  </w:endnote>
  <w:endnote w:type="continuationSeparator" w:id="0">
    <w:p w:rsidR="00A14E13" w:rsidRDefault="00A14E13" w:rsidP="00A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13" w:rsidRDefault="00A14E13">
    <w:pPr>
      <w:pStyle w:val="a6"/>
      <w:jc w:val="center"/>
    </w:pPr>
    <w:r>
      <w:fldChar w:fldCharType="begin"/>
    </w:r>
    <w:r w:rsidR="00B94814">
      <w:instrText>PAGE   \* MERGEFORMAT</w:instrText>
    </w:r>
    <w:r>
      <w:fldChar w:fldCharType="separate"/>
    </w:r>
    <w:r w:rsidR="00E83BE6" w:rsidRPr="00E83BE6">
      <w:rPr>
        <w:noProof/>
        <w:lang w:val="zh-CN"/>
      </w:rPr>
      <w:t>2</w:t>
    </w:r>
    <w:r>
      <w:rPr>
        <w:lang w:val="zh-CN"/>
      </w:rPr>
      <w:fldChar w:fldCharType="end"/>
    </w:r>
  </w:p>
  <w:p w:rsidR="00A14E13" w:rsidRDefault="00A14E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13" w:rsidRDefault="00A14E13" w:rsidP="00A14E13">
      <w:r>
        <w:separator/>
      </w:r>
    </w:p>
  </w:footnote>
  <w:footnote w:type="continuationSeparator" w:id="0">
    <w:p w:rsidR="00A14E13" w:rsidRDefault="00A14E13" w:rsidP="00A1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13" w:rsidRDefault="00A14E1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14E13"/>
    <w:rsid w:val="00A14E13"/>
    <w:rsid w:val="00B94814"/>
    <w:rsid w:val="00E83BE6"/>
    <w:rsid w:val="06E56C4E"/>
    <w:rsid w:val="28A92D73"/>
    <w:rsid w:val="354150A8"/>
    <w:rsid w:val="45612026"/>
    <w:rsid w:val="6D3E6ED9"/>
    <w:rsid w:val="6D614E27"/>
    <w:rsid w:val="7F7F1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qFormat="1"/>
    <w:lsdException w:name="Body Text"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14E1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A14E13"/>
    <w:pPr>
      <w:spacing w:after="120"/>
    </w:pPr>
  </w:style>
  <w:style w:type="paragraph" w:customStyle="1" w:styleId="xl27">
    <w:name w:val="xl27"/>
    <w:basedOn w:val="a"/>
    <w:uiPriority w:val="99"/>
    <w:qFormat/>
    <w:rsid w:val="00A14E1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rPr>
  </w:style>
  <w:style w:type="paragraph" w:styleId="a4">
    <w:name w:val="Date"/>
    <w:basedOn w:val="a"/>
    <w:next w:val="a"/>
    <w:link w:val="Char"/>
    <w:uiPriority w:val="99"/>
    <w:qFormat/>
    <w:rsid w:val="00A14E13"/>
    <w:pPr>
      <w:ind w:leftChars="2500" w:left="100"/>
    </w:pPr>
  </w:style>
  <w:style w:type="paragraph" w:styleId="a5">
    <w:name w:val="Balloon Text"/>
    <w:basedOn w:val="a"/>
    <w:link w:val="Char0"/>
    <w:uiPriority w:val="99"/>
    <w:qFormat/>
    <w:rsid w:val="00A14E13"/>
    <w:rPr>
      <w:sz w:val="18"/>
      <w:szCs w:val="18"/>
    </w:rPr>
  </w:style>
  <w:style w:type="paragraph" w:styleId="a6">
    <w:name w:val="footer"/>
    <w:basedOn w:val="a"/>
    <w:link w:val="Char1"/>
    <w:uiPriority w:val="99"/>
    <w:qFormat/>
    <w:rsid w:val="00A14E13"/>
    <w:pPr>
      <w:tabs>
        <w:tab w:val="center" w:pos="4153"/>
        <w:tab w:val="right" w:pos="8306"/>
      </w:tabs>
      <w:snapToGrid w:val="0"/>
      <w:jc w:val="left"/>
    </w:pPr>
    <w:rPr>
      <w:sz w:val="18"/>
      <w:szCs w:val="18"/>
    </w:rPr>
  </w:style>
  <w:style w:type="paragraph" w:styleId="a7">
    <w:name w:val="header"/>
    <w:basedOn w:val="a"/>
    <w:link w:val="Char2"/>
    <w:uiPriority w:val="99"/>
    <w:qFormat/>
    <w:rsid w:val="00A14E13"/>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99"/>
    <w:qFormat/>
    <w:rsid w:val="00A14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1"/>
    <w:uiPriority w:val="99"/>
    <w:qFormat/>
    <w:rsid w:val="00A14E13"/>
    <w:rPr>
      <w:rFonts w:cs="Times New Roman"/>
    </w:rPr>
  </w:style>
  <w:style w:type="character" w:customStyle="1" w:styleId="Char">
    <w:name w:val="日期 Char"/>
    <w:basedOn w:val="a1"/>
    <w:link w:val="a4"/>
    <w:uiPriority w:val="99"/>
    <w:qFormat/>
    <w:rsid w:val="00A14E13"/>
    <w:rPr>
      <w:szCs w:val="24"/>
    </w:rPr>
  </w:style>
  <w:style w:type="character" w:customStyle="1" w:styleId="Char0">
    <w:name w:val="批注框文本 Char"/>
    <w:basedOn w:val="a1"/>
    <w:link w:val="a5"/>
    <w:uiPriority w:val="99"/>
    <w:qFormat/>
    <w:rsid w:val="00A14E13"/>
    <w:rPr>
      <w:rFonts w:cs="Times New Roman"/>
      <w:kern w:val="2"/>
      <w:sz w:val="18"/>
      <w:szCs w:val="18"/>
    </w:rPr>
  </w:style>
  <w:style w:type="character" w:customStyle="1" w:styleId="Char1">
    <w:name w:val="页脚 Char"/>
    <w:basedOn w:val="a1"/>
    <w:link w:val="a6"/>
    <w:uiPriority w:val="99"/>
    <w:qFormat/>
    <w:rsid w:val="00A14E13"/>
    <w:rPr>
      <w:rFonts w:cs="Times New Roman"/>
      <w:kern w:val="2"/>
      <w:sz w:val="18"/>
      <w:szCs w:val="18"/>
    </w:rPr>
  </w:style>
  <w:style w:type="character" w:customStyle="1" w:styleId="Char2">
    <w:name w:val="页眉 Char"/>
    <w:basedOn w:val="a1"/>
    <w:link w:val="a7"/>
    <w:uiPriority w:val="99"/>
    <w:qFormat/>
    <w:rsid w:val="00A14E13"/>
    <w:rPr>
      <w:rFonts w:cs="Times New Roman"/>
      <w:kern w:val="2"/>
      <w:sz w:val="18"/>
      <w:szCs w:val="18"/>
    </w:rPr>
  </w:style>
  <w:style w:type="character" w:customStyle="1" w:styleId="p0Char">
    <w:name w:val="p0 Char"/>
    <w:basedOn w:val="a1"/>
    <w:link w:val="p0"/>
    <w:uiPriority w:val="99"/>
    <w:qFormat/>
    <w:rsid w:val="00A14E13"/>
    <w:rPr>
      <w:rFonts w:eastAsia="宋体" w:cs="Times New Roman"/>
      <w:sz w:val="32"/>
      <w:szCs w:val="32"/>
      <w:lang w:val="en-US" w:eastAsia="zh-CN" w:bidi="ar-SA"/>
    </w:rPr>
  </w:style>
  <w:style w:type="paragraph" w:customStyle="1" w:styleId="p0">
    <w:name w:val="p0"/>
    <w:basedOn w:val="a"/>
    <w:link w:val="p0Char"/>
    <w:uiPriority w:val="99"/>
    <w:qFormat/>
    <w:rsid w:val="00A14E13"/>
    <w:pPr>
      <w:widowControl/>
    </w:pPr>
    <w:rPr>
      <w:kern w:val="0"/>
      <w:sz w:val="32"/>
      <w:szCs w:val="32"/>
    </w:rPr>
  </w:style>
  <w:style w:type="paragraph" w:customStyle="1" w:styleId="WPSPlain">
    <w:name w:val="WPS Plain"/>
    <w:uiPriority w:val="99"/>
    <w:qFormat/>
    <w:rsid w:val="00A14E13"/>
  </w:style>
  <w:style w:type="paragraph" w:customStyle="1" w:styleId="0">
    <w:name w:val="0"/>
    <w:basedOn w:val="a"/>
    <w:uiPriority w:val="99"/>
    <w:qFormat/>
    <w:rsid w:val="00A14E13"/>
    <w:pPr>
      <w:widowControl/>
      <w:snapToGrid w:val="0"/>
      <w:spacing w:line="365" w:lineRule="atLeast"/>
      <w:ind w:left="1"/>
      <w:textAlignment w:val="bottom"/>
    </w:pPr>
    <w:rPr>
      <w:kern w:val="0"/>
      <w:sz w:val="20"/>
      <w:szCs w:val="20"/>
    </w:rPr>
  </w:style>
  <w:style w:type="paragraph" w:customStyle="1" w:styleId="aa">
    <w:name w:val="表头字体宋"/>
    <w:basedOn w:val="a"/>
    <w:uiPriority w:val="99"/>
    <w:qFormat/>
    <w:rsid w:val="00A14E13"/>
    <w:pPr>
      <w:spacing w:line="500" w:lineRule="exact"/>
      <w:jc w:val="center"/>
    </w:pPr>
    <w:rPr>
      <w:rFonts w:ascii="宋体" w:hAnsi="宋体" w:cs="宋体"/>
      <w:b/>
      <w:bCs/>
      <w:sz w:val="24"/>
      <w:szCs w:val="20"/>
    </w:rPr>
  </w:style>
  <w:style w:type="paragraph" w:customStyle="1" w:styleId="ab">
    <w:name w:val="表格内容"/>
    <w:basedOn w:val="a"/>
    <w:uiPriority w:val="99"/>
    <w:qFormat/>
    <w:rsid w:val="00A14E13"/>
    <w:pPr>
      <w:autoSpaceDE w:val="0"/>
      <w:autoSpaceDN w:val="0"/>
      <w:adjustRightInd w:val="0"/>
      <w:spacing w:line="360" w:lineRule="auto"/>
      <w:jc w:val="center"/>
      <w:textAlignment w:val="baseline"/>
    </w:pPr>
    <w:rPr>
      <w:color w:val="000000"/>
      <w:kern w:val="0"/>
      <w:szCs w:val="21"/>
    </w:rPr>
  </w:style>
  <w:style w:type="character" w:customStyle="1" w:styleId="biaogeChar">
    <w:name w:val="biaoge Char"/>
    <w:link w:val="biaoge"/>
    <w:uiPriority w:val="99"/>
    <w:qFormat/>
    <w:rsid w:val="00A14E13"/>
    <w:rPr>
      <w:kern w:val="2"/>
      <w:sz w:val="24"/>
    </w:rPr>
  </w:style>
  <w:style w:type="paragraph" w:customStyle="1" w:styleId="biaoge">
    <w:name w:val="biaoge"/>
    <w:basedOn w:val="a"/>
    <w:link w:val="biaogeChar"/>
    <w:uiPriority w:val="99"/>
    <w:qFormat/>
    <w:rsid w:val="00A14E13"/>
    <w:pPr>
      <w:jc w:val="center"/>
    </w:pPr>
    <w:rPr>
      <w:sz w:val="24"/>
      <w:szCs w:val="20"/>
    </w:rPr>
  </w:style>
  <w:style w:type="paragraph" w:customStyle="1" w:styleId="ac">
    <w:name w:val="文章正文样式"/>
    <w:basedOn w:val="a"/>
    <w:qFormat/>
    <w:rsid w:val="00A14E13"/>
    <w:pPr>
      <w:spacing w:line="520" w:lineRule="exact"/>
      <w:ind w:firstLineChars="200" w:firstLine="480"/>
      <w:jc w:val="left"/>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3225</Words>
  <Characters>359</Characters>
  <Application>Microsoft Office Word</Application>
  <DocSecurity>0</DocSecurity>
  <Lines>19</Lines>
  <Paragraphs>21</Paragraphs>
  <ScaleCrop>false</ScaleCrop>
  <Company>微软中国</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 阴 县 大 地 化 工 有 限 公 司</dc:title>
  <dc:creator>微软用户</dc:creator>
  <cp:lastModifiedBy>毛健宇</cp:lastModifiedBy>
  <cp:revision>42</cp:revision>
  <cp:lastPrinted>2019-07-22T02:14:00Z</cp:lastPrinted>
  <dcterms:created xsi:type="dcterms:W3CDTF">2019-02-01T10:46:00Z</dcterms:created>
  <dcterms:modified xsi:type="dcterms:W3CDTF">2020-11-18T06:57:00Z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