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B9" w:rsidRDefault="007328C4">
      <w:pPr>
        <w:pStyle w:val="WPSPlain"/>
        <w:spacing w:line="480" w:lineRule="exact"/>
        <w:textAlignment w:val="top"/>
        <w:rPr>
          <w:rFonts w:ascii="仿宋" w:eastAsia="仿宋" w:hAnsi="仿宋"/>
          <w:b/>
          <w:sz w:val="36"/>
        </w:rPr>
      </w:pPr>
      <w:r>
        <w:rPr>
          <w:rFonts w:ascii="仿宋" w:eastAsia="仿宋" w:hAnsi="仿宋" w:hint="eastAsia"/>
          <w:b/>
          <w:kern w:val="2"/>
          <w:sz w:val="36"/>
        </w:rPr>
        <w:t xml:space="preserve">                                               </w:t>
      </w:r>
    </w:p>
    <w:p w:rsidR="00A16AB9" w:rsidRDefault="00A16AB9">
      <w:pPr>
        <w:pStyle w:val="WPSPlain"/>
        <w:spacing w:line="480" w:lineRule="exact"/>
        <w:textAlignment w:val="top"/>
        <w:rPr>
          <w:rFonts w:ascii="仿宋" w:eastAsia="仿宋" w:hAnsi="仿宋"/>
          <w:b/>
          <w:sz w:val="36"/>
        </w:rPr>
      </w:pPr>
    </w:p>
    <w:p w:rsidR="00A16AB9" w:rsidRDefault="00A16AB9">
      <w:pPr>
        <w:pStyle w:val="WPSPlain"/>
        <w:spacing w:line="320" w:lineRule="exact"/>
        <w:ind w:firstLineChars="1750" w:firstLine="5250"/>
        <w:textAlignment w:val="top"/>
        <w:rPr>
          <w:rFonts w:ascii="仿宋" w:eastAsia="仿宋" w:hAnsi="仿宋"/>
          <w:sz w:val="30"/>
          <w:szCs w:val="30"/>
        </w:rPr>
      </w:pPr>
    </w:p>
    <w:p w:rsidR="00A16AB9" w:rsidRDefault="00A16AB9">
      <w:pPr>
        <w:pStyle w:val="WPSPlain"/>
        <w:spacing w:line="320" w:lineRule="exact"/>
        <w:ind w:firstLineChars="1750" w:firstLine="5250"/>
        <w:textAlignment w:val="top"/>
        <w:rPr>
          <w:rFonts w:ascii="仿宋" w:eastAsia="仿宋" w:hAnsi="仿宋"/>
          <w:sz w:val="30"/>
          <w:szCs w:val="30"/>
        </w:rPr>
      </w:pPr>
    </w:p>
    <w:p w:rsidR="00A16AB9" w:rsidRDefault="00A16AB9">
      <w:pPr>
        <w:pStyle w:val="WPSPlain"/>
        <w:spacing w:line="320" w:lineRule="exact"/>
        <w:ind w:firstLineChars="1750" w:firstLine="5250"/>
        <w:textAlignment w:val="top"/>
        <w:rPr>
          <w:rFonts w:ascii="仿宋" w:eastAsia="仿宋" w:hAnsi="仿宋"/>
          <w:sz w:val="30"/>
          <w:szCs w:val="30"/>
        </w:rPr>
      </w:pPr>
    </w:p>
    <w:p w:rsidR="00A16AB9" w:rsidRDefault="00A16AB9">
      <w:pPr>
        <w:pStyle w:val="WPSPlain"/>
        <w:spacing w:line="400" w:lineRule="exact"/>
        <w:jc w:val="both"/>
        <w:textAlignment w:val="top"/>
        <w:rPr>
          <w:rFonts w:ascii="仿宋" w:eastAsia="仿宋" w:hAnsi="仿宋"/>
          <w:sz w:val="30"/>
          <w:szCs w:val="30"/>
        </w:rPr>
      </w:pPr>
    </w:p>
    <w:p w:rsidR="00A16AB9" w:rsidRDefault="007328C4">
      <w:pPr>
        <w:spacing w:line="460" w:lineRule="exact"/>
        <w:ind w:firstLine="600"/>
        <w:jc w:val="both"/>
        <w:rPr>
          <w:rFonts w:ascii="仿宋" w:eastAsia="仿宋" w:hAnsi="仿宋" w:cs="仿宋_GB2312"/>
          <w:bCs/>
          <w:sz w:val="32"/>
          <w:szCs w:val="32"/>
        </w:rPr>
      </w:pPr>
      <w:r>
        <w:rPr>
          <w:rFonts w:ascii="仿宋" w:eastAsia="仿宋" w:hAnsi="仿宋" w:hint="eastAsia"/>
          <w:sz w:val="30"/>
          <w:szCs w:val="30"/>
        </w:rPr>
        <w:t xml:space="preserve">                                    </w:t>
      </w:r>
      <w:proofErr w:type="gramStart"/>
      <w:r>
        <w:rPr>
          <w:rFonts w:ascii="仿宋" w:eastAsia="仿宋" w:hAnsi="仿宋" w:hint="eastAsia"/>
          <w:sz w:val="32"/>
          <w:szCs w:val="32"/>
        </w:rPr>
        <w:t>岳环评</w:t>
      </w:r>
      <w:proofErr w:type="gramEnd"/>
      <w:r>
        <w:rPr>
          <w:rFonts w:ascii="仿宋" w:eastAsia="仿宋" w:hAnsi="仿宋"/>
          <w:sz w:val="32"/>
          <w:szCs w:val="32"/>
        </w:rPr>
        <w:t>[2020]</w:t>
      </w:r>
      <w:r w:rsidRPr="000E298D">
        <w:rPr>
          <w:rFonts w:ascii="仿宋" w:eastAsia="仿宋" w:hAnsi="仿宋"/>
          <w:sz w:val="32"/>
          <w:szCs w:val="32"/>
        </w:rPr>
        <w:t>62</w:t>
      </w:r>
      <w:r>
        <w:rPr>
          <w:rFonts w:ascii="仿宋" w:eastAsia="仿宋" w:hAnsi="仿宋" w:hint="eastAsia"/>
          <w:sz w:val="32"/>
          <w:szCs w:val="32"/>
        </w:rPr>
        <w:t>号</w:t>
      </w:r>
    </w:p>
    <w:p w:rsidR="00A16AB9" w:rsidRDefault="007328C4">
      <w:pPr>
        <w:autoSpaceDE w:val="0"/>
        <w:autoSpaceDN w:val="0"/>
        <w:adjustRightInd w:val="0"/>
        <w:ind w:left="177" w:firstLineChars="0" w:hanging="177"/>
        <w:jc w:val="center"/>
        <w:rPr>
          <w:rFonts w:ascii="宋体" w:hAnsi="宋体" w:cs="黑体"/>
          <w:b/>
          <w:sz w:val="36"/>
          <w:szCs w:val="36"/>
        </w:rPr>
      </w:pPr>
      <w:r>
        <w:rPr>
          <w:rFonts w:ascii="宋体" w:hAnsi="宋体" w:hint="eastAsia"/>
          <w:b/>
          <w:bCs/>
          <w:sz w:val="36"/>
          <w:szCs w:val="36"/>
        </w:rPr>
        <w:t>关于湖南亚王医药科技有限公司1000t/a苯乙腈、200t/a邻甲基苯乙腈、200t/a邻甲基苯甲酰腈生产项目环境影响报告书</w:t>
      </w:r>
      <w:r>
        <w:rPr>
          <w:rFonts w:ascii="宋体" w:hAnsi="宋体" w:hint="eastAsia"/>
          <w:b/>
          <w:sz w:val="36"/>
          <w:szCs w:val="36"/>
        </w:rPr>
        <w:t>的批复</w:t>
      </w:r>
    </w:p>
    <w:p w:rsidR="00A16AB9" w:rsidRDefault="00A16AB9">
      <w:pPr>
        <w:pStyle w:val="WPSPlain"/>
        <w:spacing w:line="480" w:lineRule="exact"/>
        <w:ind w:left="177" w:hangingChars="49" w:hanging="177"/>
        <w:jc w:val="center"/>
        <w:textAlignment w:val="top"/>
        <w:rPr>
          <w:rFonts w:ascii="仿宋" w:eastAsia="仿宋" w:hAnsi="仿宋" w:cs="黑体"/>
          <w:b/>
          <w:sz w:val="36"/>
          <w:szCs w:val="36"/>
        </w:rPr>
      </w:pPr>
    </w:p>
    <w:p w:rsidR="00A16AB9" w:rsidRDefault="007328C4">
      <w:pPr>
        <w:spacing w:line="460" w:lineRule="exact"/>
        <w:ind w:firstLineChars="6" w:firstLine="19"/>
        <w:jc w:val="both"/>
        <w:rPr>
          <w:rFonts w:ascii="仿宋" w:eastAsia="仿宋" w:hAnsi="仿宋"/>
          <w:sz w:val="32"/>
          <w:szCs w:val="32"/>
        </w:rPr>
      </w:pPr>
      <w:r>
        <w:rPr>
          <w:rFonts w:ascii="仿宋" w:eastAsia="仿宋" w:hAnsi="仿宋" w:hint="eastAsia"/>
          <w:sz w:val="32"/>
          <w:szCs w:val="32"/>
        </w:rPr>
        <w:t>湖南亚王医药科技有限公司：</w:t>
      </w:r>
    </w:p>
    <w:p w:rsidR="00A16AB9" w:rsidRDefault="007328C4">
      <w:pPr>
        <w:spacing w:line="460" w:lineRule="exact"/>
        <w:ind w:firstLine="640"/>
        <w:jc w:val="both"/>
        <w:rPr>
          <w:rFonts w:ascii="仿宋" w:eastAsia="仿宋" w:hAnsi="仿宋"/>
          <w:sz w:val="32"/>
          <w:szCs w:val="32"/>
        </w:rPr>
      </w:pPr>
      <w:r>
        <w:rPr>
          <w:rFonts w:ascii="仿宋" w:eastAsia="仿宋" w:hAnsi="仿宋" w:hint="eastAsia"/>
          <w:sz w:val="32"/>
          <w:szCs w:val="32"/>
        </w:rPr>
        <w:t>你公司《申请批复的函》、岳阳市生态环境局云溪分局的预审意见及有关附件悉收。经研究，批复如下：</w:t>
      </w:r>
    </w:p>
    <w:p w:rsidR="00A16AB9" w:rsidRDefault="007328C4">
      <w:pPr>
        <w:spacing w:line="460" w:lineRule="exact"/>
        <w:ind w:firstLine="640"/>
        <w:jc w:val="both"/>
        <w:rPr>
          <w:rFonts w:ascii="仿宋" w:eastAsia="仿宋" w:hAnsi="仿宋"/>
          <w:sz w:val="32"/>
          <w:szCs w:val="32"/>
        </w:rPr>
      </w:pPr>
      <w:r>
        <w:rPr>
          <w:rFonts w:ascii="仿宋" w:eastAsia="仿宋" w:hAnsi="仿宋" w:hint="eastAsia"/>
          <w:sz w:val="32"/>
          <w:szCs w:val="32"/>
        </w:rPr>
        <w:t>一、湖南亚王医药科技有限公司拟投资1000万元在湖南岳阳绿色化工产业园云溪片区湖南亚王医药科技有限公司预留场地内建设1000t/a苯乙腈、200t/a邻甲基苯乙腈、200t/a邻甲基苯甲酰腈生产项目，项目以氯化苄、邻甲基氯化苄、邻甲基苯甲酰氯、氰化钠为原料，在季铵盐催化作用下水法合成苯乙腈、邻甲基苯乙腈、邻甲基苯甲酰腈等产品。项目主要建设内容：在3#车间预留场地内新建3条生产线，新增1个甲类罐区、1个丙类罐区、泵房、三效蒸发区、初期雨水池、消防水罐区、变配电室、消防泵房/机修间、控制室、综合楼、一般固废暂存间、生产废水预处理池等，其他公用、辅助、环保设施利用现有。根据永清环保股份有限公司编制的《湖南亚王医药科技有限公司1000t/a苯乙腈、200t/a邻甲基苯乙腈、200t/a邻甲基苯甲酰腈生产项目环境影响报告书（报批稿）》基本内容、结论、专家评审意见及岳阳市生态环境局云溪分局预审意见，从环境保护角度考虑，我局原则同意你公司环境影响报告书中所</w:t>
      </w:r>
      <w:bookmarkStart w:id="0" w:name="_GoBack"/>
      <w:bookmarkEnd w:id="0"/>
      <w:r>
        <w:rPr>
          <w:rFonts w:ascii="仿宋" w:eastAsia="仿宋" w:hAnsi="仿宋" w:hint="eastAsia"/>
          <w:sz w:val="32"/>
          <w:szCs w:val="32"/>
        </w:rPr>
        <w:t>列建设项目的性质、规模、工艺、地点和环境保护对策措施。</w:t>
      </w:r>
    </w:p>
    <w:p w:rsidR="00A16AB9" w:rsidRDefault="007328C4">
      <w:pPr>
        <w:spacing w:line="460" w:lineRule="exact"/>
        <w:ind w:firstLine="640"/>
        <w:jc w:val="both"/>
        <w:rPr>
          <w:rFonts w:ascii="仿宋" w:eastAsia="仿宋" w:hAnsi="仿宋"/>
          <w:sz w:val="32"/>
          <w:szCs w:val="32"/>
        </w:rPr>
      </w:pPr>
      <w:r>
        <w:rPr>
          <w:rFonts w:ascii="仿宋" w:eastAsia="仿宋" w:hAnsi="仿宋" w:hint="eastAsia"/>
          <w:sz w:val="32"/>
          <w:szCs w:val="32"/>
        </w:rPr>
        <w:lastRenderedPageBreak/>
        <w:t>二、认真落实专家及环境影响报告书中提出的各项污染防治措施，并应着重注意以下问题：</w:t>
      </w:r>
    </w:p>
    <w:p w:rsidR="00A16AB9" w:rsidRDefault="007328C4">
      <w:pPr>
        <w:spacing w:line="460" w:lineRule="exact"/>
        <w:ind w:firstLine="640"/>
        <w:jc w:val="both"/>
        <w:rPr>
          <w:rFonts w:ascii="仿宋_GB2312" w:eastAsia="仿宋_GB2312" w:hAnsi="仿宋_GB2312" w:cs="仿宋_GB2312"/>
          <w:sz w:val="32"/>
          <w:szCs w:val="32"/>
        </w:rPr>
      </w:pPr>
      <w:r>
        <w:rPr>
          <w:rFonts w:ascii="仿宋" w:eastAsia="仿宋" w:hAnsi="仿宋" w:hint="eastAsia"/>
          <w:sz w:val="32"/>
          <w:szCs w:val="32"/>
        </w:rPr>
        <w:t>1、</w:t>
      </w:r>
      <w:r>
        <w:rPr>
          <w:rFonts w:ascii="仿宋_GB2312" w:eastAsia="仿宋_GB2312" w:hAnsi="仿宋_GB2312" w:cs="仿宋_GB2312" w:hint="eastAsia"/>
          <w:sz w:val="32"/>
          <w:szCs w:val="32"/>
        </w:rPr>
        <w:t>切实做好施工期环境保护工作。尽量缩短施工期，合理安排高噪声设备的作业时间，施工期间的场界噪声须满足《建筑施工场界环境噪声排放标准》（GB12523-2011）相关标准要求；</w:t>
      </w:r>
      <w:r>
        <w:rPr>
          <w:rFonts w:ascii="仿宋_GB2312" w:eastAsia="仿宋_GB2312" w:hAnsi="仿宋_GB2312" w:cs="仿宋_GB2312" w:hint="eastAsia"/>
          <w:bCs/>
          <w:color w:val="000000"/>
          <w:sz w:val="32"/>
          <w:szCs w:val="32"/>
        </w:rPr>
        <w:t>使用商品混凝土，采取洒水、篷布覆盖和设置防尘围挡等防尘措施；</w:t>
      </w:r>
      <w:r>
        <w:rPr>
          <w:rFonts w:ascii="仿宋_GB2312" w:eastAsia="仿宋_GB2312" w:hAnsi="仿宋_GB2312" w:cs="仿宋_GB2312" w:hint="eastAsia"/>
          <w:sz w:val="32"/>
          <w:szCs w:val="32"/>
        </w:rPr>
        <w:t>建筑材料设置专用仓库堆放，施工废水及车辆清洗废水经隔油池、沉淀池处理后回用，不得直排水体和管网；建筑垃圾交城市渣土管理部门统一处置。</w:t>
      </w:r>
    </w:p>
    <w:p w:rsidR="00A16AB9" w:rsidRDefault="007328C4">
      <w:pPr>
        <w:spacing w:line="460" w:lineRule="exact"/>
        <w:ind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、废水污染防治工作。严格按照“雨污分流、清污分流</w:t>
      </w:r>
      <w:r>
        <w:rPr>
          <w:rFonts w:ascii="仿宋" w:eastAsia="仿宋" w:hAnsi="仿宋" w:hint="eastAsia"/>
          <w:sz w:val="32"/>
          <w:szCs w:val="32"/>
        </w:rPr>
        <w:t>、</w:t>
      </w:r>
      <w:r>
        <w:rPr>
          <w:rFonts w:ascii="仿宋" w:eastAsia="仿宋" w:hAnsi="仿宋"/>
          <w:sz w:val="32"/>
          <w:szCs w:val="32"/>
        </w:rPr>
        <w:t>污</w:t>
      </w:r>
      <w:proofErr w:type="gramStart"/>
      <w:r>
        <w:rPr>
          <w:rFonts w:ascii="仿宋" w:eastAsia="仿宋" w:hAnsi="仿宋"/>
          <w:sz w:val="32"/>
          <w:szCs w:val="32"/>
        </w:rPr>
        <w:t>污</w:t>
      </w:r>
      <w:proofErr w:type="gramEnd"/>
      <w:r>
        <w:rPr>
          <w:rFonts w:ascii="仿宋" w:eastAsia="仿宋" w:hAnsi="仿宋"/>
          <w:sz w:val="32"/>
          <w:szCs w:val="32"/>
        </w:rPr>
        <w:t>分流”的原则</w:t>
      </w:r>
      <w:r>
        <w:rPr>
          <w:rFonts w:ascii="仿宋" w:eastAsia="仿宋" w:hAnsi="仿宋" w:cs="_4eff_5b8b_GB2312" w:hint="eastAsia"/>
          <w:bCs/>
          <w:sz w:val="32"/>
          <w:szCs w:val="32"/>
        </w:rPr>
        <w:t>完善厂区雨污水管网</w:t>
      </w:r>
      <w:r>
        <w:rPr>
          <w:rFonts w:ascii="仿宋" w:eastAsia="仿宋" w:hAnsi="仿宋" w:hint="eastAsia"/>
          <w:sz w:val="32"/>
          <w:szCs w:val="32"/>
        </w:rPr>
        <w:t>。循环冷却水回用于地面、设备清洗，不外排；项目分液含盐废水、清洗废水、初期雨水经预处理后，满足《石油化学工业污染物排放标准》(GB 31571-2015)“表1 水污染物排放限值”中间接排放标准和云</w:t>
      </w:r>
      <w:proofErr w:type="gramStart"/>
      <w:r>
        <w:rPr>
          <w:rFonts w:ascii="仿宋" w:eastAsia="仿宋" w:hAnsi="仿宋" w:hint="eastAsia"/>
          <w:sz w:val="32"/>
          <w:szCs w:val="32"/>
        </w:rPr>
        <w:t>溪工业</w:t>
      </w:r>
      <w:proofErr w:type="gramEnd"/>
      <w:r>
        <w:rPr>
          <w:rFonts w:ascii="仿宋" w:eastAsia="仿宋" w:hAnsi="仿宋" w:hint="eastAsia"/>
          <w:sz w:val="32"/>
          <w:szCs w:val="32"/>
        </w:rPr>
        <w:t>园污水处理厂接纳标准后，通过园区污水管网排入云</w:t>
      </w:r>
      <w:proofErr w:type="gramStart"/>
      <w:r>
        <w:rPr>
          <w:rFonts w:ascii="仿宋" w:eastAsia="仿宋" w:hAnsi="仿宋" w:hint="eastAsia"/>
          <w:sz w:val="32"/>
          <w:szCs w:val="32"/>
        </w:rPr>
        <w:t>溪工业</w:t>
      </w:r>
      <w:proofErr w:type="gramEnd"/>
      <w:r>
        <w:rPr>
          <w:rFonts w:ascii="仿宋" w:eastAsia="仿宋" w:hAnsi="仿宋" w:hint="eastAsia"/>
          <w:sz w:val="32"/>
          <w:szCs w:val="32"/>
        </w:rPr>
        <w:t>园污水处理厂；生活污水经化粪池处理后通过园区污水管网排入云</w:t>
      </w:r>
      <w:proofErr w:type="gramStart"/>
      <w:r>
        <w:rPr>
          <w:rFonts w:ascii="仿宋" w:eastAsia="仿宋" w:hAnsi="仿宋" w:hint="eastAsia"/>
          <w:sz w:val="32"/>
          <w:szCs w:val="32"/>
        </w:rPr>
        <w:t>溪工业</w:t>
      </w:r>
      <w:proofErr w:type="gramEnd"/>
      <w:r>
        <w:rPr>
          <w:rFonts w:ascii="仿宋" w:eastAsia="仿宋" w:hAnsi="仿宋" w:hint="eastAsia"/>
          <w:sz w:val="32"/>
          <w:szCs w:val="32"/>
        </w:rPr>
        <w:t>园污水处理厂。</w:t>
      </w:r>
    </w:p>
    <w:p w:rsidR="00A16AB9" w:rsidRDefault="007328C4">
      <w:pPr>
        <w:spacing w:line="460" w:lineRule="exact"/>
        <w:ind w:firstLine="640"/>
        <w:jc w:val="both"/>
        <w:rPr>
          <w:rFonts w:ascii="仿宋" w:eastAsia="仿宋" w:hAnsi="仿宋"/>
          <w:sz w:val="32"/>
          <w:szCs w:val="32"/>
        </w:rPr>
      </w:pPr>
      <w:r>
        <w:rPr>
          <w:rFonts w:ascii="仿宋" w:eastAsia="仿宋" w:hAnsi="仿宋" w:hint="eastAsia"/>
          <w:bCs/>
          <w:sz w:val="32"/>
          <w:szCs w:val="32"/>
        </w:rPr>
        <w:t>按照分区防控的原则落实报告书提出的地下水污染防治措施，做好生产车间、储罐区等区域的防腐、防渗工作，</w:t>
      </w:r>
      <w:r>
        <w:rPr>
          <w:rFonts w:ascii="仿宋" w:eastAsia="仿宋" w:hAnsi="仿宋" w:cs="仿宋" w:hint="eastAsia"/>
          <w:sz w:val="32"/>
          <w:szCs w:val="32"/>
        </w:rPr>
        <w:t>强化管理，避免由于泄漏等造成物料或者污染物下渗污染地下水；根据《环境影响评价技术导则地下水环境》（HJ610-2016）要求，跟踪监测地下水质情况，确保地下水环境安全。</w:t>
      </w:r>
    </w:p>
    <w:p w:rsidR="00A16AB9" w:rsidRDefault="007328C4">
      <w:pPr>
        <w:pStyle w:val="0"/>
        <w:widowControl w:val="0"/>
        <w:adjustRightInd w:val="0"/>
        <w:spacing w:line="460" w:lineRule="exact"/>
        <w:ind w:left="0" w:firstLine="640"/>
        <w:jc w:val="both"/>
        <w:rPr>
          <w:rFonts w:eastAsia="仿宋"/>
          <w:sz w:val="32"/>
          <w:szCs w:val="32"/>
        </w:rPr>
      </w:pPr>
      <w:r>
        <w:rPr>
          <w:rFonts w:ascii="仿宋" w:eastAsia="仿宋" w:hAnsi="仿宋" w:cs="仿宋_GB2312" w:hint="eastAsia"/>
          <w:sz w:val="32"/>
          <w:szCs w:val="32"/>
        </w:rPr>
        <w:t>3</w:t>
      </w:r>
      <w:r>
        <w:rPr>
          <w:rFonts w:ascii="仿宋" w:eastAsia="仿宋" w:hAnsi="仿宋" w:cs="仿宋_GB2312"/>
          <w:sz w:val="32"/>
          <w:szCs w:val="32"/>
        </w:rPr>
        <w:t>、废气污染防治工作。</w:t>
      </w:r>
      <w:r>
        <w:rPr>
          <w:rFonts w:eastAsia="仿宋"/>
          <w:bCs/>
          <w:sz w:val="32"/>
          <w:szCs w:val="32"/>
        </w:rPr>
        <w:t>严格控制项目废气污染，加强日常监管，定期对设备、管道、阀门等进行维护和管理，最大限度减少生产过程中的废气无组织排放</w:t>
      </w:r>
      <w:r>
        <w:rPr>
          <w:rFonts w:eastAsia="仿宋" w:hint="eastAsia"/>
          <w:bCs/>
          <w:sz w:val="32"/>
          <w:szCs w:val="32"/>
        </w:rPr>
        <w:t>，</w:t>
      </w:r>
      <w:r>
        <w:rPr>
          <w:rFonts w:eastAsia="仿宋" w:hint="eastAsia"/>
          <w:sz w:val="32"/>
          <w:szCs w:val="32"/>
        </w:rPr>
        <w:t>厂区内</w:t>
      </w:r>
      <w:r>
        <w:rPr>
          <w:rFonts w:eastAsia="仿宋" w:hint="eastAsia"/>
          <w:sz w:val="32"/>
          <w:szCs w:val="32"/>
        </w:rPr>
        <w:t>VOCs</w:t>
      </w:r>
      <w:r>
        <w:rPr>
          <w:rFonts w:eastAsia="仿宋" w:hint="eastAsia"/>
          <w:sz w:val="32"/>
          <w:szCs w:val="32"/>
        </w:rPr>
        <w:t>无组织排放执行《挥发性有机物无组织排放控制标准》（</w:t>
      </w:r>
      <w:r>
        <w:rPr>
          <w:rFonts w:eastAsia="仿宋" w:hint="eastAsia"/>
          <w:sz w:val="32"/>
          <w:szCs w:val="32"/>
        </w:rPr>
        <w:t>GB37822-2019</w:t>
      </w:r>
      <w:r>
        <w:rPr>
          <w:rFonts w:eastAsia="仿宋" w:hint="eastAsia"/>
          <w:sz w:val="32"/>
          <w:szCs w:val="32"/>
        </w:rPr>
        <w:t>）中表</w:t>
      </w:r>
      <w:r>
        <w:rPr>
          <w:rFonts w:eastAsia="仿宋" w:hint="eastAsia"/>
          <w:sz w:val="32"/>
          <w:szCs w:val="32"/>
        </w:rPr>
        <w:t>A1</w:t>
      </w:r>
      <w:r>
        <w:rPr>
          <w:rFonts w:eastAsia="仿宋" w:hint="eastAsia"/>
          <w:sz w:val="32"/>
          <w:szCs w:val="32"/>
        </w:rPr>
        <w:t>厂区内非甲烷总烃无组织排放限值，厂界非甲烷总烃执行</w:t>
      </w:r>
      <w:r>
        <w:rPr>
          <w:rFonts w:ascii="仿宋" w:eastAsia="仿宋" w:hAnsi="仿宋" w:hint="eastAsia"/>
          <w:sz w:val="32"/>
          <w:szCs w:val="32"/>
        </w:rPr>
        <w:t>《石油化学工业污染物排放标准》(GB 31571-2015)中表7浓度限值，厂界</w:t>
      </w:r>
      <w:proofErr w:type="gramStart"/>
      <w:r>
        <w:rPr>
          <w:rFonts w:eastAsia="仿宋" w:hint="eastAsia"/>
          <w:sz w:val="32"/>
          <w:szCs w:val="32"/>
        </w:rPr>
        <w:t>氨执行</w:t>
      </w:r>
      <w:proofErr w:type="gramEnd"/>
      <w:r>
        <w:rPr>
          <w:rFonts w:eastAsia="仿宋" w:hint="eastAsia"/>
          <w:sz w:val="32"/>
          <w:szCs w:val="32"/>
        </w:rPr>
        <w:t>《恶臭污染物排放标准》（</w:t>
      </w:r>
      <w:r>
        <w:rPr>
          <w:rFonts w:eastAsia="仿宋" w:hint="eastAsia"/>
          <w:sz w:val="32"/>
          <w:szCs w:val="32"/>
        </w:rPr>
        <w:t>GB14554-93</w:t>
      </w:r>
      <w:r>
        <w:rPr>
          <w:rFonts w:eastAsia="仿宋" w:hint="eastAsia"/>
          <w:sz w:val="32"/>
          <w:szCs w:val="32"/>
        </w:rPr>
        <w:t>）表</w:t>
      </w:r>
      <w:r>
        <w:rPr>
          <w:rFonts w:eastAsia="仿宋" w:hint="eastAsia"/>
          <w:sz w:val="32"/>
          <w:szCs w:val="32"/>
        </w:rPr>
        <w:t>1</w:t>
      </w:r>
      <w:r>
        <w:rPr>
          <w:rFonts w:eastAsia="仿宋" w:hint="eastAsia"/>
          <w:sz w:val="32"/>
          <w:szCs w:val="32"/>
        </w:rPr>
        <w:t>厂界限值</w:t>
      </w:r>
      <w:r>
        <w:rPr>
          <w:rFonts w:eastAsia="仿宋" w:hint="eastAsia"/>
          <w:bCs/>
          <w:sz w:val="32"/>
          <w:szCs w:val="32"/>
        </w:rPr>
        <w:t>。</w:t>
      </w:r>
      <w:r>
        <w:rPr>
          <w:rFonts w:eastAsia="仿宋" w:hint="eastAsia"/>
          <w:sz w:val="32"/>
          <w:szCs w:val="32"/>
        </w:rPr>
        <w:t>项目反应釜有机废气、精馏塔有机废气，废水</w:t>
      </w:r>
      <w:r>
        <w:rPr>
          <w:rFonts w:eastAsia="仿宋" w:hint="eastAsia"/>
          <w:sz w:val="32"/>
          <w:szCs w:val="32"/>
        </w:rPr>
        <w:lastRenderedPageBreak/>
        <w:t>处理气提</w:t>
      </w:r>
      <w:proofErr w:type="gramStart"/>
      <w:r>
        <w:rPr>
          <w:rFonts w:eastAsia="仿宋" w:hint="eastAsia"/>
          <w:sz w:val="32"/>
          <w:szCs w:val="32"/>
        </w:rPr>
        <w:t>塔产生</w:t>
      </w:r>
      <w:proofErr w:type="gramEnd"/>
      <w:r>
        <w:rPr>
          <w:rFonts w:eastAsia="仿宋" w:hint="eastAsia"/>
          <w:sz w:val="32"/>
          <w:szCs w:val="32"/>
        </w:rPr>
        <w:t>的含氨废气经处理，非甲烷总烃、氯苯类、</w:t>
      </w:r>
      <w:r>
        <w:rPr>
          <w:rFonts w:eastAsia="仿宋" w:hint="eastAsia"/>
          <w:sz w:val="32"/>
          <w:szCs w:val="32"/>
        </w:rPr>
        <w:t>1,2-</w:t>
      </w:r>
      <w:r>
        <w:rPr>
          <w:rFonts w:eastAsia="仿宋" w:hint="eastAsia"/>
          <w:sz w:val="32"/>
          <w:szCs w:val="32"/>
        </w:rPr>
        <w:t>二氯乙烷满足《石油化学工业污染物排放标准》（</w:t>
      </w:r>
      <w:r>
        <w:rPr>
          <w:rFonts w:eastAsia="仿宋" w:hint="eastAsia"/>
          <w:sz w:val="32"/>
          <w:szCs w:val="32"/>
        </w:rPr>
        <w:t>GB31571-2015</w:t>
      </w:r>
      <w:r>
        <w:rPr>
          <w:rFonts w:eastAsia="仿宋" w:hint="eastAsia"/>
          <w:sz w:val="32"/>
          <w:szCs w:val="32"/>
        </w:rPr>
        <w:t>）表</w:t>
      </w:r>
      <w:r>
        <w:rPr>
          <w:rFonts w:eastAsia="仿宋" w:hint="eastAsia"/>
          <w:sz w:val="32"/>
          <w:szCs w:val="32"/>
        </w:rPr>
        <w:t>4</w:t>
      </w:r>
      <w:r>
        <w:rPr>
          <w:rFonts w:eastAsia="仿宋" w:hint="eastAsia"/>
          <w:sz w:val="32"/>
          <w:szCs w:val="32"/>
        </w:rPr>
        <w:t>、表</w:t>
      </w:r>
      <w:r>
        <w:rPr>
          <w:rFonts w:eastAsia="仿宋" w:hint="eastAsia"/>
          <w:sz w:val="32"/>
          <w:szCs w:val="32"/>
        </w:rPr>
        <w:t>6</w:t>
      </w:r>
      <w:r>
        <w:rPr>
          <w:rFonts w:eastAsia="仿宋" w:hint="eastAsia"/>
          <w:sz w:val="32"/>
          <w:szCs w:val="32"/>
        </w:rPr>
        <w:t>标准限值，</w:t>
      </w:r>
      <w:proofErr w:type="gramStart"/>
      <w:r>
        <w:rPr>
          <w:rFonts w:eastAsia="仿宋" w:hint="eastAsia"/>
          <w:sz w:val="32"/>
          <w:szCs w:val="32"/>
        </w:rPr>
        <w:t>氨满足</w:t>
      </w:r>
      <w:proofErr w:type="gramEnd"/>
      <w:r>
        <w:rPr>
          <w:rFonts w:eastAsia="仿宋" w:hint="eastAsia"/>
          <w:sz w:val="32"/>
          <w:szCs w:val="32"/>
        </w:rPr>
        <w:t>《恶臭污染物排放标准》（</w:t>
      </w:r>
      <w:r>
        <w:rPr>
          <w:rFonts w:eastAsia="仿宋" w:hint="eastAsia"/>
          <w:sz w:val="32"/>
          <w:szCs w:val="32"/>
        </w:rPr>
        <w:t>GB14554-93</w:t>
      </w:r>
      <w:r>
        <w:rPr>
          <w:rFonts w:eastAsia="仿宋" w:hint="eastAsia"/>
          <w:sz w:val="32"/>
          <w:szCs w:val="32"/>
        </w:rPr>
        <w:t>）表</w:t>
      </w:r>
      <w:r>
        <w:rPr>
          <w:rFonts w:eastAsia="仿宋" w:hint="eastAsia"/>
          <w:sz w:val="32"/>
          <w:szCs w:val="32"/>
        </w:rPr>
        <w:t>2</w:t>
      </w:r>
      <w:r>
        <w:rPr>
          <w:rFonts w:eastAsia="仿宋" w:hint="eastAsia"/>
          <w:sz w:val="32"/>
          <w:szCs w:val="32"/>
        </w:rPr>
        <w:t>排放限值后，通过厂区已建的</w:t>
      </w:r>
      <w:r>
        <w:rPr>
          <w:rFonts w:eastAsia="仿宋" w:hint="eastAsia"/>
          <w:sz w:val="32"/>
          <w:szCs w:val="32"/>
        </w:rPr>
        <w:t>22m</w:t>
      </w:r>
      <w:r>
        <w:rPr>
          <w:rFonts w:eastAsia="仿宋" w:hint="eastAsia"/>
          <w:sz w:val="32"/>
          <w:szCs w:val="32"/>
        </w:rPr>
        <w:t>排气筒高空排放。</w:t>
      </w:r>
    </w:p>
    <w:p w:rsidR="00A16AB9" w:rsidRDefault="007328C4">
      <w:pPr>
        <w:spacing w:line="460" w:lineRule="exact"/>
        <w:ind w:firstLine="640"/>
        <w:rPr>
          <w:rFonts w:ascii="仿宋" w:eastAsia="仿宋" w:hAnsi="仿宋" w:cs="仿宋_GB2312"/>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噪声污染防治工作。采用低噪声设备，合理安排工作时间，对产生噪声的设备和工序进行合理布局，对主要的声源设备采取隔声、减震措施，确保厂界噪声达到《工业企业厂界环境噪声排放标准》(GB12348-2008)中的3类标准要求。</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sz w:val="32"/>
          <w:szCs w:val="32"/>
        </w:rPr>
        <w:t>、固体废物防治工作。按“无害化、减量化、资源化”原则，做好固体</w:t>
      </w:r>
      <w:r>
        <w:rPr>
          <w:rFonts w:ascii="仿宋" w:eastAsia="仿宋" w:hAnsi="仿宋" w:cs="仿宋_GB2312" w:hint="eastAsia"/>
          <w:sz w:val="32"/>
          <w:szCs w:val="32"/>
        </w:rPr>
        <w:t>废物</w:t>
      </w:r>
      <w:r>
        <w:rPr>
          <w:rFonts w:ascii="仿宋" w:eastAsia="仿宋" w:hAnsi="仿宋" w:cs="仿宋_GB2312"/>
          <w:sz w:val="32"/>
          <w:szCs w:val="32"/>
        </w:rPr>
        <w:t>分类收集、暂存工作，建立健全固体废物产生、转运、处置管理台帐。严格按《危险废物贮存污染控制标准（GB18597-2001）》及2013年修改</w:t>
      </w:r>
      <w:proofErr w:type="gramStart"/>
      <w:r>
        <w:rPr>
          <w:rFonts w:ascii="仿宋" w:eastAsia="仿宋" w:hAnsi="仿宋" w:cs="仿宋_GB2312"/>
          <w:sz w:val="32"/>
          <w:szCs w:val="32"/>
        </w:rPr>
        <w:t>单要求</w:t>
      </w:r>
      <w:proofErr w:type="gramEnd"/>
      <w:r>
        <w:rPr>
          <w:rFonts w:ascii="仿宋" w:eastAsia="仿宋" w:hAnsi="仿宋" w:cs="仿宋_GB2312"/>
          <w:sz w:val="32"/>
          <w:szCs w:val="32"/>
        </w:rPr>
        <w:t>建设危险废物暂存间，</w:t>
      </w:r>
      <w:r>
        <w:rPr>
          <w:rFonts w:ascii="仿宋_GB2312" w:eastAsia="仿宋_GB2312" w:hAnsi="仿宋_GB2312" w:cs="仿宋_GB2312" w:hint="eastAsia"/>
          <w:sz w:val="32"/>
          <w:szCs w:val="32"/>
        </w:rPr>
        <w:t>三效蒸发浓缩废液、精馏母液、污水站污泥、废催化剂、废活性炭、</w:t>
      </w:r>
      <w:proofErr w:type="gramStart"/>
      <w:r>
        <w:rPr>
          <w:rFonts w:ascii="仿宋_GB2312" w:eastAsia="仿宋_GB2312" w:hAnsi="仿宋_GB2312" w:cs="仿宋_GB2312" w:hint="eastAsia"/>
          <w:sz w:val="32"/>
          <w:szCs w:val="32"/>
        </w:rPr>
        <w:t>废原料</w:t>
      </w:r>
      <w:proofErr w:type="gramEnd"/>
      <w:r>
        <w:rPr>
          <w:rFonts w:ascii="仿宋_GB2312" w:eastAsia="仿宋_GB2312" w:hAnsi="仿宋_GB2312" w:cs="仿宋_GB2312" w:hint="eastAsia"/>
          <w:sz w:val="32"/>
          <w:szCs w:val="32"/>
        </w:rPr>
        <w:t>包装袋（桶）</w:t>
      </w:r>
      <w:r>
        <w:rPr>
          <w:rFonts w:ascii="仿宋" w:eastAsia="仿宋" w:hAnsi="仿宋" w:cs="仿宋_GB2312" w:hint="eastAsia"/>
          <w:sz w:val="32"/>
          <w:szCs w:val="32"/>
        </w:rPr>
        <w:t>等危险废物</w:t>
      </w:r>
      <w:r>
        <w:rPr>
          <w:rFonts w:ascii="仿宋" w:eastAsia="仿宋" w:hAnsi="仿宋" w:cs="仿宋_GB2312"/>
          <w:sz w:val="32"/>
          <w:szCs w:val="32"/>
        </w:rPr>
        <w:t>应送有资质的单位安全处置，</w:t>
      </w:r>
      <w:r>
        <w:rPr>
          <w:rFonts w:ascii="仿宋" w:eastAsia="仿宋" w:hAnsi="仿宋" w:cs="仿宋_GB2312" w:hint="eastAsia"/>
          <w:sz w:val="32"/>
          <w:szCs w:val="32"/>
        </w:rPr>
        <w:t>并执行</w:t>
      </w:r>
      <w:r>
        <w:rPr>
          <w:rFonts w:ascii="仿宋" w:eastAsia="仿宋" w:hAnsi="仿宋" w:cs="仿宋_GB2312"/>
          <w:sz w:val="32"/>
          <w:szCs w:val="32"/>
        </w:rPr>
        <w:t>转移联单制度；按《一般工业固体废物贮存、处置场污染控制标准》（GB18599-2001）及2013年修改</w:t>
      </w:r>
      <w:proofErr w:type="gramStart"/>
      <w:r>
        <w:rPr>
          <w:rFonts w:ascii="仿宋" w:eastAsia="仿宋" w:hAnsi="仿宋" w:cs="仿宋_GB2312"/>
          <w:sz w:val="32"/>
          <w:szCs w:val="32"/>
        </w:rPr>
        <w:t>单要求</w:t>
      </w:r>
      <w:proofErr w:type="gramEnd"/>
      <w:r>
        <w:rPr>
          <w:rFonts w:ascii="仿宋" w:eastAsia="仿宋" w:hAnsi="仿宋" w:cs="仿宋_GB2312"/>
          <w:sz w:val="32"/>
          <w:szCs w:val="32"/>
        </w:rPr>
        <w:t>建设、贮存和运输一般工业固体废物；</w:t>
      </w:r>
      <w:r>
        <w:rPr>
          <w:rFonts w:ascii="仿宋" w:eastAsia="仿宋" w:hAnsi="仿宋" w:hint="eastAsia"/>
          <w:sz w:val="32"/>
          <w:szCs w:val="32"/>
        </w:rPr>
        <w:t>项目建成后应对</w:t>
      </w:r>
      <w:r>
        <w:rPr>
          <w:rFonts w:ascii="仿宋" w:eastAsia="仿宋" w:hAnsi="仿宋" w:cs="仿宋_GB2312" w:hint="eastAsia"/>
          <w:sz w:val="32"/>
          <w:szCs w:val="32"/>
        </w:rPr>
        <w:t>三效蒸发结晶盐</w:t>
      </w:r>
      <w:r>
        <w:rPr>
          <w:rFonts w:ascii="仿宋" w:eastAsia="仿宋" w:hAnsi="仿宋" w:hint="eastAsia"/>
          <w:sz w:val="32"/>
          <w:szCs w:val="32"/>
        </w:rPr>
        <w:t>废进行危险废物性质鉴别，根据鉴别结果确定污泥属性，若属于危险废物则应交有资质的单位处置；</w:t>
      </w:r>
      <w:r>
        <w:rPr>
          <w:rFonts w:ascii="仿宋" w:eastAsia="仿宋" w:hAnsi="仿宋" w:cs="仿宋_GB2312"/>
          <w:sz w:val="32"/>
          <w:szCs w:val="32"/>
        </w:rPr>
        <w:t>生活垃圾交由环卫部门统一收集处理。</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sz w:val="32"/>
          <w:szCs w:val="32"/>
        </w:rPr>
        <w:t>、加强环境管理，建立健全的污染防治设施运行管理台帐，设立专门的环保机构，配备专人负责环保工作，确保各项污染防治设施正常运行，各类污染物稳定达标排放。</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hint="eastAsia"/>
          <w:sz w:val="32"/>
          <w:szCs w:val="32"/>
        </w:rPr>
        <w:t>8</w:t>
      </w:r>
      <w:r>
        <w:rPr>
          <w:rFonts w:ascii="仿宋" w:eastAsia="仿宋" w:hAnsi="仿宋" w:cs="仿宋_GB2312"/>
          <w:sz w:val="32"/>
          <w:szCs w:val="32"/>
        </w:rPr>
        <w:t>、本项目</w:t>
      </w:r>
      <w:r>
        <w:rPr>
          <w:rFonts w:ascii="仿宋" w:eastAsia="仿宋" w:hAnsi="仿宋" w:cs="仿宋_GB2312" w:hint="eastAsia"/>
          <w:sz w:val="32"/>
          <w:szCs w:val="32"/>
        </w:rPr>
        <w:t>实施后全厂</w:t>
      </w:r>
      <w:r>
        <w:rPr>
          <w:rFonts w:ascii="仿宋" w:eastAsia="仿宋" w:hAnsi="仿宋" w:cs="仿宋_GB2312"/>
          <w:sz w:val="32"/>
          <w:szCs w:val="32"/>
        </w:rPr>
        <w:t>总量控制指标：VOCs</w:t>
      </w:r>
      <w:r>
        <w:rPr>
          <w:rFonts w:ascii="仿宋" w:eastAsia="仿宋" w:hAnsi="仿宋" w:cs="仿宋_GB2312" w:hint="eastAsia"/>
          <w:sz w:val="32"/>
          <w:szCs w:val="32"/>
        </w:rPr>
        <w:t>≤1.1</w:t>
      </w:r>
      <w:r>
        <w:rPr>
          <w:rFonts w:ascii="仿宋" w:eastAsia="仿宋" w:hAnsi="仿宋" w:cs="仿宋_GB2312"/>
          <w:sz w:val="32"/>
          <w:szCs w:val="32"/>
        </w:rPr>
        <w:t>t/a</w:t>
      </w:r>
      <w:r>
        <w:rPr>
          <w:rFonts w:ascii="仿宋" w:eastAsia="仿宋" w:hAnsi="仿宋" w:cs="仿宋_GB2312" w:hint="eastAsia"/>
          <w:sz w:val="32"/>
          <w:szCs w:val="32"/>
        </w:rPr>
        <w:t>，</w:t>
      </w:r>
      <w:proofErr w:type="spellStart"/>
      <w:r>
        <w:rPr>
          <w:rFonts w:ascii="仿宋" w:eastAsia="仿宋" w:hAnsi="仿宋" w:cs="仿宋_GB2312"/>
          <w:sz w:val="32"/>
          <w:szCs w:val="32"/>
        </w:rPr>
        <w:t>COD</w:t>
      </w:r>
      <w:r>
        <w:rPr>
          <w:rFonts w:ascii="仿宋" w:eastAsia="仿宋" w:hAnsi="仿宋" w:cs="仿宋_GB2312"/>
          <w:sz w:val="32"/>
          <w:szCs w:val="32"/>
          <w:vertAlign w:val="subscript"/>
        </w:rPr>
        <w:t>Cr</w:t>
      </w:r>
      <w:proofErr w:type="spellEnd"/>
      <w:r>
        <w:rPr>
          <w:rFonts w:ascii="仿宋" w:eastAsia="仿宋" w:hAnsi="仿宋" w:cs="仿宋_GB2312" w:hint="eastAsia"/>
          <w:sz w:val="32"/>
          <w:szCs w:val="32"/>
        </w:rPr>
        <w:t>≤3.3</w:t>
      </w:r>
      <w:r>
        <w:rPr>
          <w:rFonts w:ascii="仿宋" w:eastAsia="仿宋" w:hAnsi="仿宋" w:cs="仿宋_GB2312"/>
          <w:sz w:val="32"/>
          <w:szCs w:val="32"/>
        </w:rPr>
        <w:t>t/a</w:t>
      </w:r>
      <w:r>
        <w:rPr>
          <w:rFonts w:ascii="仿宋" w:eastAsia="仿宋" w:hAnsi="仿宋" w:cs="仿宋_GB2312" w:hint="eastAsia"/>
          <w:sz w:val="32"/>
          <w:szCs w:val="32"/>
        </w:rPr>
        <w:t>，</w:t>
      </w:r>
      <w:r>
        <w:rPr>
          <w:rFonts w:ascii="仿宋" w:eastAsia="仿宋" w:hAnsi="仿宋" w:cs="仿宋_GB2312"/>
          <w:sz w:val="32"/>
          <w:szCs w:val="32"/>
        </w:rPr>
        <w:t>NH</w:t>
      </w:r>
      <w:r>
        <w:rPr>
          <w:rFonts w:ascii="仿宋" w:eastAsia="仿宋" w:hAnsi="仿宋" w:cs="仿宋_GB2312"/>
          <w:sz w:val="32"/>
          <w:szCs w:val="32"/>
          <w:vertAlign w:val="subscript"/>
        </w:rPr>
        <w:t>3</w:t>
      </w:r>
      <w:r>
        <w:rPr>
          <w:rFonts w:ascii="仿宋" w:eastAsia="仿宋" w:hAnsi="仿宋" w:cs="仿宋_GB2312"/>
          <w:sz w:val="32"/>
          <w:szCs w:val="32"/>
        </w:rPr>
        <w:t>-N</w:t>
      </w:r>
      <w:r>
        <w:rPr>
          <w:rFonts w:ascii="仿宋" w:eastAsia="仿宋" w:hAnsi="仿宋" w:cs="仿宋_GB2312" w:hint="eastAsia"/>
          <w:sz w:val="32"/>
          <w:szCs w:val="32"/>
        </w:rPr>
        <w:t>≤0.6</w:t>
      </w:r>
      <w:r>
        <w:rPr>
          <w:rFonts w:ascii="仿宋" w:eastAsia="仿宋" w:hAnsi="仿宋" w:cs="仿宋_GB2312"/>
          <w:sz w:val="32"/>
          <w:szCs w:val="32"/>
        </w:rPr>
        <w:t>t/a。</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sz w:val="32"/>
          <w:szCs w:val="32"/>
        </w:rPr>
        <w:t>三、你公司应收到本批复后15个工作日内，将批复及批准</w:t>
      </w:r>
      <w:r>
        <w:rPr>
          <w:rFonts w:ascii="仿宋" w:eastAsia="仿宋" w:hAnsi="仿宋" w:cs="仿宋_GB2312"/>
          <w:sz w:val="32"/>
          <w:szCs w:val="32"/>
        </w:rPr>
        <w:lastRenderedPageBreak/>
        <w:t>的环</w:t>
      </w:r>
      <w:proofErr w:type="gramStart"/>
      <w:r>
        <w:rPr>
          <w:rFonts w:ascii="仿宋" w:eastAsia="仿宋" w:hAnsi="仿宋" w:cs="仿宋_GB2312"/>
          <w:sz w:val="32"/>
          <w:szCs w:val="32"/>
        </w:rPr>
        <w:t>评报告</w:t>
      </w:r>
      <w:proofErr w:type="gramEnd"/>
      <w:r>
        <w:rPr>
          <w:rFonts w:ascii="仿宋" w:eastAsia="仿宋" w:hAnsi="仿宋" w:cs="仿宋_GB2312"/>
          <w:sz w:val="32"/>
          <w:szCs w:val="32"/>
        </w:rPr>
        <w:t>文件送岳阳市</w:t>
      </w:r>
      <w:proofErr w:type="gramStart"/>
      <w:r>
        <w:rPr>
          <w:rFonts w:ascii="仿宋" w:eastAsia="仿宋" w:hAnsi="仿宋" w:cs="仿宋_GB2312"/>
          <w:sz w:val="32"/>
          <w:szCs w:val="32"/>
        </w:rPr>
        <w:t>生态环境局</w:t>
      </w:r>
      <w:r>
        <w:rPr>
          <w:rFonts w:ascii="仿宋" w:eastAsia="仿宋" w:hAnsi="仿宋" w:cs="仿宋_GB2312" w:hint="eastAsia"/>
          <w:sz w:val="32"/>
          <w:szCs w:val="32"/>
        </w:rPr>
        <w:t>云溪</w:t>
      </w:r>
      <w:proofErr w:type="gramEnd"/>
      <w:r>
        <w:rPr>
          <w:rFonts w:ascii="仿宋" w:eastAsia="仿宋" w:hAnsi="仿宋" w:cs="仿宋_GB2312"/>
          <w:sz w:val="32"/>
          <w:szCs w:val="32"/>
        </w:rPr>
        <w:t>分局、</w:t>
      </w:r>
      <w:r>
        <w:rPr>
          <w:rFonts w:ascii="仿宋" w:eastAsia="仿宋" w:hAnsi="仿宋" w:cs="仿宋_GB2312" w:hint="eastAsia"/>
          <w:sz w:val="32"/>
          <w:szCs w:val="32"/>
        </w:rPr>
        <w:t>湖南岳阳绿色化工产业园管理委员会</w:t>
      </w:r>
      <w:r>
        <w:rPr>
          <w:rFonts w:ascii="仿宋" w:eastAsia="仿宋" w:hAnsi="仿宋" w:cs="仿宋_GB2312"/>
          <w:sz w:val="32"/>
          <w:szCs w:val="32"/>
        </w:rPr>
        <w:t>、</w:t>
      </w:r>
      <w:r>
        <w:rPr>
          <w:rFonts w:ascii="仿宋" w:eastAsia="仿宋" w:hAnsi="仿宋" w:cs="仿宋_GB2312" w:hint="eastAsia"/>
          <w:sz w:val="32"/>
          <w:szCs w:val="32"/>
        </w:rPr>
        <w:t>永清环保股份有限公司</w:t>
      </w:r>
      <w:r>
        <w:rPr>
          <w:rFonts w:ascii="仿宋" w:eastAsia="仿宋" w:hAnsi="仿宋" w:cs="仿宋_GB2312"/>
          <w:sz w:val="32"/>
          <w:szCs w:val="32"/>
        </w:rPr>
        <w:t>。</w:t>
      </w:r>
    </w:p>
    <w:p w:rsidR="00A16AB9" w:rsidRDefault="007328C4">
      <w:pPr>
        <w:spacing w:line="460" w:lineRule="exact"/>
        <w:ind w:firstLine="640"/>
        <w:jc w:val="both"/>
        <w:rPr>
          <w:rFonts w:ascii="仿宋" w:eastAsia="仿宋" w:hAnsi="仿宋" w:cs="仿宋_GB2312"/>
          <w:sz w:val="32"/>
          <w:szCs w:val="32"/>
        </w:rPr>
      </w:pPr>
      <w:r>
        <w:rPr>
          <w:rFonts w:ascii="仿宋" w:eastAsia="仿宋" w:hAnsi="仿宋" w:cs="仿宋_GB2312"/>
          <w:sz w:val="32"/>
          <w:szCs w:val="32"/>
        </w:rPr>
        <w:t>四、请岳阳市生态环境</w:t>
      </w:r>
      <w:proofErr w:type="gramStart"/>
      <w:r>
        <w:rPr>
          <w:rFonts w:ascii="仿宋" w:eastAsia="仿宋" w:hAnsi="仿宋" w:cs="仿宋_GB2312"/>
          <w:sz w:val="32"/>
          <w:szCs w:val="32"/>
        </w:rPr>
        <w:t>局</w:t>
      </w:r>
      <w:r>
        <w:rPr>
          <w:rFonts w:ascii="仿宋" w:eastAsia="仿宋" w:hAnsi="仿宋" w:cs="仿宋_GB2312" w:hint="eastAsia"/>
          <w:sz w:val="32"/>
          <w:szCs w:val="32"/>
        </w:rPr>
        <w:t>云溪</w:t>
      </w:r>
      <w:r>
        <w:rPr>
          <w:rFonts w:ascii="仿宋" w:eastAsia="仿宋" w:hAnsi="仿宋" w:cs="仿宋_GB2312"/>
          <w:sz w:val="32"/>
          <w:szCs w:val="32"/>
        </w:rPr>
        <w:t>分局</w:t>
      </w:r>
      <w:proofErr w:type="gramEnd"/>
      <w:r>
        <w:rPr>
          <w:rFonts w:ascii="仿宋" w:eastAsia="仿宋" w:hAnsi="仿宋" w:cs="仿宋_GB2312"/>
          <w:sz w:val="32"/>
          <w:szCs w:val="32"/>
        </w:rPr>
        <w:t>负责项目建设和运营期的日常环境监管。</w:t>
      </w:r>
    </w:p>
    <w:p w:rsidR="00A16AB9" w:rsidRDefault="00A16AB9">
      <w:pPr>
        <w:spacing w:line="420" w:lineRule="exact"/>
        <w:ind w:firstLineChars="0" w:firstLine="0"/>
        <w:rPr>
          <w:rFonts w:ascii="仿宋" w:eastAsia="仿宋" w:hAnsi="仿宋"/>
          <w:sz w:val="32"/>
          <w:szCs w:val="32"/>
        </w:rPr>
      </w:pPr>
    </w:p>
    <w:p w:rsidR="00A16AB9" w:rsidRDefault="00A16AB9">
      <w:pPr>
        <w:spacing w:line="420" w:lineRule="exact"/>
        <w:ind w:firstLineChars="0" w:firstLine="0"/>
        <w:rPr>
          <w:rFonts w:ascii="仿宋" w:eastAsia="仿宋" w:hAnsi="仿宋"/>
          <w:sz w:val="32"/>
          <w:szCs w:val="32"/>
        </w:rPr>
      </w:pPr>
    </w:p>
    <w:p w:rsidR="00A16AB9" w:rsidRDefault="00A16AB9">
      <w:pPr>
        <w:spacing w:line="420" w:lineRule="exact"/>
        <w:ind w:firstLineChars="0" w:firstLine="0"/>
        <w:rPr>
          <w:rFonts w:ascii="仿宋" w:eastAsia="仿宋" w:hAnsi="仿宋"/>
          <w:sz w:val="32"/>
          <w:szCs w:val="32"/>
        </w:rPr>
      </w:pPr>
    </w:p>
    <w:p w:rsidR="005C1571" w:rsidRPr="005C1571" w:rsidRDefault="005C1571" w:rsidP="005C1571">
      <w:pPr>
        <w:pStyle w:val="a0"/>
        <w:ind w:firstLine="400"/>
      </w:pPr>
    </w:p>
    <w:p w:rsidR="00A16AB9" w:rsidRDefault="007328C4">
      <w:pPr>
        <w:spacing w:line="460" w:lineRule="exact"/>
        <w:ind w:firstLineChars="0" w:firstLine="0"/>
        <w:rPr>
          <w:rFonts w:ascii="仿宋" w:eastAsia="仿宋" w:hAnsi="仿宋"/>
          <w:sz w:val="32"/>
          <w:szCs w:val="32"/>
        </w:rPr>
      </w:pPr>
      <w:r>
        <w:rPr>
          <w:rFonts w:ascii="仿宋" w:eastAsia="仿宋" w:hAnsi="仿宋" w:hint="eastAsia"/>
          <w:sz w:val="32"/>
          <w:szCs w:val="32"/>
        </w:rPr>
        <w:t xml:space="preserve">                                岳阳市生态环境局</w:t>
      </w:r>
    </w:p>
    <w:p w:rsidR="00A16AB9" w:rsidRDefault="007328C4">
      <w:pPr>
        <w:spacing w:line="460" w:lineRule="exact"/>
        <w:ind w:firstLineChars="180" w:firstLine="576"/>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2020</w:t>
      </w:r>
      <w:r>
        <w:rPr>
          <w:rFonts w:ascii="仿宋" w:eastAsia="仿宋" w:hAnsi="仿宋" w:hint="eastAsia"/>
          <w:sz w:val="32"/>
          <w:szCs w:val="32"/>
        </w:rPr>
        <w:t>年4月24日</w:t>
      </w:r>
    </w:p>
    <w:tbl>
      <w:tblPr>
        <w:tblpPr w:leftFromText="180" w:rightFromText="180" w:vertAnchor="page" w:horzAnchor="margin" w:tblpY="14328"/>
        <w:tblW w:w="886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A16AB9">
        <w:trPr>
          <w:trHeight w:val="1033"/>
        </w:trPr>
        <w:tc>
          <w:tcPr>
            <w:tcW w:w="8861" w:type="dxa"/>
          </w:tcPr>
          <w:p w:rsidR="00A16AB9" w:rsidRDefault="007328C4">
            <w:pPr>
              <w:spacing w:line="460" w:lineRule="exact"/>
              <w:ind w:left="800" w:hangingChars="250" w:hanging="800"/>
              <w:rPr>
                <w:rFonts w:ascii="仿宋" w:eastAsia="仿宋" w:hAnsi="仿宋"/>
                <w:sz w:val="32"/>
                <w:szCs w:val="32"/>
              </w:rPr>
            </w:pPr>
            <w:r>
              <w:rPr>
                <w:rFonts w:ascii="仿宋" w:eastAsia="仿宋" w:hAnsi="仿宋" w:hint="eastAsia"/>
                <w:sz w:val="32"/>
                <w:szCs w:val="32"/>
              </w:rPr>
              <w:t>抄送:</w:t>
            </w:r>
            <w:r>
              <w:rPr>
                <w:rFonts w:ascii="仿宋" w:eastAsia="仿宋" w:hAnsi="仿宋"/>
                <w:sz w:val="32"/>
                <w:szCs w:val="32"/>
              </w:rPr>
              <w:t>岳阳市</w:t>
            </w:r>
            <w:proofErr w:type="gramStart"/>
            <w:r>
              <w:rPr>
                <w:rFonts w:ascii="仿宋" w:eastAsia="仿宋" w:hAnsi="仿宋"/>
                <w:sz w:val="32"/>
                <w:szCs w:val="32"/>
              </w:rPr>
              <w:t>生态环境局</w:t>
            </w:r>
            <w:r>
              <w:rPr>
                <w:rFonts w:ascii="仿宋" w:eastAsia="仿宋" w:hAnsi="仿宋" w:hint="eastAsia"/>
                <w:sz w:val="32"/>
                <w:szCs w:val="32"/>
              </w:rPr>
              <w:t>云溪</w:t>
            </w:r>
            <w:proofErr w:type="gramEnd"/>
            <w:r>
              <w:rPr>
                <w:rFonts w:ascii="仿宋" w:eastAsia="仿宋" w:hAnsi="仿宋"/>
                <w:sz w:val="32"/>
                <w:szCs w:val="32"/>
              </w:rPr>
              <w:t>分局、</w:t>
            </w:r>
            <w:r>
              <w:rPr>
                <w:rFonts w:ascii="仿宋" w:eastAsia="仿宋" w:hAnsi="仿宋" w:hint="eastAsia"/>
                <w:sz w:val="32"/>
                <w:szCs w:val="32"/>
              </w:rPr>
              <w:t>湖南岳阳绿色化工产业园管理委员会</w:t>
            </w:r>
            <w:r>
              <w:rPr>
                <w:rFonts w:ascii="仿宋" w:eastAsia="仿宋" w:hAnsi="仿宋"/>
                <w:sz w:val="32"/>
                <w:szCs w:val="32"/>
              </w:rPr>
              <w:t>、</w:t>
            </w:r>
            <w:r>
              <w:rPr>
                <w:rFonts w:ascii="仿宋" w:eastAsia="仿宋" w:hAnsi="仿宋" w:hint="eastAsia"/>
                <w:sz w:val="32"/>
                <w:szCs w:val="32"/>
              </w:rPr>
              <w:t>永清环保股份有限公司</w:t>
            </w:r>
          </w:p>
        </w:tc>
      </w:tr>
    </w:tbl>
    <w:p w:rsidR="00A16AB9" w:rsidRDefault="00A16AB9">
      <w:pPr>
        <w:pStyle w:val="0"/>
        <w:spacing w:line="500" w:lineRule="exact"/>
        <w:ind w:left="0" w:firstLineChars="0" w:firstLine="0"/>
        <w:jc w:val="both"/>
        <w:rPr>
          <w:rFonts w:ascii="仿宋" w:eastAsia="仿宋" w:hAnsi="仿宋"/>
        </w:rPr>
      </w:pPr>
    </w:p>
    <w:sectPr w:rsidR="00A16AB9">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69" w:rsidRDefault="00C03369" w:rsidP="007328C4">
      <w:pPr>
        <w:ind w:firstLine="400"/>
      </w:pPr>
      <w:r>
        <w:separator/>
      </w:r>
    </w:p>
  </w:endnote>
  <w:endnote w:type="continuationSeparator" w:id="0">
    <w:p w:rsidR="00C03369" w:rsidRDefault="00C03369" w:rsidP="007328C4">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7A"/>
    <w:family w:val="modern"/>
    <w:pitch w:val="default"/>
    <w:sig w:usb0="00000001" w:usb1="080E0000" w:usb2="00000000" w:usb3="00000000" w:csb0="00040000" w:csb1="00000000"/>
  </w:font>
  <w:font w:name="_4eff_5b8b_GB2312">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9" w:rsidRDefault="00A16AB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9" w:rsidRDefault="007328C4">
    <w:pPr>
      <w:pStyle w:val="ab"/>
      <w:ind w:firstLine="360"/>
      <w:jc w:val="center"/>
    </w:pPr>
    <w:r>
      <w:fldChar w:fldCharType="begin"/>
    </w:r>
    <w:r>
      <w:instrText xml:space="preserve"> PAGE   \* MERGEFORMAT </w:instrText>
    </w:r>
    <w:r>
      <w:fldChar w:fldCharType="separate"/>
    </w:r>
    <w:r w:rsidR="000E298D" w:rsidRPr="000E298D">
      <w:rPr>
        <w:noProof/>
        <w:lang w:val="zh-CN"/>
      </w:rPr>
      <w:t>4</w:t>
    </w:r>
    <w:r>
      <w:fldChar w:fldCharType="end"/>
    </w:r>
  </w:p>
  <w:p w:rsidR="00A16AB9" w:rsidRDefault="00A16AB9">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8D" w:rsidRDefault="000E298D" w:rsidP="000E298D">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69" w:rsidRDefault="00C03369" w:rsidP="007328C4">
      <w:pPr>
        <w:ind w:firstLine="400"/>
      </w:pPr>
      <w:r>
        <w:separator/>
      </w:r>
    </w:p>
  </w:footnote>
  <w:footnote w:type="continuationSeparator" w:id="0">
    <w:p w:rsidR="00C03369" w:rsidRDefault="00C03369" w:rsidP="007328C4">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9" w:rsidRDefault="00A16AB9">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9" w:rsidRDefault="00A16AB9">
    <w:pPr>
      <w:pStyle w:val="ac"/>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9" w:rsidRDefault="00A16AB9">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B9"/>
    <w:rsid w:val="000E298D"/>
    <w:rsid w:val="004B29B2"/>
    <w:rsid w:val="005C1571"/>
    <w:rsid w:val="007328C4"/>
    <w:rsid w:val="00A16AB9"/>
    <w:rsid w:val="00C03369"/>
    <w:rsid w:val="00CE1F7A"/>
    <w:rsid w:val="00F6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21"/>
    </w:pPr>
    <w:rPr>
      <w:rFonts w:ascii="Times New Roman" w:hAnsi="Times New Roman"/>
    </w:r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annotation subject"/>
    <w:basedOn w:val="a5"/>
    <w:next w:val="a5"/>
    <w:link w:val="Char"/>
    <w:rPr>
      <w:b/>
      <w:bCs/>
    </w:rPr>
  </w:style>
  <w:style w:type="paragraph" w:styleId="a5">
    <w:name w:val="annotation text"/>
    <w:basedOn w:val="a"/>
    <w:link w:val="Char0"/>
  </w:style>
  <w:style w:type="paragraph" w:styleId="a6">
    <w:name w:val="Body Text First Indent"/>
    <w:basedOn w:val="a0"/>
    <w:link w:val="Char1"/>
    <w:qFormat/>
    <w:pPr>
      <w:adjustRightInd w:val="0"/>
      <w:snapToGrid w:val="0"/>
      <w:spacing w:after="0" w:line="360" w:lineRule="auto"/>
      <w:ind w:firstLine="200"/>
      <w:jc w:val="both"/>
    </w:pPr>
    <w:rPr>
      <w:kern w:val="2"/>
      <w:sz w:val="24"/>
    </w:rPr>
  </w:style>
  <w:style w:type="paragraph" w:styleId="a7">
    <w:name w:val="Normal Indent"/>
    <w:pPr>
      <w:adjustRightInd w:val="0"/>
      <w:spacing w:line="312" w:lineRule="atLeast"/>
      <w:ind w:firstLine="420"/>
      <w:textAlignment w:val="baseline"/>
    </w:pPr>
    <w:rPr>
      <w:rFonts w:ascii="Times New Roman" w:hAnsi="Times New Roman"/>
    </w:rPr>
  </w:style>
  <w:style w:type="paragraph" w:styleId="a8">
    <w:name w:val="Plain Text"/>
    <w:pPr>
      <w:spacing w:line="440" w:lineRule="exact"/>
      <w:ind w:firstLine="425"/>
    </w:pPr>
    <w:rPr>
      <w:rFonts w:ascii="宋体" w:hAnsi="Courier New"/>
      <w:kern w:val="2"/>
      <w:sz w:val="28"/>
    </w:rPr>
  </w:style>
  <w:style w:type="paragraph" w:styleId="a9">
    <w:name w:val="Date"/>
    <w:basedOn w:val="a"/>
    <w:next w:val="a"/>
    <w:pPr>
      <w:ind w:leftChars="2500" w:left="100"/>
    </w:pPr>
  </w:style>
  <w:style w:type="paragraph" w:styleId="aa">
    <w:name w:val="Balloon Text"/>
    <w:basedOn w:val="a"/>
    <w:rPr>
      <w:sz w:val="18"/>
      <w:szCs w:val="18"/>
    </w:rPr>
  </w:style>
  <w:style w:type="paragraph" w:styleId="ab">
    <w:name w:val="footer"/>
    <w:basedOn w:val="a"/>
    <w:link w:val="Char2"/>
    <w:uiPriority w:val="99"/>
    <w:pPr>
      <w:tabs>
        <w:tab w:val="center" w:pos="4153"/>
        <w:tab w:val="right" w:pos="8306"/>
      </w:tabs>
      <w:snapToGrid w:val="0"/>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character" w:styleId="ad">
    <w:name w:val="page number"/>
    <w:basedOn w:val="a1"/>
  </w:style>
  <w:style w:type="character" w:styleId="ae">
    <w:name w:val="annotation reference"/>
    <w:rPr>
      <w:sz w:val="21"/>
      <w:szCs w:val="21"/>
    </w:rPr>
  </w:style>
  <w:style w:type="table" w:styleId="af">
    <w:name w:val="Table Grid"/>
    <w:basedOn w:val="a2"/>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表格文字 Char"/>
    <w:link w:val="af0"/>
    <w:rPr>
      <w:rFonts w:eastAsia="宋体"/>
      <w:kern w:val="2"/>
      <w:sz w:val="21"/>
      <w:szCs w:val="21"/>
      <w:lang w:val="en-US" w:eastAsia="zh-CN" w:bidi="ar-SA"/>
    </w:rPr>
  </w:style>
  <w:style w:type="paragraph" w:customStyle="1" w:styleId="af0">
    <w:name w:val="表格文字"/>
    <w:basedOn w:val="a"/>
    <w:link w:val="Char3"/>
    <w:qFormat/>
    <w:pPr>
      <w:widowControl/>
      <w:adjustRightInd w:val="0"/>
      <w:snapToGrid w:val="0"/>
      <w:ind w:firstLineChars="0" w:firstLine="0"/>
      <w:jc w:val="center"/>
    </w:pPr>
    <w:rPr>
      <w:kern w:val="2"/>
      <w:sz w:val="21"/>
      <w:szCs w:val="21"/>
    </w:rPr>
  </w:style>
  <w:style w:type="character" w:customStyle="1" w:styleId="Char0">
    <w:name w:val="批注文字 Char"/>
    <w:basedOn w:val="a1"/>
    <w:link w:val="a5"/>
  </w:style>
  <w:style w:type="character" w:customStyle="1" w:styleId="CharChar">
    <w:name w:val="中文报告书样式 Char Char"/>
    <w:link w:val="af1"/>
    <w:rPr>
      <w:rFonts w:eastAsia="宋体"/>
      <w:kern w:val="24"/>
      <w:sz w:val="24"/>
      <w:lang w:val="en-US" w:eastAsia="zh-CN" w:bidi="ar-SA"/>
    </w:rPr>
  </w:style>
  <w:style w:type="paragraph" w:customStyle="1" w:styleId="af1">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link w:val="p0"/>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2">
    <w:name w:val="页脚 Char"/>
    <w:link w:val="ab"/>
    <w:uiPriority w:val="99"/>
    <w:rPr>
      <w:sz w:val="18"/>
      <w:szCs w:val="18"/>
    </w:rPr>
  </w:style>
  <w:style w:type="character" w:customStyle="1" w:styleId="Char">
    <w:name w:val="批注主题 Char"/>
    <w:link w:val="a4"/>
    <w:rPr>
      <w:b/>
      <w:bCs/>
    </w:rPr>
  </w:style>
  <w:style w:type="character" w:customStyle="1" w:styleId="Char1">
    <w:name w:val="正文首行缩进 Char"/>
    <w:link w:val="a6"/>
    <w:rPr>
      <w:rFonts w:eastAsia="宋体"/>
      <w:kern w:val="2"/>
      <w:sz w:val="24"/>
      <w:lang w:val="en-US" w:eastAsia="zh-CN" w:bidi="ar-SA"/>
    </w:rPr>
  </w:style>
  <w:style w:type="paragraph" w:customStyle="1" w:styleId="1-">
    <w:name w:val="1-正文"/>
    <w:qFormat/>
    <w:pPr>
      <w:spacing w:after="60" w:line="360" w:lineRule="auto"/>
      <w:ind w:firstLineChars="200" w:firstLine="200"/>
    </w:pPr>
    <w:rPr>
      <w:rFonts w:ascii="Times New Roman" w:hAnsi="Times New Roman"/>
      <w:kern w:val="2"/>
      <w:sz w:val="24"/>
    </w:rPr>
  </w:style>
  <w:style w:type="paragraph" w:customStyle="1" w:styleId="WPSPlain">
    <w:name w:val="WPS Plain"/>
    <w:qFormat/>
    <w:rPr>
      <w:rFonts w:ascii="Times New Roman" w:hAnsi="Times New Roman"/>
    </w:rPr>
  </w:style>
  <w:style w:type="paragraph" w:customStyle="1" w:styleId="0">
    <w:name w:val="0"/>
    <w:basedOn w:val="a"/>
    <w:qFormat/>
    <w:pPr>
      <w:widowControl/>
      <w:snapToGrid w:val="0"/>
      <w:spacing w:line="365" w:lineRule="atLeast"/>
      <w:ind w:left="1"/>
      <w:textAlignment w:val="bottom"/>
    </w:pPr>
  </w:style>
  <w:style w:type="paragraph" w:customStyle="1" w:styleId="af2">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10">
    <w:name w:val="修订1"/>
    <w:uiPriority w:val="99"/>
    <w:qFormat/>
    <w:rPr>
      <w:rFonts w:ascii="Times New Roman" w:hAnsi="Times New Roman"/>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af3">
    <w:name w:val="缩进"/>
    <w:qFormat/>
    <w:pPr>
      <w:autoSpaceDE w:val="0"/>
      <w:autoSpaceDN w:val="0"/>
      <w:adjustRightInd w:val="0"/>
      <w:spacing w:line="400" w:lineRule="atLeast"/>
      <w:ind w:firstLine="425"/>
      <w:textAlignment w:val="baseline"/>
    </w:pPr>
    <w:rPr>
      <w:rFonts w:ascii="Times New Roman" w:hAnsi="Times New Roman"/>
      <w:sz w:val="24"/>
    </w:rPr>
  </w:style>
  <w:style w:type="paragraph" w:customStyle="1" w:styleId="0012">
    <w:name w:val="样式 正文001 + 首行缩进:  2 字符"/>
    <w:qFormat/>
    <w:pPr>
      <w:spacing w:before="60" w:line="460" w:lineRule="atLeast"/>
      <w:ind w:firstLineChars="200" w:firstLine="480"/>
    </w:pPr>
    <w:rPr>
      <w:rFonts w:ascii="Times New Roman" w:hAnsi="Times New Roman" w:cs="宋体"/>
      <w:sz w:val="24"/>
    </w:rPr>
  </w:style>
  <w:style w:type="paragraph" w:customStyle="1" w:styleId="CharCharCharCharCharCharCharCharCharCharChar">
    <w:name w:val="Char Char Char Char Char Char Char Char Char Char Char"/>
    <w:basedOn w:val="a"/>
    <w:qFormat/>
    <w:pPr>
      <w:ind w:firstLineChars="0" w:firstLine="0"/>
      <w:jc w:val="both"/>
    </w:pPr>
    <w:rPr>
      <w:kern w:val="2"/>
      <w:sz w:val="28"/>
      <w:szCs w:val="28"/>
    </w:rPr>
  </w:style>
  <w:style w:type="paragraph" w:styleId="af4">
    <w:name w:val="List Paragraph"/>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ind w:firstLineChars="200" w:firstLine="21"/>
    </w:pPr>
    <w:rPr>
      <w:rFonts w:ascii="Times New Roman" w:hAnsi="Times New Roman"/>
    </w:r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annotation subject"/>
    <w:basedOn w:val="a5"/>
    <w:next w:val="a5"/>
    <w:link w:val="Char"/>
    <w:rPr>
      <w:b/>
      <w:bCs/>
    </w:rPr>
  </w:style>
  <w:style w:type="paragraph" w:styleId="a5">
    <w:name w:val="annotation text"/>
    <w:basedOn w:val="a"/>
    <w:link w:val="Char0"/>
  </w:style>
  <w:style w:type="paragraph" w:styleId="a6">
    <w:name w:val="Body Text First Indent"/>
    <w:basedOn w:val="a0"/>
    <w:link w:val="Char1"/>
    <w:qFormat/>
    <w:pPr>
      <w:adjustRightInd w:val="0"/>
      <w:snapToGrid w:val="0"/>
      <w:spacing w:after="0" w:line="360" w:lineRule="auto"/>
      <w:ind w:firstLine="200"/>
      <w:jc w:val="both"/>
    </w:pPr>
    <w:rPr>
      <w:kern w:val="2"/>
      <w:sz w:val="24"/>
    </w:rPr>
  </w:style>
  <w:style w:type="paragraph" w:styleId="a7">
    <w:name w:val="Normal Indent"/>
    <w:pPr>
      <w:adjustRightInd w:val="0"/>
      <w:spacing w:line="312" w:lineRule="atLeast"/>
      <w:ind w:firstLine="420"/>
      <w:textAlignment w:val="baseline"/>
    </w:pPr>
    <w:rPr>
      <w:rFonts w:ascii="Times New Roman" w:hAnsi="Times New Roman"/>
    </w:rPr>
  </w:style>
  <w:style w:type="paragraph" w:styleId="a8">
    <w:name w:val="Plain Text"/>
    <w:pPr>
      <w:spacing w:line="440" w:lineRule="exact"/>
      <w:ind w:firstLine="425"/>
    </w:pPr>
    <w:rPr>
      <w:rFonts w:ascii="宋体" w:hAnsi="Courier New"/>
      <w:kern w:val="2"/>
      <w:sz w:val="28"/>
    </w:rPr>
  </w:style>
  <w:style w:type="paragraph" w:styleId="a9">
    <w:name w:val="Date"/>
    <w:basedOn w:val="a"/>
    <w:next w:val="a"/>
    <w:pPr>
      <w:ind w:leftChars="2500" w:left="100"/>
    </w:pPr>
  </w:style>
  <w:style w:type="paragraph" w:styleId="aa">
    <w:name w:val="Balloon Text"/>
    <w:basedOn w:val="a"/>
    <w:rPr>
      <w:sz w:val="18"/>
      <w:szCs w:val="18"/>
    </w:rPr>
  </w:style>
  <w:style w:type="paragraph" w:styleId="ab">
    <w:name w:val="footer"/>
    <w:basedOn w:val="a"/>
    <w:link w:val="Char2"/>
    <w:uiPriority w:val="99"/>
    <w:pPr>
      <w:tabs>
        <w:tab w:val="center" w:pos="4153"/>
        <w:tab w:val="right" w:pos="8306"/>
      </w:tabs>
      <w:snapToGrid w:val="0"/>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character" w:styleId="ad">
    <w:name w:val="page number"/>
    <w:basedOn w:val="a1"/>
  </w:style>
  <w:style w:type="character" w:styleId="ae">
    <w:name w:val="annotation reference"/>
    <w:rPr>
      <w:sz w:val="21"/>
      <w:szCs w:val="21"/>
    </w:rPr>
  </w:style>
  <w:style w:type="table" w:styleId="af">
    <w:name w:val="Table Grid"/>
    <w:basedOn w:val="a2"/>
    <w:qFormat/>
    <w:pPr>
      <w:widowControl w:val="0"/>
      <w:ind w:firstLineChars="200" w:firstLine="2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表格文字 Char"/>
    <w:link w:val="af0"/>
    <w:rPr>
      <w:rFonts w:eastAsia="宋体"/>
      <w:kern w:val="2"/>
      <w:sz w:val="21"/>
      <w:szCs w:val="21"/>
      <w:lang w:val="en-US" w:eastAsia="zh-CN" w:bidi="ar-SA"/>
    </w:rPr>
  </w:style>
  <w:style w:type="paragraph" w:customStyle="1" w:styleId="af0">
    <w:name w:val="表格文字"/>
    <w:basedOn w:val="a"/>
    <w:link w:val="Char3"/>
    <w:qFormat/>
    <w:pPr>
      <w:widowControl/>
      <w:adjustRightInd w:val="0"/>
      <w:snapToGrid w:val="0"/>
      <w:ind w:firstLineChars="0" w:firstLine="0"/>
      <w:jc w:val="center"/>
    </w:pPr>
    <w:rPr>
      <w:kern w:val="2"/>
      <w:sz w:val="21"/>
      <w:szCs w:val="21"/>
    </w:rPr>
  </w:style>
  <w:style w:type="character" w:customStyle="1" w:styleId="Char0">
    <w:name w:val="批注文字 Char"/>
    <w:basedOn w:val="a1"/>
    <w:link w:val="a5"/>
  </w:style>
  <w:style w:type="character" w:customStyle="1" w:styleId="CharChar">
    <w:name w:val="中文报告书样式 Char Char"/>
    <w:link w:val="af1"/>
    <w:rPr>
      <w:rFonts w:eastAsia="宋体"/>
      <w:kern w:val="24"/>
      <w:sz w:val="24"/>
      <w:lang w:val="en-US" w:eastAsia="zh-CN" w:bidi="ar-SA"/>
    </w:rPr>
  </w:style>
  <w:style w:type="paragraph" w:customStyle="1" w:styleId="af1">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link w:val="p0"/>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Char2">
    <w:name w:val="页脚 Char"/>
    <w:link w:val="ab"/>
    <w:uiPriority w:val="99"/>
    <w:rPr>
      <w:sz w:val="18"/>
      <w:szCs w:val="18"/>
    </w:rPr>
  </w:style>
  <w:style w:type="character" w:customStyle="1" w:styleId="Char">
    <w:name w:val="批注主题 Char"/>
    <w:link w:val="a4"/>
    <w:rPr>
      <w:b/>
      <w:bCs/>
    </w:rPr>
  </w:style>
  <w:style w:type="character" w:customStyle="1" w:styleId="Char1">
    <w:name w:val="正文首行缩进 Char"/>
    <w:link w:val="a6"/>
    <w:rPr>
      <w:rFonts w:eastAsia="宋体"/>
      <w:kern w:val="2"/>
      <w:sz w:val="24"/>
      <w:lang w:val="en-US" w:eastAsia="zh-CN" w:bidi="ar-SA"/>
    </w:rPr>
  </w:style>
  <w:style w:type="paragraph" w:customStyle="1" w:styleId="1-">
    <w:name w:val="1-正文"/>
    <w:qFormat/>
    <w:pPr>
      <w:spacing w:after="60" w:line="360" w:lineRule="auto"/>
      <w:ind w:firstLineChars="200" w:firstLine="200"/>
    </w:pPr>
    <w:rPr>
      <w:rFonts w:ascii="Times New Roman" w:hAnsi="Times New Roman"/>
      <w:kern w:val="2"/>
      <w:sz w:val="24"/>
    </w:rPr>
  </w:style>
  <w:style w:type="paragraph" w:customStyle="1" w:styleId="WPSPlain">
    <w:name w:val="WPS Plain"/>
    <w:qFormat/>
    <w:rPr>
      <w:rFonts w:ascii="Times New Roman" w:hAnsi="Times New Roman"/>
    </w:rPr>
  </w:style>
  <w:style w:type="paragraph" w:customStyle="1" w:styleId="0">
    <w:name w:val="0"/>
    <w:basedOn w:val="a"/>
    <w:qFormat/>
    <w:pPr>
      <w:widowControl/>
      <w:snapToGrid w:val="0"/>
      <w:spacing w:line="365" w:lineRule="atLeast"/>
      <w:ind w:left="1"/>
      <w:textAlignment w:val="bottom"/>
    </w:pPr>
  </w:style>
  <w:style w:type="paragraph" w:customStyle="1" w:styleId="af2">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10">
    <w:name w:val="修订1"/>
    <w:uiPriority w:val="99"/>
    <w:qFormat/>
    <w:rPr>
      <w:rFonts w:ascii="Times New Roman" w:hAnsi="Times New Roman"/>
    </w:rPr>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af3">
    <w:name w:val="缩进"/>
    <w:qFormat/>
    <w:pPr>
      <w:autoSpaceDE w:val="0"/>
      <w:autoSpaceDN w:val="0"/>
      <w:adjustRightInd w:val="0"/>
      <w:spacing w:line="400" w:lineRule="atLeast"/>
      <w:ind w:firstLine="425"/>
      <w:textAlignment w:val="baseline"/>
    </w:pPr>
    <w:rPr>
      <w:rFonts w:ascii="Times New Roman" w:hAnsi="Times New Roman"/>
      <w:sz w:val="24"/>
    </w:rPr>
  </w:style>
  <w:style w:type="paragraph" w:customStyle="1" w:styleId="0012">
    <w:name w:val="样式 正文001 + 首行缩进:  2 字符"/>
    <w:qFormat/>
    <w:pPr>
      <w:spacing w:before="60" w:line="460" w:lineRule="atLeast"/>
      <w:ind w:firstLineChars="200" w:firstLine="480"/>
    </w:pPr>
    <w:rPr>
      <w:rFonts w:ascii="Times New Roman" w:hAnsi="Times New Roman" w:cs="宋体"/>
      <w:sz w:val="24"/>
    </w:rPr>
  </w:style>
  <w:style w:type="paragraph" w:customStyle="1" w:styleId="CharCharCharCharCharCharCharCharCharCharChar">
    <w:name w:val="Char Char Char Char Char Char Char Char Char Char Char"/>
    <w:basedOn w:val="a"/>
    <w:qFormat/>
    <w:pPr>
      <w:ind w:firstLineChars="0" w:firstLine="0"/>
      <w:jc w:val="both"/>
    </w:pPr>
    <w:rPr>
      <w:kern w:val="2"/>
      <w:sz w:val="28"/>
      <w:szCs w:val="28"/>
    </w:rPr>
  </w:style>
  <w:style w:type="paragraph" w:styleId="af4">
    <w:name w:val="List Paragraph"/>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1263</Words>
  <Characters>1264</Characters>
  <Application>Microsoft Office Word</Application>
  <DocSecurity>0</DocSecurity>
  <Lines>84</Lines>
  <Paragraphs>157</Paragraphs>
  <ScaleCrop>false</ScaleCrop>
  <Company>微软中国</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王志勤</cp:lastModifiedBy>
  <cp:revision>22</cp:revision>
  <cp:lastPrinted>2020-04-22T09:49:00Z</cp:lastPrinted>
  <dcterms:created xsi:type="dcterms:W3CDTF">2020-02-12T04:38:00Z</dcterms:created>
  <dcterms:modified xsi:type="dcterms:W3CDTF">2020-05-13T09:58:00Z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