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484" w:rsidRDefault="00AF4484" w:rsidP="00AF4484">
      <w:pPr>
        <w:pStyle w:val="WPSPlain"/>
        <w:spacing w:line="480" w:lineRule="exact"/>
        <w:textAlignment w:val="top"/>
        <w:rPr>
          <w:rFonts w:eastAsia="黑体"/>
          <w:b/>
          <w:color w:val="000000"/>
          <w:sz w:val="36"/>
        </w:rPr>
      </w:pPr>
      <w:r>
        <w:rPr>
          <w:rFonts w:eastAsia="黑体" w:hint="eastAsia"/>
          <w:b/>
          <w:kern w:val="2"/>
          <w:sz w:val="36"/>
        </w:rPr>
        <w:t xml:space="preserve">                           </w:t>
      </w:r>
    </w:p>
    <w:p w:rsidR="00AF4484" w:rsidRDefault="00AF4484" w:rsidP="00AF4484">
      <w:pPr>
        <w:pStyle w:val="WPSPlain"/>
        <w:spacing w:line="480" w:lineRule="exact"/>
        <w:textAlignment w:val="top"/>
        <w:rPr>
          <w:rFonts w:eastAsia="黑体"/>
          <w:b/>
          <w:color w:val="000000"/>
          <w:sz w:val="36"/>
        </w:rPr>
      </w:pPr>
    </w:p>
    <w:p w:rsidR="00AF4484" w:rsidRDefault="00AF4484" w:rsidP="00AF4484">
      <w:pPr>
        <w:pStyle w:val="WPSPlain"/>
        <w:spacing w:line="320" w:lineRule="exact"/>
        <w:ind w:firstLineChars="1750" w:firstLine="5250"/>
        <w:textAlignment w:val="top"/>
        <w:rPr>
          <w:rFonts w:eastAsia="楷体_GB2312"/>
          <w:color w:val="000000"/>
          <w:sz w:val="30"/>
          <w:szCs w:val="30"/>
        </w:rPr>
      </w:pPr>
    </w:p>
    <w:p w:rsidR="00AF4484" w:rsidRDefault="00AF4484" w:rsidP="00AF4484">
      <w:pPr>
        <w:pStyle w:val="WPSPlain"/>
        <w:spacing w:line="320" w:lineRule="exact"/>
        <w:ind w:firstLineChars="1750" w:firstLine="5250"/>
        <w:textAlignment w:val="top"/>
        <w:rPr>
          <w:rFonts w:eastAsia="楷体_GB2312"/>
          <w:color w:val="000000"/>
          <w:sz w:val="30"/>
          <w:szCs w:val="30"/>
        </w:rPr>
      </w:pPr>
    </w:p>
    <w:p w:rsidR="00AF4484" w:rsidRDefault="00AF4484" w:rsidP="00AF4484">
      <w:pPr>
        <w:pStyle w:val="WPSPlain"/>
        <w:spacing w:line="320" w:lineRule="exact"/>
        <w:ind w:firstLineChars="1750" w:firstLine="5250"/>
        <w:textAlignment w:val="top"/>
        <w:rPr>
          <w:rFonts w:eastAsia="楷体_GB2312"/>
          <w:color w:val="000000"/>
          <w:sz w:val="30"/>
          <w:szCs w:val="30"/>
        </w:rPr>
      </w:pPr>
    </w:p>
    <w:p w:rsidR="00AF4484" w:rsidRDefault="00AF4484" w:rsidP="00A05551">
      <w:pPr>
        <w:pStyle w:val="WPSPlain"/>
        <w:spacing w:afterLines="50" w:after="156" w:line="500" w:lineRule="exact"/>
        <w:jc w:val="right"/>
        <w:textAlignment w:val="top"/>
        <w:rPr>
          <w:rFonts w:ascii="仿宋" w:eastAsia="仿宋" w:hAnsi="仿宋" w:cs="仿宋_GB2312"/>
          <w:bCs/>
          <w:color w:val="000000"/>
          <w:sz w:val="32"/>
          <w:szCs w:val="32"/>
        </w:rPr>
      </w:pPr>
      <w:r>
        <w:rPr>
          <w:rFonts w:eastAsia="楷体_GB2312" w:hint="eastAsia"/>
          <w:color w:val="000000"/>
          <w:sz w:val="30"/>
          <w:szCs w:val="30"/>
        </w:rPr>
        <w:t xml:space="preserve">                                     </w:t>
      </w:r>
      <w:proofErr w:type="gramStart"/>
      <w:r>
        <w:rPr>
          <w:rFonts w:ascii="仿宋" w:eastAsia="仿宋" w:hAnsi="仿宋" w:cs="仿宋_GB2312" w:hint="eastAsia"/>
          <w:bCs/>
          <w:color w:val="000000"/>
          <w:sz w:val="32"/>
          <w:szCs w:val="32"/>
        </w:rPr>
        <w:t>岳环评</w:t>
      </w:r>
      <w:proofErr w:type="gramEnd"/>
      <w:r>
        <w:rPr>
          <w:rFonts w:ascii="仿宋" w:eastAsia="仿宋" w:hAnsi="仿宋" w:cs="仿宋_GB2312" w:hint="eastAsia"/>
          <w:bCs/>
          <w:color w:val="000000"/>
          <w:sz w:val="32"/>
          <w:szCs w:val="32"/>
        </w:rPr>
        <w:t>[2020</w:t>
      </w:r>
      <w:r w:rsidR="00C2287C">
        <w:rPr>
          <w:rFonts w:ascii="仿宋" w:eastAsia="仿宋" w:hAnsi="仿宋" w:cs="仿宋_GB2312" w:hint="eastAsia"/>
          <w:bCs/>
          <w:color w:val="000000"/>
          <w:sz w:val="32"/>
          <w:szCs w:val="32"/>
        </w:rPr>
        <w:t>]32</w:t>
      </w:r>
      <w:r>
        <w:rPr>
          <w:rFonts w:ascii="仿宋" w:eastAsia="仿宋" w:hAnsi="仿宋" w:cs="仿宋_GB2312" w:hint="eastAsia"/>
          <w:bCs/>
          <w:color w:val="000000"/>
          <w:sz w:val="32"/>
          <w:szCs w:val="32"/>
        </w:rPr>
        <w:t>号</w:t>
      </w:r>
    </w:p>
    <w:p w:rsidR="003F78D0" w:rsidRPr="003F78D0" w:rsidRDefault="003F78D0" w:rsidP="003F78D0">
      <w:pPr>
        <w:tabs>
          <w:tab w:val="left" w:pos="567"/>
          <w:tab w:val="left" w:pos="851"/>
        </w:tabs>
        <w:adjustRightInd w:val="0"/>
        <w:spacing w:line="500" w:lineRule="exact"/>
        <w:jc w:val="center"/>
        <w:outlineLvl w:val="2"/>
        <w:rPr>
          <w:rFonts w:asciiTheme="majorEastAsia" w:eastAsiaTheme="majorEastAsia" w:hAnsiTheme="majorEastAsia" w:cs="Times New Roman"/>
          <w:b/>
          <w:kern w:val="0"/>
          <w:sz w:val="36"/>
          <w:szCs w:val="36"/>
        </w:rPr>
      </w:pPr>
      <w:r w:rsidRPr="003F78D0">
        <w:rPr>
          <w:rFonts w:asciiTheme="majorEastAsia" w:eastAsiaTheme="majorEastAsia" w:hAnsiTheme="majorEastAsia" w:cs="Times New Roman" w:hint="eastAsia"/>
          <w:b/>
          <w:kern w:val="0"/>
          <w:sz w:val="36"/>
          <w:szCs w:val="36"/>
        </w:rPr>
        <w:t>关于湖南凯鑫黄金投资有限公司万古矿区团家洞金矿300t/d采选扩建工程环境影响报告书的批复</w:t>
      </w:r>
    </w:p>
    <w:p w:rsidR="009C1B3A" w:rsidRDefault="009C1B3A" w:rsidP="009C1B3A">
      <w:pPr>
        <w:adjustRightInd w:val="0"/>
        <w:snapToGrid w:val="0"/>
        <w:spacing w:line="600" w:lineRule="exact"/>
        <w:rPr>
          <w:rFonts w:ascii="仿宋_GB2312" w:hAnsi="宋体"/>
          <w:szCs w:val="32"/>
        </w:rPr>
      </w:pPr>
    </w:p>
    <w:p w:rsidR="009C1B3A" w:rsidRPr="003F78D0" w:rsidRDefault="003F78D0" w:rsidP="003F78D0">
      <w:pPr>
        <w:adjustRightInd w:val="0"/>
        <w:snapToGrid w:val="0"/>
        <w:spacing w:line="500" w:lineRule="exact"/>
        <w:rPr>
          <w:rFonts w:ascii="仿宋" w:eastAsia="仿宋" w:hAnsi="仿宋"/>
          <w:sz w:val="32"/>
          <w:szCs w:val="32"/>
        </w:rPr>
      </w:pPr>
      <w:r w:rsidRPr="003F78D0">
        <w:rPr>
          <w:rFonts w:ascii="仿宋" w:eastAsia="仿宋" w:hAnsi="仿宋" w:hint="eastAsia"/>
          <w:sz w:val="32"/>
          <w:szCs w:val="32"/>
        </w:rPr>
        <w:t>湖南凯鑫黄金投资有限公司</w:t>
      </w:r>
      <w:r w:rsidR="009C1B3A" w:rsidRPr="003F78D0">
        <w:rPr>
          <w:rFonts w:ascii="仿宋" w:eastAsia="仿宋" w:hAnsi="仿宋" w:hint="eastAsia"/>
          <w:sz w:val="32"/>
          <w:szCs w:val="32"/>
        </w:rPr>
        <w:t>：</w:t>
      </w:r>
    </w:p>
    <w:p w:rsidR="009C1B3A" w:rsidRPr="009C1B3A" w:rsidRDefault="009C1B3A" w:rsidP="009C1B3A">
      <w:pPr>
        <w:adjustRightInd w:val="0"/>
        <w:snapToGrid w:val="0"/>
        <w:spacing w:line="500" w:lineRule="exact"/>
        <w:ind w:firstLineChars="200" w:firstLine="640"/>
        <w:rPr>
          <w:rFonts w:ascii="仿宋" w:eastAsia="仿宋" w:hAnsi="仿宋"/>
          <w:sz w:val="32"/>
          <w:szCs w:val="32"/>
        </w:rPr>
      </w:pPr>
      <w:bookmarkStart w:id="0" w:name="main"/>
      <w:bookmarkEnd w:id="0"/>
      <w:r w:rsidRPr="009C1B3A">
        <w:rPr>
          <w:rFonts w:ascii="仿宋" w:eastAsia="仿宋" w:hAnsi="仿宋" w:hint="eastAsia"/>
          <w:sz w:val="32"/>
          <w:szCs w:val="32"/>
        </w:rPr>
        <w:t>你公司《</w:t>
      </w:r>
      <w:r w:rsidR="003F78D0">
        <w:rPr>
          <w:rFonts w:ascii="仿宋" w:eastAsia="仿宋" w:hAnsi="仿宋" w:hint="eastAsia"/>
          <w:sz w:val="32"/>
          <w:szCs w:val="32"/>
        </w:rPr>
        <w:t>办理环评审批手续的申请报告</w:t>
      </w:r>
      <w:r w:rsidRPr="009C1B3A">
        <w:rPr>
          <w:rFonts w:ascii="仿宋" w:eastAsia="仿宋" w:hAnsi="仿宋" w:hint="eastAsia"/>
          <w:sz w:val="32"/>
          <w:szCs w:val="32"/>
        </w:rPr>
        <w:t>》、岳阳市生态环境局平江分局的预审意见及相关附件收悉。经研究，批复如下：</w:t>
      </w:r>
    </w:p>
    <w:p w:rsidR="009C1B3A" w:rsidRPr="009C1B3A" w:rsidRDefault="003F78D0" w:rsidP="003F78D0">
      <w:pPr>
        <w:adjustRightInd w:val="0"/>
        <w:snapToGrid w:val="0"/>
        <w:spacing w:line="500" w:lineRule="exact"/>
        <w:ind w:firstLineChars="200" w:firstLine="640"/>
        <w:rPr>
          <w:rFonts w:ascii="仿宋" w:eastAsia="仿宋" w:hAnsi="仿宋"/>
          <w:bCs/>
          <w:sz w:val="32"/>
          <w:szCs w:val="32"/>
        </w:rPr>
      </w:pPr>
      <w:r w:rsidRPr="003F78D0">
        <w:rPr>
          <w:rFonts w:ascii="仿宋" w:eastAsia="仿宋" w:hAnsi="仿宋" w:hint="eastAsia"/>
          <w:sz w:val="32"/>
          <w:szCs w:val="32"/>
        </w:rPr>
        <w:t>一、湖南凯鑫黄金投资有限公司万古矿区团家洞金矿300t/d采选扩建工程位于湖南省岳阳市平江县三阳乡，采矿权范围由14个拐点所圈定，</w:t>
      </w:r>
      <w:r w:rsidRPr="003F78D0">
        <w:rPr>
          <w:rFonts w:ascii="仿宋" w:eastAsia="仿宋" w:hAnsi="仿宋"/>
          <w:sz w:val="32"/>
          <w:szCs w:val="32"/>
        </w:rPr>
        <w:t>矿区面积1.8487km</w:t>
      </w:r>
      <w:r w:rsidRPr="003F78D0">
        <w:rPr>
          <w:rFonts w:ascii="仿宋" w:eastAsia="仿宋" w:hAnsi="仿宋"/>
          <w:sz w:val="32"/>
          <w:szCs w:val="32"/>
          <w:vertAlign w:val="superscript"/>
        </w:rPr>
        <w:t>2</w:t>
      </w:r>
      <w:r w:rsidRPr="003F78D0">
        <w:rPr>
          <w:rFonts w:ascii="仿宋" w:eastAsia="仿宋" w:hAnsi="仿宋"/>
          <w:sz w:val="32"/>
          <w:szCs w:val="32"/>
        </w:rPr>
        <w:t>，</w:t>
      </w:r>
      <w:r w:rsidRPr="003F78D0">
        <w:rPr>
          <w:rFonts w:ascii="仿宋" w:eastAsia="仿宋" w:hAnsi="仿宋" w:hint="eastAsia"/>
          <w:sz w:val="32"/>
          <w:szCs w:val="32"/>
        </w:rPr>
        <w:t>本次改扩建工程主要建设内容为：</w:t>
      </w:r>
      <w:r w:rsidRPr="003F78D0">
        <w:rPr>
          <w:rFonts w:ascii="仿宋" w:eastAsia="仿宋" w:hAnsi="仿宋"/>
          <w:sz w:val="32"/>
          <w:szCs w:val="32"/>
        </w:rPr>
        <w:t>采选规模由现有100t/d扩建至300t/d，开采标高由228m～-150m增至+275m~-280m</w:t>
      </w:r>
      <w:r w:rsidRPr="003F78D0">
        <w:rPr>
          <w:rFonts w:ascii="仿宋" w:eastAsia="仿宋" w:hAnsi="仿宋" w:hint="eastAsia"/>
          <w:sz w:val="32"/>
          <w:szCs w:val="32"/>
        </w:rPr>
        <w:t>，为地下开采，利用</w:t>
      </w:r>
      <w:r w:rsidRPr="003F78D0">
        <w:rPr>
          <w:rFonts w:ascii="仿宋" w:eastAsia="仿宋" w:hAnsi="仿宋"/>
          <w:sz w:val="32"/>
          <w:szCs w:val="32"/>
        </w:rPr>
        <w:t>现有采矿工业广场</w:t>
      </w:r>
      <w:r w:rsidRPr="003F78D0">
        <w:rPr>
          <w:rFonts w:ascii="仿宋" w:eastAsia="仿宋" w:hAnsi="仿宋" w:hint="eastAsia"/>
          <w:sz w:val="32"/>
          <w:szCs w:val="32"/>
        </w:rPr>
        <w:t>，对现有选厂进行扩建，选矿能力由</w:t>
      </w:r>
      <w:r w:rsidRPr="003F78D0">
        <w:rPr>
          <w:rFonts w:ascii="仿宋" w:eastAsia="仿宋" w:hAnsi="仿宋"/>
          <w:sz w:val="32"/>
          <w:szCs w:val="32"/>
        </w:rPr>
        <w:t>100t/d扩建至300t/d</w:t>
      </w:r>
      <w:r w:rsidRPr="003F78D0">
        <w:rPr>
          <w:rFonts w:ascii="仿宋" w:eastAsia="仿宋" w:hAnsi="仿宋" w:hint="eastAsia"/>
          <w:sz w:val="32"/>
          <w:szCs w:val="32"/>
        </w:rPr>
        <w:t>。项目主要产品为重选金精矿和浮选金精矿。</w:t>
      </w:r>
      <w:r w:rsidR="009C1B3A" w:rsidRPr="009C1B3A">
        <w:rPr>
          <w:rFonts w:ascii="仿宋" w:eastAsia="仿宋" w:hAnsi="仿宋" w:hint="eastAsia"/>
          <w:sz w:val="32"/>
          <w:szCs w:val="32"/>
        </w:rPr>
        <w:t>本项目建设符合平江县矿产资源规划要求。</w:t>
      </w:r>
      <w:r w:rsidR="00BA5A45" w:rsidRPr="00BA5A45">
        <w:rPr>
          <w:rFonts w:ascii="仿宋" w:eastAsia="仿宋" w:hAnsi="仿宋" w:hint="eastAsia"/>
          <w:sz w:val="32"/>
          <w:szCs w:val="32"/>
        </w:rPr>
        <w:t>根据长沙市玺成工程技术咨询有限责任公司</w:t>
      </w:r>
      <w:r w:rsidR="009C1B3A" w:rsidRPr="009C1B3A">
        <w:rPr>
          <w:rFonts w:ascii="仿宋" w:eastAsia="仿宋" w:hAnsi="仿宋" w:hint="eastAsia"/>
          <w:sz w:val="32"/>
          <w:szCs w:val="32"/>
        </w:rPr>
        <w:t>编制《</w:t>
      </w:r>
      <w:r w:rsidR="00BA5A45" w:rsidRPr="00BA5A45">
        <w:rPr>
          <w:rFonts w:ascii="仿宋" w:eastAsia="仿宋" w:hAnsi="仿宋" w:hint="eastAsia"/>
          <w:sz w:val="32"/>
          <w:szCs w:val="32"/>
        </w:rPr>
        <w:t>湖南凯鑫黄金投资有限公司万古矿区团家洞金矿300t/d采选扩建工程</w:t>
      </w:r>
      <w:r w:rsidR="009C1B3A" w:rsidRPr="00BA5A45">
        <w:rPr>
          <w:rFonts w:ascii="仿宋" w:eastAsia="仿宋" w:hAnsi="仿宋" w:hint="eastAsia"/>
          <w:sz w:val="32"/>
          <w:szCs w:val="32"/>
        </w:rPr>
        <w:t>环</w:t>
      </w:r>
      <w:r w:rsidR="009C1B3A" w:rsidRPr="009C1B3A">
        <w:rPr>
          <w:rFonts w:ascii="仿宋" w:eastAsia="仿宋" w:hAnsi="仿宋" w:cs="Times New Roman" w:hint="eastAsia"/>
          <w:sz w:val="32"/>
          <w:szCs w:val="32"/>
        </w:rPr>
        <w:t>境影响报告书</w:t>
      </w:r>
      <w:r w:rsidR="009C1B3A" w:rsidRPr="009C1B3A">
        <w:rPr>
          <w:rFonts w:ascii="仿宋" w:eastAsia="仿宋" w:hAnsi="仿宋" w:hint="eastAsia"/>
          <w:sz w:val="32"/>
          <w:szCs w:val="32"/>
        </w:rPr>
        <w:t>（报批稿）》基本内容、结论和专家评审意见、岳阳市生态环境局平江分局预审意见，综合考虑，我局原则同意你公司环境影响报告书中所列建设项目的性质、规模、工艺、地点和环境保护对策措施。</w:t>
      </w:r>
    </w:p>
    <w:p w:rsidR="009C1B3A" w:rsidRPr="009C1B3A" w:rsidRDefault="009C1B3A" w:rsidP="009C1B3A">
      <w:pPr>
        <w:adjustRightInd w:val="0"/>
        <w:snapToGrid w:val="0"/>
        <w:spacing w:line="500" w:lineRule="exact"/>
        <w:ind w:firstLineChars="200" w:firstLine="640"/>
        <w:rPr>
          <w:rFonts w:ascii="仿宋" w:eastAsia="仿宋" w:hAnsi="仿宋"/>
          <w:bCs/>
          <w:sz w:val="32"/>
          <w:szCs w:val="32"/>
        </w:rPr>
      </w:pPr>
      <w:r w:rsidRPr="009C1B3A">
        <w:rPr>
          <w:rFonts w:ascii="仿宋" w:eastAsia="仿宋" w:hAnsi="仿宋" w:hint="eastAsia"/>
          <w:bCs/>
          <w:sz w:val="32"/>
          <w:szCs w:val="32"/>
        </w:rPr>
        <w:t>二、建设单位在建设、运行过程中严格落实报告书提出的污染防治和生态保护要求，并着重做好以下工作：</w:t>
      </w:r>
    </w:p>
    <w:p w:rsidR="009C1B3A" w:rsidRPr="009C1B3A" w:rsidRDefault="009C1B3A" w:rsidP="009C1B3A">
      <w:pPr>
        <w:spacing w:line="500" w:lineRule="exact"/>
        <w:ind w:firstLineChars="200" w:firstLine="640"/>
        <w:rPr>
          <w:rFonts w:ascii="仿宋" w:eastAsia="仿宋" w:hAnsi="仿宋"/>
          <w:sz w:val="32"/>
          <w:szCs w:val="32"/>
        </w:rPr>
      </w:pPr>
      <w:bookmarkStart w:id="1" w:name="_GoBack"/>
      <w:bookmarkEnd w:id="1"/>
      <w:r w:rsidRPr="009C1B3A">
        <w:rPr>
          <w:rFonts w:ascii="仿宋" w:eastAsia="仿宋" w:hAnsi="仿宋" w:hint="eastAsia"/>
          <w:bCs/>
          <w:sz w:val="32"/>
          <w:szCs w:val="32"/>
        </w:rPr>
        <w:lastRenderedPageBreak/>
        <w:t>（一）</w:t>
      </w:r>
      <w:r w:rsidRPr="009C1B3A">
        <w:rPr>
          <w:rFonts w:ascii="仿宋" w:eastAsia="仿宋" w:hAnsi="仿宋" w:hint="eastAsia"/>
          <w:sz w:val="32"/>
          <w:szCs w:val="32"/>
        </w:rPr>
        <w:t>落实“以新带老”要求，解决现有项目存在的环境问题。</w:t>
      </w:r>
    </w:p>
    <w:p w:rsidR="009C1B3A" w:rsidRPr="009C1B3A" w:rsidRDefault="009C1B3A" w:rsidP="009C1B3A">
      <w:pPr>
        <w:adjustRightInd w:val="0"/>
        <w:snapToGrid w:val="0"/>
        <w:spacing w:line="500" w:lineRule="exact"/>
        <w:ind w:firstLineChars="200" w:firstLine="640"/>
        <w:rPr>
          <w:rFonts w:ascii="仿宋" w:eastAsia="仿宋" w:hAnsi="仿宋"/>
          <w:bCs/>
          <w:sz w:val="32"/>
          <w:szCs w:val="32"/>
        </w:rPr>
      </w:pPr>
      <w:r w:rsidRPr="009C1B3A">
        <w:rPr>
          <w:rFonts w:ascii="仿宋" w:eastAsia="仿宋" w:hAnsi="仿宋" w:hint="eastAsia"/>
          <w:bCs/>
          <w:sz w:val="32"/>
          <w:szCs w:val="32"/>
        </w:rPr>
        <w:t>（二）废水污染防治。按照“雨污分流、清污分流、污</w:t>
      </w:r>
      <w:proofErr w:type="gramStart"/>
      <w:r w:rsidRPr="009C1B3A">
        <w:rPr>
          <w:rFonts w:ascii="仿宋" w:eastAsia="仿宋" w:hAnsi="仿宋" w:hint="eastAsia"/>
          <w:bCs/>
          <w:sz w:val="32"/>
          <w:szCs w:val="32"/>
        </w:rPr>
        <w:t>污</w:t>
      </w:r>
      <w:proofErr w:type="gramEnd"/>
      <w:r w:rsidRPr="009C1B3A">
        <w:rPr>
          <w:rFonts w:ascii="仿宋" w:eastAsia="仿宋" w:hAnsi="仿宋" w:hint="eastAsia"/>
          <w:bCs/>
          <w:sz w:val="32"/>
          <w:szCs w:val="32"/>
        </w:rPr>
        <w:t>分流”原则，规范建设矿区排水和废水回用处理系统，提高废水回用率。正常情况下，</w:t>
      </w:r>
      <w:r w:rsidRPr="009C1B3A">
        <w:rPr>
          <w:rFonts w:ascii="仿宋" w:eastAsia="仿宋" w:hAnsi="仿宋" w:hint="eastAsia"/>
          <w:sz w:val="32"/>
          <w:szCs w:val="32"/>
        </w:rPr>
        <w:t>井下涌水部分用于井下洒水降尘，其余部分泵至井下涌水地面收集池，</w:t>
      </w:r>
      <w:r w:rsidRPr="009C1B3A">
        <w:rPr>
          <w:rFonts w:ascii="仿宋" w:eastAsia="仿宋" w:hAnsi="仿宋" w:hint="eastAsia"/>
          <w:bCs/>
          <w:sz w:val="32"/>
          <w:szCs w:val="32"/>
        </w:rPr>
        <w:t>通过管道送至选厂高位水池作为选矿用水，不外排；选矿废水经尾矿库澄清后的溢流水泵回选厂高位水池，全部回用选矿，不外排；雨季时，井下涌水及尾矿库溢流水优先回用于选矿，多余部分通过尾矿库坝下废水处理站进行处理，废水中</w:t>
      </w:r>
      <w:r w:rsidR="00BA5A45">
        <w:rPr>
          <w:rFonts w:ascii="仿宋" w:eastAsia="仿宋" w:hAnsi="仿宋" w:hint="eastAsia"/>
          <w:bCs/>
          <w:sz w:val="32"/>
          <w:szCs w:val="32"/>
        </w:rPr>
        <w:t>铊</w:t>
      </w:r>
      <w:r w:rsidR="00292416">
        <w:rPr>
          <w:rFonts w:ascii="仿宋" w:eastAsia="仿宋" w:hAnsi="仿宋" w:hint="eastAsia"/>
          <w:bCs/>
          <w:sz w:val="32"/>
          <w:szCs w:val="32"/>
        </w:rPr>
        <w:t>执行</w:t>
      </w:r>
      <w:r w:rsidR="00292416" w:rsidRPr="009C1B3A">
        <w:rPr>
          <w:rFonts w:ascii="仿宋" w:eastAsia="仿宋" w:hAnsi="仿宋" w:hint="eastAsia"/>
          <w:bCs/>
          <w:sz w:val="32"/>
          <w:szCs w:val="32"/>
        </w:rPr>
        <w:t>《</w:t>
      </w:r>
      <w:r w:rsidR="00292416">
        <w:rPr>
          <w:rFonts w:ascii="仿宋" w:eastAsia="仿宋" w:hAnsi="仿宋" w:hint="eastAsia"/>
          <w:bCs/>
          <w:sz w:val="32"/>
          <w:szCs w:val="32"/>
        </w:rPr>
        <w:t>湖南省工业废水铊污染物排放</w:t>
      </w:r>
      <w:r w:rsidR="00292416" w:rsidRPr="009C1B3A">
        <w:rPr>
          <w:rFonts w:ascii="仿宋" w:eastAsia="仿宋" w:hAnsi="仿宋" w:hint="eastAsia"/>
          <w:bCs/>
          <w:sz w:val="32"/>
          <w:szCs w:val="32"/>
        </w:rPr>
        <w:t>标准》（</w:t>
      </w:r>
      <w:r w:rsidR="00292416">
        <w:rPr>
          <w:rFonts w:ascii="仿宋" w:eastAsia="仿宋" w:hAnsi="仿宋" w:hint="eastAsia"/>
          <w:bCs/>
          <w:sz w:val="32"/>
          <w:szCs w:val="32"/>
        </w:rPr>
        <w:t>D</w:t>
      </w:r>
      <w:r w:rsidR="00292416" w:rsidRPr="009C1B3A">
        <w:rPr>
          <w:rFonts w:ascii="仿宋" w:eastAsia="仿宋" w:hAnsi="仿宋" w:hint="eastAsia"/>
          <w:bCs/>
          <w:sz w:val="32"/>
          <w:szCs w:val="32"/>
        </w:rPr>
        <w:t>B</w:t>
      </w:r>
      <w:r w:rsidR="00292416">
        <w:rPr>
          <w:rFonts w:ascii="仿宋" w:eastAsia="仿宋" w:hAnsi="仿宋" w:hint="eastAsia"/>
          <w:bCs/>
          <w:sz w:val="32"/>
          <w:szCs w:val="32"/>
        </w:rPr>
        <w:t>43/968</w:t>
      </w:r>
      <w:r w:rsidR="00292416" w:rsidRPr="009C1B3A">
        <w:rPr>
          <w:rFonts w:ascii="仿宋" w:eastAsia="仿宋" w:hAnsi="仿宋" w:hint="eastAsia"/>
          <w:bCs/>
          <w:sz w:val="32"/>
          <w:szCs w:val="32"/>
        </w:rPr>
        <w:t>-20</w:t>
      </w:r>
      <w:r w:rsidR="00292416">
        <w:rPr>
          <w:rFonts w:ascii="仿宋" w:eastAsia="仿宋" w:hAnsi="仿宋" w:hint="eastAsia"/>
          <w:bCs/>
          <w:sz w:val="32"/>
          <w:szCs w:val="32"/>
        </w:rPr>
        <w:t>14</w:t>
      </w:r>
      <w:r w:rsidR="00292416" w:rsidRPr="009C1B3A">
        <w:rPr>
          <w:rFonts w:ascii="仿宋" w:eastAsia="仿宋" w:hAnsi="仿宋" w:hint="eastAsia"/>
          <w:bCs/>
          <w:sz w:val="32"/>
          <w:szCs w:val="32"/>
        </w:rPr>
        <w:t>）</w:t>
      </w:r>
      <w:r w:rsidR="00292416">
        <w:rPr>
          <w:rFonts w:ascii="仿宋" w:eastAsia="仿宋" w:hAnsi="仿宋" w:hint="eastAsia"/>
          <w:bCs/>
          <w:sz w:val="32"/>
          <w:szCs w:val="32"/>
        </w:rPr>
        <w:t>，锑执行</w:t>
      </w:r>
      <w:r w:rsidR="00292416" w:rsidRPr="009C1B3A">
        <w:rPr>
          <w:rFonts w:ascii="仿宋" w:eastAsia="仿宋" w:hAnsi="仿宋" w:hint="eastAsia"/>
          <w:bCs/>
          <w:sz w:val="32"/>
          <w:szCs w:val="32"/>
        </w:rPr>
        <w:t>《</w:t>
      </w:r>
      <w:r w:rsidR="00292416">
        <w:rPr>
          <w:rFonts w:ascii="仿宋" w:eastAsia="仿宋" w:hAnsi="仿宋" w:hint="eastAsia"/>
          <w:bCs/>
          <w:sz w:val="32"/>
          <w:szCs w:val="32"/>
        </w:rPr>
        <w:t>锡、锑、汞工业污染物排放</w:t>
      </w:r>
      <w:r w:rsidR="00292416" w:rsidRPr="009C1B3A">
        <w:rPr>
          <w:rFonts w:ascii="仿宋" w:eastAsia="仿宋" w:hAnsi="仿宋" w:hint="eastAsia"/>
          <w:bCs/>
          <w:sz w:val="32"/>
          <w:szCs w:val="32"/>
        </w:rPr>
        <w:t>标准》（</w:t>
      </w:r>
      <w:r w:rsidR="00292416">
        <w:rPr>
          <w:rFonts w:ascii="仿宋" w:eastAsia="仿宋" w:hAnsi="仿宋" w:hint="eastAsia"/>
          <w:bCs/>
          <w:sz w:val="32"/>
          <w:szCs w:val="32"/>
        </w:rPr>
        <w:t>G</w:t>
      </w:r>
      <w:r w:rsidR="00292416" w:rsidRPr="009C1B3A">
        <w:rPr>
          <w:rFonts w:ascii="仿宋" w:eastAsia="仿宋" w:hAnsi="仿宋" w:hint="eastAsia"/>
          <w:bCs/>
          <w:sz w:val="32"/>
          <w:szCs w:val="32"/>
        </w:rPr>
        <w:t>B</w:t>
      </w:r>
      <w:r w:rsidR="00292416">
        <w:rPr>
          <w:rFonts w:ascii="仿宋" w:eastAsia="仿宋" w:hAnsi="仿宋" w:hint="eastAsia"/>
          <w:bCs/>
          <w:sz w:val="32"/>
          <w:szCs w:val="32"/>
        </w:rPr>
        <w:t>30770</w:t>
      </w:r>
      <w:r w:rsidR="00292416" w:rsidRPr="009C1B3A">
        <w:rPr>
          <w:rFonts w:ascii="仿宋" w:eastAsia="仿宋" w:hAnsi="仿宋" w:hint="eastAsia"/>
          <w:bCs/>
          <w:sz w:val="32"/>
          <w:szCs w:val="32"/>
        </w:rPr>
        <w:t>-20</w:t>
      </w:r>
      <w:r w:rsidR="00292416">
        <w:rPr>
          <w:rFonts w:ascii="仿宋" w:eastAsia="仿宋" w:hAnsi="仿宋" w:hint="eastAsia"/>
          <w:bCs/>
          <w:sz w:val="32"/>
          <w:szCs w:val="32"/>
        </w:rPr>
        <w:t>14</w:t>
      </w:r>
      <w:r w:rsidR="00292416" w:rsidRPr="009C1B3A">
        <w:rPr>
          <w:rFonts w:ascii="仿宋" w:eastAsia="仿宋" w:hAnsi="仿宋" w:hint="eastAsia"/>
          <w:bCs/>
          <w:sz w:val="32"/>
          <w:szCs w:val="32"/>
        </w:rPr>
        <w:t>）</w:t>
      </w:r>
      <w:r w:rsidR="00292416">
        <w:rPr>
          <w:rFonts w:ascii="仿宋" w:eastAsia="仿宋" w:hAnsi="仿宋" w:hint="eastAsia"/>
          <w:bCs/>
          <w:sz w:val="32"/>
          <w:szCs w:val="32"/>
        </w:rPr>
        <w:t>，其他</w:t>
      </w:r>
      <w:r w:rsidRPr="009C1B3A">
        <w:rPr>
          <w:rFonts w:ascii="仿宋" w:eastAsia="仿宋" w:hAnsi="仿宋" w:hint="eastAsia"/>
          <w:bCs/>
          <w:sz w:val="32"/>
          <w:szCs w:val="32"/>
        </w:rPr>
        <w:t>重金属因子</w:t>
      </w:r>
      <w:r w:rsidR="00292416">
        <w:rPr>
          <w:rFonts w:ascii="仿宋" w:eastAsia="仿宋" w:hAnsi="仿宋" w:hint="eastAsia"/>
          <w:bCs/>
          <w:sz w:val="32"/>
          <w:szCs w:val="32"/>
        </w:rPr>
        <w:t>执行</w:t>
      </w:r>
      <w:r w:rsidRPr="009C1B3A">
        <w:rPr>
          <w:rFonts w:ascii="仿宋" w:eastAsia="仿宋" w:hAnsi="仿宋" w:hint="eastAsia"/>
          <w:bCs/>
          <w:sz w:val="32"/>
          <w:szCs w:val="32"/>
        </w:rPr>
        <w:t>《农田灌溉水质标准》（GB5084-2005）表1农田灌溉用水水质基本控制项目标准要求，其他</w:t>
      </w:r>
      <w:r w:rsidR="00292416">
        <w:rPr>
          <w:rFonts w:ascii="仿宋" w:eastAsia="仿宋" w:hAnsi="仿宋" w:hint="eastAsia"/>
          <w:bCs/>
          <w:sz w:val="32"/>
          <w:szCs w:val="32"/>
        </w:rPr>
        <w:t>污染</w:t>
      </w:r>
      <w:r w:rsidRPr="009C1B3A">
        <w:rPr>
          <w:rFonts w:ascii="仿宋" w:eastAsia="仿宋" w:hAnsi="仿宋" w:hint="eastAsia"/>
          <w:bCs/>
          <w:sz w:val="32"/>
          <w:szCs w:val="32"/>
        </w:rPr>
        <w:t>因子处理达《污水综合排放标准》（GB8978-1996）表4一级标准后，再外排至石坪小溪；</w:t>
      </w:r>
      <w:r w:rsidR="00B32AB5" w:rsidRPr="009C1B3A">
        <w:rPr>
          <w:rFonts w:ascii="仿宋" w:eastAsia="仿宋" w:hAnsi="仿宋" w:hint="eastAsia"/>
          <w:bCs/>
          <w:sz w:val="32"/>
          <w:szCs w:val="32"/>
        </w:rPr>
        <w:t>废石场淋滤水经废石堆场下游沉淀池收集后，泵至井下涌水地表沉淀池后，通过管道送至选厂高位水池用于补充选矿用水，不外排；</w:t>
      </w:r>
      <w:r w:rsidRPr="009C1B3A">
        <w:rPr>
          <w:rFonts w:ascii="仿宋" w:eastAsia="仿宋" w:hAnsi="仿宋" w:hint="eastAsia"/>
          <w:bCs/>
          <w:sz w:val="32"/>
          <w:szCs w:val="32"/>
        </w:rPr>
        <w:t>生活污水通过四格化粪池处理后用作农肥</w:t>
      </w:r>
      <w:r w:rsidR="00292416">
        <w:rPr>
          <w:rFonts w:ascii="仿宋" w:eastAsia="仿宋" w:hAnsi="仿宋" w:hint="eastAsia"/>
          <w:bCs/>
          <w:sz w:val="32"/>
          <w:szCs w:val="32"/>
        </w:rPr>
        <w:t>；</w:t>
      </w:r>
      <w:r w:rsidRPr="009C1B3A">
        <w:rPr>
          <w:rFonts w:ascii="仿宋" w:eastAsia="仿宋" w:hAnsi="仿宋" w:hint="eastAsia"/>
          <w:sz w:val="32"/>
          <w:szCs w:val="32"/>
        </w:rPr>
        <w:t>加强雨季尾矿库坝下废水处理站排水监测，确保废水处理站排水达标排放</w:t>
      </w:r>
      <w:r w:rsidR="00292416">
        <w:rPr>
          <w:rFonts w:ascii="仿宋" w:eastAsia="仿宋" w:hAnsi="仿宋" w:hint="eastAsia"/>
          <w:sz w:val="32"/>
          <w:szCs w:val="32"/>
        </w:rPr>
        <w:t>；</w:t>
      </w:r>
      <w:r w:rsidRPr="009C1B3A">
        <w:rPr>
          <w:rFonts w:ascii="仿宋" w:eastAsia="仿宋" w:hAnsi="仿宋" w:hint="eastAsia"/>
          <w:bCs/>
          <w:sz w:val="32"/>
          <w:szCs w:val="32"/>
        </w:rPr>
        <w:t>厂区污水总排放口须安装在线监控装置与环境主管部门联网。</w:t>
      </w:r>
    </w:p>
    <w:p w:rsidR="009C1B3A" w:rsidRPr="009C1B3A" w:rsidRDefault="009C1B3A" w:rsidP="009C1B3A">
      <w:pPr>
        <w:spacing w:line="500" w:lineRule="exact"/>
        <w:ind w:firstLineChars="200" w:firstLine="640"/>
        <w:rPr>
          <w:rFonts w:ascii="仿宋" w:eastAsia="仿宋" w:hAnsi="仿宋"/>
          <w:sz w:val="32"/>
          <w:szCs w:val="32"/>
        </w:rPr>
      </w:pPr>
      <w:r w:rsidRPr="009C1B3A">
        <w:rPr>
          <w:rFonts w:ascii="仿宋" w:eastAsia="仿宋" w:hAnsi="仿宋" w:hint="eastAsia"/>
          <w:sz w:val="32"/>
          <w:szCs w:val="32"/>
        </w:rPr>
        <w:t>按照分区防控的原则落实报告书提出的地下水污染防治措施，做好污水处理站、</w:t>
      </w:r>
      <w:r w:rsidR="00292416">
        <w:rPr>
          <w:rFonts w:ascii="仿宋" w:eastAsia="仿宋" w:hAnsi="仿宋" w:hint="eastAsia"/>
          <w:sz w:val="32"/>
          <w:szCs w:val="32"/>
        </w:rPr>
        <w:t>沉淀池</w:t>
      </w:r>
      <w:r w:rsidRPr="009C1B3A">
        <w:rPr>
          <w:rFonts w:ascii="仿宋" w:eastAsia="仿宋" w:hAnsi="仿宋" w:hint="eastAsia"/>
          <w:sz w:val="32"/>
          <w:szCs w:val="32"/>
        </w:rPr>
        <w:t>等区域的防渗工作，防止对地下水的污染。定期跟踪监测地下水水质，确保地下水环境安全。</w:t>
      </w:r>
    </w:p>
    <w:p w:rsidR="009C1B3A" w:rsidRPr="009C1B3A" w:rsidRDefault="009C1B3A" w:rsidP="009C1B3A">
      <w:pPr>
        <w:adjustRightInd w:val="0"/>
        <w:snapToGrid w:val="0"/>
        <w:spacing w:line="500" w:lineRule="exact"/>
        <w:ind w:firstLineChars="200" w:firstLine="640"/>
        <w:rPr>
          <w:rFonts w:ascii="仿宋" w:eastAsia="仿宋" w:hAnsi="仿宋"/>
          <w:bCs/>
          <w:sz w:val="32"/>
          <w:szCs w:val="32"/>
        </w:rPr>
      </w:pPr>
      <w:r w:rsidRPr="009C1B3A">
        <w:rPr>
          <w:rFonts w:ascii="仿宋" w:eastAsia="仿宋" w:hAnsi="仿宋" w:hint="eastAsia"/>
          <w:bCs/>
          <w:sz w:val="32"/>
          <w:szCs w:val="32"/>
        </w:rPr>
        <w:t>（三）废气污染防治。井下采矿采取湿式凿岩、喷雾洒水降尘。破碎筛分工序粉尘经处理，达到《大气污染物综合排放标准》（GB16297-1996）中二级标准要求后，经15m高排气筒排放。</w:t>
      </w:r>
    </w:p>
    <w:p w:rsidR="009C1B3A" w:rsidRPr="009C1B3A" w:rsidRDefault="009C1B3A" w:rsidP="009C1B3A">
      <w:pPr>
        <w:adjustRightInd w:val="0"/>
        <w:snapToGrid w:val="0"/>
        <w:spacing w:line="500" w:lineRule="exact"/>
        <w:ind w:firstLineChars="200" w:firstLine="640"/>
        <w:rPr>
          <w:rFonts w:ascii="仿宋" w:eastAsia="仿宋" w:hAnsi="仿宋"/>
          <w:color w:val="000000"/>
          <w:sz w:val="32"/>
          <w:szCs w:val="32"/>
        </w:rPr>
      </w:pPr>
      <w:r w:rsidRPr="009C1B3A">
        <w:rPr>
          <w:rFonts w:ascii="仿宋" w:eastAsia="仿宋" w:hAnsi="仿宋" w:hint="eastAsia"/>
          <w:bCs/>
          <w:sz w:val="32"/>
          <w:szCs w:val="32"/>
        </w:rPr>
        <w:lastRenderedPageBreak/>
        <w:t>（四）噪声污染防治。优化平面布局和设备选型，对破碎、筛分、球磨、泵机等设备采取减振、隔声措施，确保厂界噪声满足《工业企业厂界环境噪声排放标准》（</w:t>
      </w:r>
      <w:r w:rsidRPr="009C1B3A">
        <w:rPr>
          <w:rFonts w:ascii="仿宋" w:eastAsia="仿宋" w:hAnsi="仿宋" w:hint="eastAsia"/>
          <w:color w:val="000000"/>
          <w:sz w:val="32"/>
          <w:szCs w:val="32"/>
        </w:rPr>
        <w:t>GB12348-2008）2类标准要求。</w:t>
      </w:r>
    </w:p>
    <w:p w:rsidR="009C1B3A" w:rsidRPr="009C1B3A" w:rsidRDefault="009C1B3A" w:rsidP="009C1B3A">
      <w:pPr>
        <w:adjustRightInd w:val="0"/>
        <w:snapToGrid w:val="0"/>
        <w:spacing w:line="500" w:lineRule="exact"/>
        <w:ind w:firstLineChars="200" w:firstLine="640"/>
        <w:rPr>
          <w:rFonts w:ascii="仿宋" w:eastAsia="仿宋" w:hAnsi="仿宋"/>
          <w:color w:val="000000"/>
          <w:sz w:val="32"/>
          <w:szCs w:val="32"/>
        </w:rPr>
      </w:pPr>
      <w:r w:rsidRPr="009C1B3A">
        <w:rPr>
          <w:rFonts w:ascii="仿宋" w:eastAsia="仿宋" w:hAnsi="仿宋" w:hint="eastAsia"/>
          <w:bCs/>
          <w:sz w:val="32"/>
          <w:szCs w:val="32"/>
        </w:rPr>
        <w:t>（五）</w:t>
      </w:r>
      <w:r w:rsidRPr="009C1B3A">
        <w:rPr>
          <w:rFonts w:ascii="仿宋" w:eastAsia="仿宋" w:hAnsi="仿宋" w:hint="eastAsia"/>
          <w:color w:val="000000"/>
          <w:sz w:val="32"/>
          <w:szCs w:val="32"/>
        </w:rPr>
        <w:t>固体废物处置。</w:t>
      </w:r>
      <w:r w:rsidRPr="009C1B3A">
        <w:rPr>
          <w:rFonts w:ascii="仿宋" w:eastAsia="仿宋" w:hAnsi="仿宋" w:hint="eastAsia"/>
          <w:sz w:val="32"/>
          <w:szCs w:val="32"/>
        </w:rPr>
        <w:t>按照“减量化、资源化、无害化”的原则，做好固废的分类收集和综合利用，</w:t>
      </w:r>
      <w:proofErr w:type="gramStart"/>
      <w:r w:rsidRPr="009C1B3A">
        <w:rPr>
          <w:rFonts w:ascii="仿宋" w:eastAsia="仿宋" w:hAnsi="仿宋" w:hint="eastAsia"/>
          <w:sz w:val="32"/>
          <w:szCs w:val="32"/>
        </w:rPr>
        <w:t>完善固废</w:t>
      </w:r>
      <w:proofErr w:type="gramEnd"/>
      <w:r w:rsidRPr="009C1B3A">
        <w:rPr>
          <w:rFonts w:ascii="仿宋" w:eastAsia="仿宋" w:hAnsi="仿宋" w:hint="eastAsia"/>
          <w:sz w:val="32"/>
          <w:szCs w:val="32"/>
        </w:rPr>
        <w:t>产生、贮存、处置的管理台账。按《一般工业固体废物贮存、处置场污染控制标准》（GB18599-2001）及其2013年修改单中的相关要求贮存、处置一般工业固废，建设期井下部分巷道开掘废石堆存于现有废石堆场，运营期采矿废石全部用于井下回填，不外排；选矿尾矿进入现有石坪尾矿库内安全堆存；</w:t>
      </w:r>
      <w:r w:rsidRPr="009C1B3A">
        <w:rPr>
          <w:rFonts w:ascii="仿宋" w:eastAsia="仿宋" w:hAnsi="仿宋" w:hint="eastAsia"/>
          <w:color w:val="000000"/>
          <w:sz w:val="32"/>
          <w:szCs w:val="32"/>
        </w:rPr>
        <w:t>废水处理站污泥定期清理并使用水泥固化后回填矿井；按</w:t>
      </w:r>
      <w:r w:rsidRPr="009C1B3A">
        <w:rPr>
          <w:rFonts w:ascii="仿宋" w:eastAsia="仿宋" w:hAnsi="仿宋" w:hint="eastAsia"/>
          <w:sz w:val="32"/>
          <w:szCs w:val="32"/>
        </w:rPr>
        <w:t>《危险废物贮存污染控制标准》（GB18597-2001）及其2013年修改</w:t>
      </w:r>
      <w:proofErr w:type="gramStart"/>
      <w:r w:rsidRPr="009C1B3A">
        <w:rPr>
          <w:rFonts w:ascii="仿宋" w:eastAsia="仿宋" w:hAnsi="仿宋" w:hint="eastAsia"/>
          <w:sz w:val="32"/>
          <w:szCs w:val="32"/>
        </w:rPr>
        <w:t>单要求</w:t>
      </w:r>
      <w:proofErr w:type="gramEnd"/>
      <w:r w:rsidRPr="009C1B3A">
        <w:rPr>
          <w:rFonts w:ascii="仿宋" w:eastAsia="仿宋" w:hAnsi="仿宋" w:hint="eastAsia"/>
          <w:sz w:val="32"/>
          <w:szCs w:val="32"/>
        </w:rPr>
        <w:t>贮存、处置危险废物，废润滑油交有资质的单位处置，并执行转移联单制度；生活垃圾收集后由环卫部门处置。</w:t>
      </w:r>
    </w:p>
    <w:p w:rsidR="009C1B3A" w:rsidRPr="009C1B3A" w:rsidRDefault="009C1B3A" w:rsidP="009C1B3A">
      <w:pPr>
        <w:adjustRightInd w:val="0"/>
        <w:snapToGrid w:val="0"/>
        <w:spacing w:line="500" w:lineRule="exact"/>
        <w:ind w:firstLineChars="200" w:firstLine="640"/>
        <w:rPr>
          <w:rFonts w:ascii="仿宋" w:eastAsia="仿宋" w:hAnsi="仿宋"/>
          <w:color w:val="000000"/>
          <w:sz w:val="32"/>
          <w:szCs w:val="32"/>
        </w:rPr>
      </w:pPr>
      <w:r w:rsidRPr="009C1B3A">
        <w:rPr>
          <w:rFonts w:ascii="仿宋" w:eastAsia="仿宋" w:hAnsi="仿宋" w:hint="eastAsia"/>
          <w:color w:val="000000"/>
          <w:sz w:val="32"/>
          <w:szCs w:val="32"/>
        </w:rPr>
        <w:t>（六）</w:t>
      </w:r>
      <w:r w:rsidRPr="009C1B3A">
        <w:rPr>
          <w:rFonts w:ascii="仿宋" w:eastAsia="仿宋" w:hAnsi="仿宋" w:hint="eastAsia"/>
          <w:sz w:val="32"/>
          <w:szCs w:val="32"/>
        </w:rPr>
        <w:t>环境风险防范工作。加强安全生产和环保</w:t>
      </w:r>
      <w:r w:rsidRPr="009C1B3A">
        <w:rPr>
          <w:rFonts w:ascii="仿宋" w:eastAsia="仿宋" w:hAnsi="仿宋" w:hint="eastAsia"/>
          <w:color w:val="000000"/>
          <w:sz w:val="32"/>
          <w:szCs w:val="32"/>
        </w:rPr>
        <w:t>设施运营管理，落实各项风险防范措施，明确责任人，制订环境事故应急预案，确保污染物处理长期稳定达标，杜绝环境风险事故发生。</w:t>
      </w:r>
    </w:p>
    <w:p w:rsidR="009C1B3A" w:rsidRPr="009C1B3A" w:rsidRDefault="009C1B3A" w:rsidP="009C1B3A">
      <w:pPr>
        <w:adjustRightInd w:val="0"/>
        <w:snapToGrid w:val="0"/>
        <w:spacing w:line="500" w:lineRule="exact"/>
        <w:ind w:firstLineChars="200" w:firstLine="640"/>
        <w:rPr>
          <w:rFonts w:ascii="仿宋" w:eastAsia="仿宋" w:hAnsi="仿宋"/>
          <w:color w:val="000000"/>
          <w:sz w:val="32"/>
          <w:szCs w:val="32"/>
        </w:rPr>
      </w:pPr>
      <w:r w:rsidRPr="009C1B3A">
        <w:rPr>
          <w:rFonts w:ascii="仿宋" w:eastAsia="仿宋" w:hAnsi="仿宋" w:hint="eastAsia"/>
          <w:sz w:val="32"/>
          <w:szCs w:val="32"/>
        </w:rPr>
        <w:t>（七）</w:t>
      </w:r>
      <w:r w:rsidRPr="009C1B3A">
        <w:rPr>
          <w:rFonts w:ascii="仿宋" w:eastAsia="仿宋" w:hAnsi="仿宋" w:hint="eastAsia"/>
          <w:color w:val="000000"/>
          <w:sz w:val="32"/>
          <w:szCs w:val="32"/>
        </w:rPr>
        <w:t>服务期满后环境管理</w:t>
      </w:r>
      <w:r w:rsidRPr="009C1B3A">
        <w:rPr>
          <w:rFonts w:ascii="仿宋" w:eastAsia="仿宋" w:hAnsi="仿宋" w:hint="eastAsia"/>
          <w:sz w:val="32"/>
          <w:szCs w:val="32"/>
        </w:rPr>
        <w:t>。</w:t>
      </w:r>
      <w:r w:rsidRPr="009C1B3A">
        <w:rPr>
          <w:rFonts w:ascii="仿宋" w:eastAsia="仿宋" w:hAnsi="仿宋" w:hint="eastAsia"/>
          <w:color w:val="000000"/>
          <w:sz w:val="32"/>
          <w:szCs w:val="32"/>
        </w:rPr>
        <w:t>矿山服务期满退役后，应按相关要求及时进行闭坑、封场和闭库，采取复垦利用、植树种草或</w:t>
      </w:r>
      <w:proofErr w:type="gramStart"/>
      <w:r w:rsidRPr="009C1B3A">
        <w:rPr>
          <w:rFonts w:ascii="仿宋" w:eastAsia="仿宋" w:hAnsi="仿宋" w:hint="eastAsia"/>
          <w:color w:val="000000"/>
          <w:sz w:val="32"/>
          <w:szCs w:val="32"/>
        </w:rPr>
        <w:t>其他利用</w:t>
      </w:r>
      <w:proofErr w:type="gramEnd"/>
      <w:r w:rsidRPr="009C1B3A">
        <w:rPr>
          <w:rFonts w:ascii="仿宋" w:eastAsia="仿宋" w:hAnsi="仿宋" w:hint="eastAsia"/>
          <w:color w:val="000000"/>
          <w:sz w:val="32"/>
          <w:szCs w:val="32"/>
        </w:rPr>
        <w:t>措施，确保生态环境得到恢复。</w:t>
      </w:r>
    </w:p>
    <w:p w:rsidR="009C1B3A" w:rsidRPr="009C1B3A" w:rsidRDefault="009C1B3A" w:rsidP="009C1B3A">
      <w:pPr>
        <w:adjustRightInd w:val="0"/>
        <w:snapToGrid w:val="0"/>
        <w:spacing w:line="500" w:lineRule="exact"/>
        <w:ind w:firstLineChars="200" w:firstLine="640"/>
        <w:rPr>
          <w:rFonts w:ascii="仿宋" w:eastAsia="仿宋" w:hAnsi="仿宋"/>
          <w:color w:val="000000"/>
          <w:sz w:val="32"/>
          <w:szCs w:val="32"/>
        </w:rPr>
      </w:pPr>
      <w:r w:rsidRPr="009C1B3A">
        <w:rPr>
          <w:rFonts w:ascii="仿宋" w:eastAsia="仿宋" w:hAnsi="仿宋" w:hint="eastAsia"/>
          <w:color w:val="000000"/>
          <w:sz w:val="32"/>
          <w:szCs w:val="32"/>
        </w:rPr>
        <w:t>（八）开展污染物排放日常监测和环境跟踪监测，并根据监测结果及时采取增补措施，妥善解决可能出现的环境问题。</w:t>
      </w:r>
    </w:p>
    <w:p w:rsidR="009C1B3A" w:rsidRPr="009C1B3A" w:rsidRDefault="009C1B3A" w:rsidP="009C1B3A">
      <w:pPr>
        <w:adjustRightInd w:val="0"/>
        <w:snapToGrid w:val="0"/>
        <w:spacing w:line="500" w:lineRule="exact"/>
        <w:ind w:firstLineChars="200" w:firstLine="640"/>
        <w:rPr>
          <w:rFonts w:ascii="仿宋" w:eastAsia="仿宋" w:hAnsi="仿宋"/>
          <w:sz w:val="32"/>
          <w:szCs w:val="32"/>
        </w:rPr>
      </w:pPr>
      <w:r w:rsidRPr="009C1B3A">
        <w:rPr>
          <w:rFonts w:ascii="仿宋" w:eastAsia="仿宋" w:hAnsi="仿宋" w:hint="eastAsia"/>
          <w:color w:val="000000"/>
          <w:sz w:val="32"/>
          <w:szCs w:val="32"/>
        </w:rPr>
        <w:t>（九）本项目主要污染物排放</w:t>
      </w:r>
      <w:r w:rsidR="00E820D8">
        <w:rPr>
          <w:rFonts w:ascii="仿宋" w:eastAsia="仿宋" w:hAnsi="仿宋" w:hint="eastAsia"/>
          <w:color w:val="000000"/>
          <w:sz w:val="32"/>
          <w:szCs w:val="32"/>
        </w:rPr>
        <w:t>新增</w:t>
      </w:r>
      <w:r w:rsidRPr="009C1B3A">
        <w:rPr>
          <w:rFonts w:ascii="仿宋" w:eastAsia="仿宋" w:hAnsi="仿宋" w:hint="eastAsia"/>
          <w:color w:val="000000"/>
          <w:sz w:val="32"/>
          <w:szCs w:val="32"/>
        </w:rPr>
        <w:t>总量控制指标为：化学需氧量≤</w:t>
      </w:r>
      <w:r w:rsidR="00E820D8">
        <w:rPr>
          <w:rFonts w:ascii="仿宋" w:eastAsia="仿宋" w:hAnsi="仿宋" w:hint="eastAsia"/>
          <w:color w:val="000000"/>
          <w:sz w:val="32"/>
          <w:szCs w:val="32"/>
        </w:rPr>
        <w:t>1.2</w:t>
      </w:r>
      <w:r w:rsidRPr="009C1B3A">
        <w:rPr>
          <w:rFonts w:ascii="仿宋" w:eastAsia="仿宋" w:hAnsi="仿宋" w:hint="eastAsia"/>
          <w:color w:val="000000"/>
          <w:sz w:val="32"/>
          <w:szCs w:val="32"/>
        </w:rPr>
        <w:t>吨/年</w:t>
      </w:r>
      <w:r w:rsidRPr="009C1B3A">
        <w:rPr>
          <w:rFonts w:ascii="仿宋" w:eastAsia="仿宋" w:hAnsi="仿宋" w:hint="eastAsia"/>
          <w:sz w:val="32"/>
          <w:szCs w:val="32"/>
        </w:rPr>
        <w:t>、</w:t>
      </w:r>
      <w:r w:rsidRPr="009C1B3A">
        <w:rPr>
          <w:rFonts w:ascii="仿宋" w:eastAsia="仿宋" w:hAnsi="仿宋" w:hint="eastAsia"/>
          <w:color w:val="000000"/>
          <w:sz w:val="32"/>
          <w:szCs w:val="32"/>
        </w:rPr>
        <w:t>砷≤</w:t>
      </w:r>
      <w:r w:rsidR="00E820D8">
        <w:rPr>
          <w:rFonts w:ascii="仿宋" w:eastAsia="仿宋" w:hAnsi="仿宋" w:hint="eastAsia"/>
          <w:sz w:val="32"/>
          <w:szCs w:val="32"/>
        </w:rPr>
        <w:t>2.819</w:t>
      </w:r>
      <w:r w:rsidRPr="009C1B3A">
        <w:rPr>
          <w:rFonts w:ascii="仿宋" w:eastAsia="仿宋" w:hAnsi="仿宋" w:hint="eastAsia"/>
          <w:sz w:val="32"/>
          <w:szCs w:val="32"/>
        </w:rPr>
        <w:t>千克/年、铅≤0.0</w:t>
      </w:r>
      <w:r w:rsidR="00E820D8">
        <w:rPr>
          <w:rFonts w:ascii="仿宋" w:eastAsia="仿宋" w:hAnsi="仿宋" w:hint="eastAsia"/>
          <w:sz w:val="32"/>
          <w:szCs w:val="32"/>
        </w:rPr>
        <w:t>33</w:t>
      </w:r>
      <w:r w:rsidRPr="009C1B3A">
        <w:rPr>
          <w:rFonts w:ascii="仿宋" w:eastAsia="仿宋" w:hAnsi="仿宋" w:hint="eastAsia"/>
          <w:sz w:val="32"/>
          <w:szCs w:val="32"/>
        </w:rPr>
        <w:t>千克/年、镉≤0.0</w:t>
      </w:r>
      <w:r w:rsidR="00E820D8">
        <w:rPr>
          <w:rFonts w:ascii="仿宋" w:eastAsia="仿宋" w:hAnsi="仿宋" w:hint="eastAsia"/>
          <w:sz w:val="32"/>
          <w:szCs w:val="32"/>
        </w:rPr>
        <w:t>16</w:t>
      </w:r>
      <w:r w:rsidRPr="009C1B3A">
        <w:rPr>
          <w:rFonts w:ascii="仿宋" w:eastAsia="仿宋" w:hAnsi="仿宋" w:hint="eastAsia"/>
          <w:sz w:val="32"/>
          <w:szCs w:val="32"/>
        </w:rPr>
        <w:t>千克/年。</w:t>
      </w:r>
    </w:p>
    <w:p w:rsidR="009C1B3A" w:rsidRPr="009C1B3A" w:rsidRDefault="009C1B3A" w:rsidP="009C1B3A">
      <w:pPr>
        <w:spacing w:line="500" w:lineRule="exact"/>
        <w:ind w:firstLineChars="200" w:firstLine="640"/>
        <w:rPr>
          <w:rFonts w:ascii="仿宋" w:eastAsia="仿宋" w:hAnsi="仿宋"/>
          <w:sz w:val="32"/>
          <w:szCs w:val="32"/>
        </w:rPr>
      </w:pPr>
      <w:r w:rsidRPr="009C1B3A">
        <w:rPr>
          <w:rFonts w:ascii="仿宋" w:eastAsia="仿宋" w:hAnsi="仿宋" w:hint="eastAsia"/>
          <w:sz w:val="32"/>
          <w:szCs w:val="32"/>
        </w:rPr>
        <w:lastRenderedPageBreak/>
        <w:t>三、你公司应收到本批复后15个工作日内，将批复及批准的环</w:t>
      </w:r>
      <w:proofErr w:type="gramStart"/>
      <w:r w:rsidRPr="009C1B3A">
        <w:rPr>
          <w:rFonts w:ascii="仿宋" w:eastAsia="仿宋" w:hAnsi="仿宋" w:hint="eastAsia"/>
          <w:sz w:val="32"/>
          <w:szCs w:val="32"/>
        </w:rPr>
        <w:t>评文件</w:t>
      </w:r>
      <w:proofErr w:type="gramEnd"/>
      <w:r w:rsidRPr="009C1B3A">
        <w:rPr>
          <w:rFonts w:ascii="仿宋" w:eastAsia="仿宋" w:hAnsi="仿宋" w:hint="eastAsia"/>
          <w:sz w:val="32"/>
          <w:szCs w:val="32"/>
        </w:rPr>
        <w:t>送岳阳市生态环境局平江分局、</w:t>
      </w:r>
      <w:r w:rsidR="00E820D8" w:rsidRPr="00BA5A45">
        <w:rPr>
          <w:rFonts w:ascii="仿宋" w:eastAsia="仿宋" w:hAnsi="仿宋" w:hint="eastAsia"/>
          <w:sz w:val="32"/>
          <w:szCs w:val="32"/>
        </w:rPr>
        <w:t>长沙市</w:t>
      </w:r>
      <w:proofErr w:type="gramStart"/>
      <w:r w:rsidR="00E820D8" w:rsidRPr="00BA5A45">
        <w:rPr>
          <w:rFonts w:ascii="仿宋" w:eastAsia="仿宋" w:hAnsi="仿宋" w:hint="eastAsia"/>
          <w:sz w:val="32"/>
          <w:szCs w:val="32"/>
        </w:rPr>
        <w:t>玺成工程</w:t>
      </w:r>
      <w:proofErr w:type="gramEnd"/>
      <w:r w:rsidR="00E820D8" w:rsidRPr="00BA5A45">
        <w:rPr>
          <w:rFonts w:ascii="仿宋" w:eastAsia="仿宋" w:hAnsi="仿宋" w:hint="eastAsia"/>
          <w:sz w:val="32"/>
          <w:szCs w:val="32"/>
        </w:rPr>
        <w:t>技术咨询有限责任公司</w:t>
      </w:r>
      <w:r w:rsidRPr="009C1B3A">
        <w:rPr>
          <w:rFonts w:ascii="仿宋" w:eastAsia="仿宋" w:hAnsi="仿宋" w:hint="eastAsia"/>
          <w:sz w:val="32"/>
          <w:szCs w:val="32"/>
        </w:rPr>
        <w:t>。</w:t>
      </w:r>
    </w:p>
    <w:p w:rsidR="00E315C7" w:rsidRPr="009C1B3A" w:rsidRDefault="009C1B3A" w:rsidP="009C1B3A">
      <w:pPr>
        <w:spacing w:line="500" w:lineRule="exact"/>
        <w:ind w:firstLineChars="200" w:firstLine="640"/>
        <w:rPr>
          <w:rFonts w:ascii="仿宋" w:eastAsia="仿宋" w:hAnsi="仿宋"/>
          <w:sz w:val="32"/>
          <w:szCs w:val="32"/>
        </w:rPr>
      </w:pPr>
      <w:r w:rsidRPr="009C1B3A">
        <w:rPr>
          <w:rFonts w:ascii="仿宋" w:eastAsia="仿宋" w:hAnsi="仿宋" w:hint="eastAsia"/>
          <w:sz w:val="32"/>
          <w:szCs w:val="32"/>
        </w:rPr>
        <w:t>四、请岳阳市生态环境局平江分局负责项目建设和营运期的日常环境监管。</w:t>
      </w:r>
    </w:p>
    <w:p w:rsidR="00E315C7" w:rsidRDefault="00E315C7" w:rsidP="00A05551">
      <w:pPr>
        <w:spacing w:line="500" w:lineRule="exact"/>
        <w:rPr>
          <w:rFonts w:ascii="仿宋" w:eastAsia="仿宋" w:hAnsi="仿宋"/>
          <w:sz w:val="32"/>
          <w:szCs w:val="32"/>
        </w:rPr>
      </w:pPr>
    </w:p>
    <w:p w:rsidR="00A05551" w:rsidRDefault="00A05551" w:rsidP="00A05551">
      <w:pPr>
        <w:spacing w:line="500" w:lineRule="exact"/>
        <w:rPr>
          <w:rFonts w:ascii="仿宋" w:eastAsia="仿宋" w:hAnsi="仿宋"/>
          <w:sz w:val="32"/>
          <w:szCs w:val="32"/>
        </w:rPr>
      </w:pPr>
    </w:p>
    <w:p w:rsidR="00A05551" w:rsidRDefault="00A05551" w:rsidP="00A05551">
      <w:pPr>
        <w:spacing w:line="500" w:lineRule="exact"/>
        <w:rPr>
          <w:rFonts w:ascii="仿宋" w:eastAsia="仿宋" w:hAnsi="仿宋"/>
          <w:sz w:val="32"/>
          <w:szCs w:val="32"/>
        </w:rPr>
      </w:pPr>
    </w:p>
    <w:p w:rsidR="00A05551" w:rsidRPr="00AF4484" w:rsidRDefault="00A05551" w:rsidP="00A05551">
      <w:pPr>
        <w:spacing w:line="500" w:lineRule="exact"/>
        <w:rPr>
          <w:rFonts w:ascii="仿宋" w:eastAsia="仿宋" w:hAnsi="仿宋"/>
          <w:sz w:val="32"/>
          <w:szCs w:val="32"/>
        </w:rPr>
      </w:pPr>
    </w:p>
    <w:p w:rsidR="00AF4484" w:rsidRDefault="00AF4484" w:rsidP="00A05551">
      <w:pPr>
        <w:spacing w:line="500" w:lineRule="exact"/>
        <w:ind w:firstLineChars="1600" w:firstLine="5120"/>
        <w:rPr>
          <w:rFonts w:ascii="Times New Roman" w:eastAsia="仿宋" w:hAnsi="Times New Roman" w:cs="Times New Roman"/>
          <w:sz w:val="32"/>
          <w:szCs w:val="32"/>
        </w:rPr>
      </w:pPr>
      <w:r>
        <w:rPr>
          <w:rFonts w:ascii="Times New Roman" w:eastAsia="仿宋" w:hAnsi="Times New Roman" w:cs="Times New Roman"/>
          <w:sz w:val="32"/>
          <w:szCs w:val="32"/>
        </w:rPr>
        <w:t>岳阳市生态环境局</w:t>
      </w:r>
    </w:p>
    <w:p w:rsidR="00AF4484" w:rsidRDefault="00AF4484" w:rsidP="00A05551">
      <w:pPr>
        <w:spacing w:line="500" w:lineRule="exact"/>
        <w:ind w:leftChars="-50" w:left="-105"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 xml:space="preserve"> 20</w:t>
      </w:r>
      <w:r>
        <w:rPr>
          <w:rFonts w:ascii="Times New Roman" w:eastAsia="仿宋" w:hAnsi="Times New Roman" w:cs="Times New Roman" w:hint="eastAsia"/>
          <w:sz w:val="32"/>
          <w:szCs w:val="32"/>
        </w:rPr>
        <w:t>20</w:t>
      </w:r>
      <w:r>
        <w:rPr>
          <w:rFonts w:ascii="Times New Roman" w:eastAsia="仿宋" w:hAnsi="Times New Roman" w:cs="Times New Roman" w:hint="eastAsia"/>
          <w:sz w:val="32"/>
          <w:szCs w:val="32"/>
        </w:rPr>
        <w:t>年</w:t>
      </w:r>
      <w:r w:rsidR="00C2287C">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月</w:t>
      </w:r>
      <w:r w:rsidR="00C2287C">
        <w:rPr>
          <w:rFonts w:ascii="Times New Roman" w:eastAsia="仿宋" w:hAnsi="Times New Roman" w:cs="Times New Roman" w:hint="eastAsia"/>
          <w:sz w:val="32"/>
          <w:szCs w:val="32"/>
        </w:rPr>
        <w:t>24</w:t>
      </w:r>
      <w:r>
        <w:rPr>
          <w:rFonts w:ascii="Times New Roman" w:eastAsia="仿宋" w:hAnsi="Times New Roman" w:cs="Times New Roman" w:hint="eastAsia"/>
          <w:sz w:val="32"/>
          <w:szCs w:val="32"/>
        </w:rPr>
        <w:t>日</w:t>
      </w:r>
    </w:p>
    <w:p w:rsidR="00AF4484" w:rsidRDefault="00AF4484" w:rsidP="00AF4484"/>
    <w:tbl>
      <w:tblPr>
        <w:tblpPr w:leftFromText="180" w:rightFromText="180" w:vertAnchor="text" w:horzAnchor="margin" w:tblpY="6775"/>
        <w:tblW w:w="8793"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793"/>
      </w:tblGrid>
      <w:tr w:rsidR="00CA0DE1" w:rsidTr="00CA0DE1">
        <w:trPr>
          <w:trHeight w:val="983"/>
        </w:trPr>
        <w:tc>
          <w:tcPr>
            <w:tcW w:w="8793" w:type="dxa"/>
          </w:tcPr>
          <w:p w:rsidR="00CA0DE1" w:rsidRDefault="00CA0DE1" w:rsidP="00CA0DE1">
            <w:pPr>
              <w:spacing w:afterLines="50" w:after="156" w:line="500" w:lineRule="exact"/>
              <w:ind w:left="924" w:hangingChars="300" w:hanging="924"/>
              <w:jc w:val="left"/>
              <w:rPr>
                <w:rFonts w:ascii="仿宋" w:eastAsia="仿宋" w:hAnsi="仿宋" w:cs="Times New Roman"/>
                <w:spacing w:val="-6"/>
                <w:kern w:val="0"/>
                <w:sz w:val="32"/>
                <w:szCs w:val="32"/>
              </w:rPr>
            </w:pPr>
            <w:r>
              <w:rPr>
                <w:rFonts w:ascii="仿宋" w:eastAsia="仿宋" w:hAnsi="仿宋" w:cs="Times New Roman" w:hint="eastAsia"/>
                <w:spacing w:val="-6"/>
                <w:kern w:val="0"/>
                <w:sz w:val="32"/>
                <w:szCs w:val="32"/>
              </w:rPr>
              <w:t>抄送：</w:t>
            </w:r>
            <w:r w:rsidRPr="009C1B3A">
              <w:rPr>
                <w:rFonts w:ascii="仿宋" w:eastAsia="仿宋" w:hAnsi="仿宋" w:hint="eastAsia"/>
                <w:sz w:val="32"/>
                <w:szCs w:val="32"/>
              </w:rPr>
              <w:t>岳阳市生态环境局平江分局、</w:t>
            </w:r>
            <w:r w:rsidRPr="00BA5A45">
              <w:rPr>
                <w:rFonts w:ascii="仿宋" w:eastAsia="仿宋" w:hAnsi="仿宋" w:hint="eastAsia"/>
                <w:sz w:val="32"/>
                <w:szCs w:val="32"/>
              </w:rPr>
              <w:t>长沙市</w:t>
            </w:r>
            <w:proofErr w:type="gramStart"/>
            <w:r w:rsidRPr="00BA5A45">
              <w:rPr>
                <w:rFonts w:ascii="仿宋" w:eastAsia="仿宋" w:hAnsi="仿宋" w:hint="eastAsia"/>
                <w:sz w:val="32"/>
                <w:szCs w:val="32"/>
              </w:rPr>
              <w:t>玺成工程</w:t>
            </w:r>
            <w:proofErr w:type="gramEnd"/>
            <w:r w:rsidRPr="00BA5A45">
              <w:rPr>
                <w:rFonts w:ascii="仿宋" w:eastAsia="仿宋" w:hAnsi="仿宋" w:hint="eastAsia"/>
                <w:sz w:val="32"/>
                <w:szCs w:val="32"/>
              </w:rPr>
              <w:t>技术咨询有限责任公司</w:t>
            </w:r>
          </w:p>
        </w:tc>
      </w:tr>
    </w:tbl>
    <w:p w:rsidR="004C075F" w:rsidRPr="00CA0DE1" w:rsidRDefault="004C075F" w:rsidP="00AF4484">
      <w:pPr>
        <w:spacing w:line="460" w:lineRule="exact"/>
        <w:jc w:val="right"/>
      </w:pPr>
    </w:p>
    <w:sectPr w:rsidR="004C075F" w:rsidRPr="00CA0DE1" w:rsidSect="009E1A4A">
      <w:footerReference w:type="default" r:id="rId7"/>
      <w:pgSz w:w="11906" w:h="16838"/>
      <w:pgMar w:top="1440" w:right="1588" w:bottom="1440" w:left="164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308" w:rsidRDefault="00AA7308" w:rsidP="00AF4484">
      <w:r>
        <w:separator/>
      </w:r>
    </w:p>
  </w:endnote>
  <w:endnote w:type="continuationSeparator" w:id="0">
    <w:p w:rsidR="00AA7308" w:rsidRDefault="00AA7308" w:rsidP="00AF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942125"/>
      <w:docPartObj>
        <w:docPartGallery w:val="Page Numbers (Bottom of Page)"/>
        <w:docPartUnique/>
      </w:docPartObj>
    </w:sdtPr>
    <w:sdtEndPr/>
    <w:sdtContent>
      <w:p w:rsidR="009E1A4A" w:rsidRDefault="009E1A4A">
        <w:pPr>
          <w:pStyle w:val="a4"/>
          <w:jc w:val="center"/>
        </w:pPr>
        <w:r>
          <w:fldChar w:fldCharType="begin"/>
        </w:r>
        <w:r>
          <w:instrText>PAGE   \* MERGEFORMAT</w:instrText>
        </w:r>
        <w:r>
          <w:fldChar w:fldCharType="separate"/>
        </w:r>
        <w:r w:rsidR="00401831" w:rsidRPr="00401831">
          <w:rPr>
            <w:noProof/>
            <w:lang w:val="zh-CN"/>
          </w:rPr>
          <w:t>4</w:t>
        </w:r>
        <w:r>
          <w:fldChar w:fldCharType="end"/>
        </w:r>
      </w:p>
    </w:sdtContent>
  </w:sdt>
  <w:p w:rsidR="009E1A4A" w:rsidRDefault="009E1A4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308" w:rsidRDefault="00AA7308" w:rsidP="00AF4484">
      <w:r>
        <w:separator/>
      </w:r>
    </w:p>
  </w:footnote>
  <w:footnote w:type="continuationSeparator" w:id="0">
    <w:p w:rsidR="00AA7308" w:rsidRDefault="00AA7308" w:rsidP="00AF4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218"/>
    <w:rsid w:val="000319F9"/>
    <w:rsid w:val="00046A5A"/>
    <w:rsid w:val="000630BD"/>
    <w:rsid w:val="00135E22"/>
    <w:rsid w:val="00167218"/>
    <w:rsid w:val="002325B1"/>
    <w:rsid w:val="00285DC9"/>
    <w:rsid w:val="00292416"/>
    <w:rsid w:val="003F78D0"/>
    <w:rsid w:val="00401831"/>
    <w:rsid w:val="004C075F"/>
    <w:rsid w:val="004C07B8"/>
    <w:rsid w:val="0078749D"/>
    <w:rsid w:val="00810A48"/>
    <w:rsid w:val="008A0681"/>
    <w:rsid w:val="009C1B3A"/>
    <w:rsid w:val="009D4E68"/>
    <w:rsid w:val="009D6E96"/>
    <w:rsid w:val="009E1A4A"/>
    <w:rsid w:val="00A05551"/>
    <w:rsid w:val="00A172B2"/>
    <w:rsid w:val="00A25E05"/>
    <w:rsid w:val="00A96845"/>
    <w:rsid w:val="00AA7308"/>
    <w:rsid w:val="00AF4484"/>
    <w:rsid w:val="00B32AB5"/>
    <w:rsid w:val="00BA5A45"/>
    <w:rsid w:val="00C144E1"/>
    <w:rsid w:val="00C2287C"/>
    <w:rsid w:val="00CA0DE1"/>
    <w:rsid w:val="00CB3F40"/>
    <w:rsid w:val="00D4788E"/>
    <w:rsid w:val="00E315C7"/>
    <w:rsid w:val="00E63F67"/>
    <w:rsid w:val="00E76B92"/>
    <w:rsid w:val="00E820D8"/>
    <w:rsid w:val="00EA0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44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4484"/>
    <w:rPr>
      <w:sz w:val="18"/>
      <w:szCs w:val="18"/>
    </w:rPr>
  </w:style>
  <w:style w:type="paragraph" w:styleId="a4">
    <w:name w:val="footer"/>
    <w:basedOn w:val="a"/>
    <w:link w:val="Char0"/>
    <w:uiPriority w:val="99"/>
    <w:unhideWhenUsed/>
    <w:rsid w:val="00AF4484"/>
    <w:pPr>
      <w:tabs>
        <w:tab w:val="center" w:pos="4153"/>
        <w:tab w:val="right" w:pos="8306"/>
      </w:tabs>
      <w:snapToGrid w:val="0"/>
      <w:jc w:val="left"/>
    </w:pPr>
    <w:rPr>
      <w:sz w:val="18"/>
      <w:szCs w:val="18"/>
    </w:rPr>
  </w:style>
  <w:style w:type="character" w:customStyle="1" w:styleId="Char0">
    <w:name w:val="页脚 Char"/>
    <w:basedOn w:val="a0"/>
    <w:link w:val="a4"/>
    <w:uiPriority w:val="99"/>
    <w:rsid w:val="00AF4484"/>
    <w:rPr>
      <w:sz w:val="18"/>
      <w:szCs w:val="18"/>
    </w:rPr>
  </w:style>
  <w:style w:type="paragraph" w:customStyle="1" w:styleId="WPSPlain">
    <w:name w:val="WPS Plain"/>
    <w:rsid w:val="00AF4484"/>
    <w:rPr>
      <w:rFonts w:ascii="Times New Roman" w:eastAsia="宋体" w:hAnsi="Times New Roman" w:cs="Times New Roman"/>
      <w:kern w:val="0"/>
      <w:sz w:val="20"/>
      <w:szCs w:val="20"/>
    </w:rPr>
  </w:style>
  <w:style w:type="paragraph" w:styleId="a5">
    <w:name w:val="Balloon Text"/>
    <w:basedOn w:val="a"/>
    <w:link w:val="Char1"/>
    <w:uiPriority w:val="99"/>
    <w:semiHidden/>
    <w:unhideWhenUsed/>
    <w:rsid w:val="00C2287C"/>
    <w:rPr>
      <w:sz w:val="18"/>
      <w:szCs w:val="18"/>
    </w:rPr>
  </w:style>
  <w:style w:type="character" w:customStyle="1" w:styleId="Char1">
    <w:name w:val="批注框文本 Char"/>
    <w:basedOn w:val="a0"/>
    <w:link w:val="a5"/>
    <w:uiPriority w:val="99"/>
    <w:semiHidden/>
    <w:rsid w:val="00C2287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44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4484"/>
    <w:rPr>
      <w:sz w:val="18"/>
      <w:szCs w:val="18"/>
    </w:rPr>
  </w:style>
  <w:style w:type="paragraph" w:styleId="a4">
    <w:name w:val="footer"/>
    <w:basedOn w:val="a"/>
    <w:link w:val="Char0"/>
    <w:uiPriority w:val="99"/>
    <w:unhideWhenUsed/>
    <w:rsid w:val="00AF4484"/>
    <w:pPr>
      <w:tabs>
        <w:tab w:val="center" w:pos="4153"/>
        <w:tab w:val="right" w:pos="8306"/>
      </w:tabs>
      <w:snapToGrid w:val="0"/>
      <w:jc w:val="left"/>
    </w:pPr>
    <w:rPr>
      <w:sz w:val="18"/>
      <w:szCs w:val="18"/>
    </w:rPr>
  </w:style>
  <w:style w:type="character" w:customStyle="1" w:styleId="Char0">
    <w:name w:val="页脚 Char"/>
    <w:basedOn w:val="a0"/>
    <w:link w:val="a4"/>
    <w:uiPriority w:val="99"/>
    <w:rsid w:val="00AF4484"/>
    <w:rPr>
      <w:sz w:val="18"/>
      <w:szCs w:val="18"/>
    </w:rPr>
  </w:style>
  <w:style w:type="paragraph" w:customStyle="1" w:styleId="WPSPlain">
    <w:name w:val="WPS Plain"/>
    <w:rsid w:val="00AF4484"/>
    <w:rPr>
      <w:rFonts w:ascii="Times New Roman" w:eastAsia="宋体" w:hAnsi="Times New Roman" w:cs="Times New Roman"/>
      <w:kern w:val="0"/>
      <w:sz w:val="20"/>
      <w:szCs w:val="20"/>
    </w:rPr>
  </w:style>
  <w:style w:type="paragraph" w:styleId="a5">
    <w:name w:val="Balloon Text"/>
    <w:basedOn w:val="a"/>
    <w:link w:val="Char1"/>
    <w:uiPriority w:val="99"/>
    <w:semiHidden/>
    <w:unhideWhenUsed/>
    <w:rsid w:val="00C2287C"/>
    <w:rPr>
      <w:sz w:val="18"/>
      <w:szCs w:val="18"/>
    </w:rPr>
  </w:style>
  <w:style w:type="character" w:customStyle="1" w:styleId="Char1">
    <w:name w:val="批注框文本 Char"/>
    <w:basedOn w:val="a0"/>
    <w:link w:val="a5"/>
    <w:uiPriority w:val="99"/>
    <w:semiHidden/>
    <w:rsid w:val="00C228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Pages>
  <Words>1043</Words>
  <Characters>1159</Characters>
  <Application>Microsoft Office Word</Application>
  <DocSecurity>0</DocSecurity>
  <Lines>48</Lines>
  <Paragraphs>16</Paragraphs>
  <ScaleCrop>false</ScaleCrop>
  <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周易鸣</dc:creator>
  <cp:lastModifiedBy>王志勤</cp:lastModifiedBy>
  <cp:revision>8</cp:revision>
  <cp:lastPrinted>2020-02-25T03:05:00Z</cp:lastPrinted>
  <dcterms:created xsi:type="dcterms:W3CDTF">2020-01-22T03:58:00Z</dcterms:created>
  <dcterms:modified xsi:type="dcterms:W3CDTF">2020-02-25T03:34:00Z</dcterms:modified>
</cp:coreProperties>
</file>