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ascii="Times New Roman" w:hAnsi="Times New Roman" w:cs="Times New Roman"/>
        </w:rPr>
      </w:pPr>
    </w:p>
    <w:p>
      <w:pPr>
        <w:ind w:firstLine="480"/>
        <w:jc w:val="center"/>
        <w:rPr>
          <w:rFonts w:ascii="Times New Roman" w:hAnsi="Times New Roman" w:cs="Times New Roman"/>
        </w:rPr>
      </w:pPr>
    </w:p>
    <w:p>
      <w:pPr>
        <w:ind w:firstLine="480"/>
        <w:jc w:val="center"/>
        <w:rPr>
          <w:rFonts w:ascii="Times New Roman" w:hAnsi="Times New Roman" w:cs="Times New Roman"/>
        </w:rPr>
      </w:pPr>
    </w:p>
    <w:p>
      <w:pPr>
        <w:pStyle w:val="2"/>
        <w:ind w:firstLine="0" w:firstLineChars="0"/>
        <w:rPr>
          <w:rFonts w:ascii="Times New Roman" w:hAnsi="Times New Roman" w:cs="Times New Roman"/>
        </w:rPr>
      </w:pPr>
    </w:p>
    <w:p>
      <w:pPr>
        <w:pStyle w:val="25"/>
        <w:jc w:val="right"/>
        <w:rPr>
          <w:rFonts w:ascii="仿宋" w:hAnsi="仿宋" w:eastAsia="仿宋"/>
          <w:b/>
        </w:rPr>
      </w:pPr>
      <w:bookmarkStart w:id="4" w:name="_GoBack"/>
      <w:r>
        <w:rPr>
          <w:rFonts w:hint="eastAsia" w:ascii="仿宋" w:hAnsi="仿宋" w:eastAsia="仿宋"/>
          <w:color w:val="000000"/>
        </w:rPr>
        <w:t>岳环评[2019]</w:t>
      </w:r>
      <w:r>
        <w:rPr>
          <w:rFonts w:hint="eastAsia" w:ascii="仿宋" w:hAnsi="仿宋" w:eastAsia="仿宋"/>
          <w:color w:val="000000"/>
          <w:lang w:val="en-US" w:eastAsia="zh-CN"/>
        </w:rPr>
        <w:t>150</w:t>
      </w:r>
      <w:r>
        <w:rPr>
          <w:rFonts w:hint="eastAsia" w:ascii="仿宋" w:hAnsi="仿宋" w:eastAsia="仿宋"/>
          <w:color w:val="000000"/>
        </w:rPr>
        <w:t>号</w:t>
      </w:r>
      <w:bookmarkEnd w:id="4"/>
    </w:p>
    <w:p>
      <w:pPr>
        <w:pStyle w:val="26"/>
        <w:spacing w:line="480" w:lineRule="exact"/>
        <w:jc w:val="center"/>
        <w:textAlignment w:val="top"/>
        <w:rPr>
          <w:rFonts w:hint="eastAsia"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关于中国石化集团资产经营管理有限公司长岭分公司八字门垃圾填埋场生态治理工程项目环境影响报告书的</w:t>
      </w:r>
    </w:p>
    <w:p>
      <w:pPr>
        <w:pStyle w:val="26"/>
        <w:spacing w:line="480" w:lineRule="exact"/>
        <w:jc w:val="center"/>
        <w:textAlignment w:val="top"/>
        <w:rPr>
          <w:rFonts w:hint="eastAsia"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批  复</w:t>
      </w:r>
    </w:p>
    <w:p>
      <w:pPr>
        <w:pStyle w:val="2"/>
        <w:ind w:firstLine="0" w:firstLineChars="0"/>
        <w:rPr>
          <w:rFonts w:ascii="仿宋" w:hAnsi="仿宋" w:eastAsia="仿宋"/>
          <w:sz w:val="32"/>
          <w:szCs w:val="32"/>
        </w:rPr>
      </w:pPr>
    </w:p>
    <w:p>
      <w:pPr>
        <w:pStyle w:val="2"/>
        <w:spacing w:line="480" w:lineRule="exact"/>
        <w:ind w:firstLine="0" w:firstLineChars="0"/>
        <w:rPr>
          <w:rFonts w:ascii="仿宋" w:hAnsi="仿宋" w:eastAsia="仿宋"/>
          <w:sz w:val="32"/>
          <w:szCs w:val="32"/>
        </w:rPr>
      </w:pPr>
      <w:r>
        <w:rPr>
          <w:rFonts w:hint="eastAsia" w:ascii="仿宋" w:hAnsi="仿宋" w:eastAsia="仿宋"/>
          <w:sz w:val="32"/>
          <w:szCs w:val="32"/>
        </w:rPr>
        <w:t>中国石化集团资产经营管理有限公司长岭分公司</w:t>
      </w:r>
      <w:r>
        <w:rPr>
          <w:rFonts w:ascii="仿宋" w:hAnsi="仿宋" w:eastAsia="仿宋"/>
          <w:sz w:val="32"/>
          <w:szCs w:val="32"/>
        </w:rPr>
        <w:t>:</w:t>
      </w:r>
    </w:p>
    <w:p>
      <w:pPr>
        <w:pStyle w:val="2"/>
        <w:spacing w:line="480" w:lineRule="exact"/>
        <w:ind w:firstLine="640"/>
        <w:rPr>
          <w:rFonts w:ascii="仿宋" w:hAnsi="仿宋" w:eastAsia="仿宋"/>
          <w:sz w:val="32"/>
          <w:szCs w:val="32"/>
        </w:rPr>
      </w:pPr>
      <w:r>
        <w:rPr>
          <w:rFonts w:hint="eastAsia" w:ascii="仿宋" w:hAnsi="仿宋" w:eastAsia="仿宋"/>
          <w:sz w:val="32"/>
          <w:szCs w:val="32"/>
        </w:rPr>
        <w:t>你单位《关于申请&lt;中国石化集团资产经营管理有限公司长岭分公司八字门垃圾填埋场生态治理工程项目</w:t>
      </w:r>
      <w:r>
        <w:rPr>
          <w:rFonts w:ascii="仿宋" w:hAnsi="仿宋" w:eastAsia="仿宋"/>
          <w:sz w:val="32"/>
          <w:szCs w:val="32"/>
        </w:rPr>
        <w:t>环境影响报告书</w:t>
      </w:r>
      <w:r>
        <w:rPr>
          <w:rFonts w:hint="eastAsia" w:ascii="仿宋" w:hAnsi="仿宋" w:eastAsia="仿宋"/>
          <w:sz w:val="32"/>
          <w:szCs w:val="32"/>
        </w:rPr>
        <w:t>&gt;审批意见的函》、云溪区环保分局预审意见及有关附件收悉。经研究，批复如下：</w:t>
      </w:r>
    </w:p>
    <w:p>
      <w:pPr>
        <w:pStyle w:val="2"/>
        <w:spacing w:line="480" w:lineRule="exact"/>
        <w:ind w:firstLine="640"/>
        <w:rPr>
          <w:rFonts w:ascii="仿宋" w:hAnsi="仿宋" w:eastAsia="仿宋"/>
          <w:sz w:val="32"/>
          <w:szCs w:val="32"/>
        </w:rPr>
      </w:pPr>
      <w:bookmarkStart w:id="0" w:name="OLE_LINK5"/>
      <w:r>
        <w:rPr>
          <w:rFonts w:hint="eastAsia" w:ascii="仿宋" w:hAnsi="仿宋" w:eastAsia="仿宋"/>
          <w:sz w:val="32"/>
          <w:szCs w:val="32"/>
        </w:rPr>
        <w:t>中国石化集团资产经营管理有限公司长岭分公司八字门垃圾填埋场</w:t>
      </w:r>
      <w:r>
        <w:rPr>
          <w:rFonts w:ascii="仿宋" w:hAnsi="仿宋" w:eastAsia="仿宋"/>
          <w:sz w:val="32"/>
          <w:szCs w:val="32"/>
        </w:rPr>
        <w:t>位于</w:t>
      </w:r>
      <w:r>
        <w:rPr>
          <w:rFonts w:hint="eastAsia" w:ascii="仿宋" w:hAnsi="仿宋" w:eastAsia="仿宋"/>
          <w:sz w:val="32"/>
          <w:szCs w:val="32"/>
        </w:rPr>
        <w:t>云溪区路口镇</w:t>
      </w:r>
      <w:r>
        <w:rPr>
          <w:rFonts w:ascii="仿宋" w:hAnsi="仿宋" w:eastAsia="仿宋"/>
          <w:sz w:val="32"/>
          <w:szCs w:val="32"/>
        </w:rPr>
        <w:t>，该</w:t>
      </w:r>
      <w:r>
        <w:rPr>
          <w:rFonts w:hint="eastAsia" w:ascii="仿宋" w:hAnsi="仿宋" w:eastAsia="仿宋"/>
          <w:sz w:val="32"/>
          <w:szCs w:val="32"/>
        </w:rPr>
        <w:t>简易</w:t>
      </w:r>
      <w:r>
        <w:rPr>
          <w:rFonts w:ascii="仿宋" w:hAnsi="仿宋" w:eastAsia="仿宋"/>
          <w:sz w:val="32"/>
          <w:szCs w:val="32"/>
        </w:rPr>
        <w:t>填埋场</w:t>
      </w:r>
      <w:r>
        <w:rPr>
          <w:rFonts w:hint="eastAsia" w:ascii="仿宋" w:hAnsi="仿宋" w:eastAsia="仿宋"/>
          <w:sz w:val="32"/>
          <w:szCs w:val="32"/>
        </w:rPr>
        <w:t>于上世纪八十</w:t>
      </w:r>
      <w:r>
        <w:rPr>
          <w:rFonts w:ascii="仿宋" w:hAnsi="仿宋" w:eastAsia="仿宋"/>
          <w:sz w:val="32"/>
          <w:szCs w:val="32"/>
        </w:rPr>
        <w:t>年</w:t>
      </w:r>
      <w:r>
        <w:rPr>
          <w:rFonts w:hint="eastAsia" w:ascii="仿宋" w:hAnsi="仿宋" w:eastAsia="仿宋"/>
          <w:sz w:val="32"/>
          <w:szCs w:val="32"/>
        </w:rPr>
        <w:t>代</w:t>
      </w:r>
      <w:r>
        <w:rPr>
          <w:rFonts w:ascii="仿宋" w:hAnsi="仿宋" w:eastAsia="仿宋"/>
          <w:sz w:val="32"/>
          <w:szCs w:val="32"/>
        </w:rPr>
        <w:t>投入使用，201</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rPr>
        <w:t>停止</w:t>
      </w:r>
      <w:r>
        <w:rPr>
          <w:rFonts w:ascii="仿宋" w:hAnsi="仿宋" w:eastAsia="仿宋"/>
          <w:sz w:val="32"/>
          <w:szCs w:val="32"/>
        </w:rPr>
        <w:t>接受生活垃圾</w:t>
      </w:r>
      <w:r>
        <w:rPr>
          <w:rFonts w:hint="eastAsia" w:ascii="仿宋" w:hAnsi="仿宋" w:eastAsia="仿宋"/>
          <w:sz w:val="32"/>
          <w:szCs w:val="32"/>
        </w:rPr>
        <w:t>，2015年</w:t>
      </w:r>
      <w:r>
        <w:rPr>
          <w:rFonts w:ascii="仿宋" w:hAnsi="仿宋" w:eastAsia="仿宋"/>
          <w:sz w:val="32"/>
          <w:szCs w:val="32"/>
        </w:rPr>
        <w:t>简易封场。</w:t>
      </w:r>
      <w:r>
        <w:rPr>
          <w:rFonts w:hint="eastAsia" w:ascii="仿宋" w:hAnsi="仿宋" w:eastAsia="仿宋"/>
          <w:sz w:val="32"/>
          <w:szCs w:val="32"/>
        </w:rPr>
        <w:t>为解决现有环境问题，你</w:t>
      </w:r>
      <w:r>
        <w:rPr>
          <w:rFonts w:ascii="仿宋" w:hAnsi="仿宋" w:eastAsia="仿宋"/>
          <w:sz w:val="32"/>
          <w:szCs w:val="32"/>
        </w:rPr>
        <w:t>公</w:t>
      </w:r>
      <w:r>
        <w:rPr>
          <w:rFonts w:hint="eastAsia" w:ascii="仿宋" w:hAnsi="仿宋" w:eastAsia="仿宋"/>
          <w:sz w:val="32"/>
          <w:szCs w:val="32"/>
        </w:rPr>
        <w:t>司</w:t>
      </w:r>
      <w:r>
        <w:rPr>
          <w:rFonts w:ascii="仿宋" w:hAnsi="仿宋" w:eastAsia="仿宋"/>
          <w:sz w:val="32"/>
          <w:szCs w:val="32"/>
        </w:rPr>
        <w:t>拟投资</w:t>
      </w:r>
      <w:r>
        <w:rPr>
          <w:rFonts w:hint="eastAsia" w:ascii="仿宋" w:hAnsi="仿宋" w:eastAsia="仿宋"/>
          <w:sz w:val="32"/>
          <w:szCs w:val="32"/>
        </w:rPr>
        <w:t>4696.1</w:t>
      </w:r>
      <w:r>
        <w:rPr>
          <w:rFonts w:ascii="仿宋" w:hAnsi="仿宋" w:eastAsia="仿宋"/>
          <w:sz w:val="32"/>
          <w:szCs w:val="32"/>
        </w:rPr>
        <w:t>万元实施</w:t>
      </w:r>
      <w:r>
        <w:rPr>
          <w:rFonts w:hint="eastAsia" w:ascii="仿宋" w:hAnsi="仿宋" w:eastAsia="仿宋"/>
          <w:sz w:val="32"/>
          <w:szCs w:val="32"/>
        </w:rPr>
        <w:t>垃圾场生态治理工程</w:t>
      </w:r>
      <w:r>
        <w:rPr>
          <w:rFonts w:ascii="仿宋" w:hAnsi="仿宋" w:eastAsia="仿宋"/>
          <w:sz w:val="32"/>
          <w:szCs w:val="32"/>
        </w:rPr>
        <w:t>。</w:t>
      </w:r>
      <w:r>
        <w:rPr>
          <w:rFonts w:hint="eastAsia" w:ascii="仿宋" w:hAnsi="仿宋" w:eastAsia="仿宋"/>
          <w:sz w:val="32"/>
          <w:szCs w:val="32"/>
        </w:rPr>
        <w:t>主要</w:t>
      </w:r>
      <w:r>
        <w:rPr>
          <w:rFonts w:ascii="仿宋" w:hAnsi="仿宋" w:eastAsia="仿宋"/>
          <w:sz w:val="32"/>
          <w:szCs w:val="32"/>
        </w:rPr>
        <w:t>工程内容包括:垃圾堆体整形与处理工程、地下水污染控制工程（垂直防渗系统）、渗滤液导排</w:t>
      </w:r>
      <w:r>
        <w:rPr>
          <w:rFonts w:hint="eastAsia" w:ascii="仿宋" w:hAnsi="仿宋" w:eastAsia="仿宋"/>
          <w:sz w:val="32"/>
          <w:szCs w:val="32"/>
        </w:rPr>
        <w:t>收集</w:t>
      </w:r>
      <w:r>
        <w:rPr>
          <w:rFonts w:ascii="仿宋" w:hAnsi="仿宋" w:eastAsia="仿宋"/>
          <w:sz w:val="32"/>
          <w:szCs w:val="32"/>
        </w:rPr>
        <w:t>工程、填埋气体导排收集与处理工程、防洪与雨水导排工程、封场覆盖工程等</w:t>
      </w:r>
      <w:r>
        <w:rPr>
          <w:rFonts w:hint="eastAsia" w:ascii="仿宋" w:hAnsi="仿宋" w:eastAsia="仿宋"/>
          <w:sz w:val="32"/>
          <w:szCs w:val="32"/>
        </w:rPr>
        <w:t>。</w:t>
      </w:r>
      <w:bookmarkEnd w:id="0"/>
      <w:r>
        <w:rPr>
          <w:rFonts w:hint="eastAsia" w:ascii="仿宋" w:hAnsi="仿宋" w:eastAsia="仿宋"/>
          <w:sz w:val="32"/>
          <w:szCs w:val="32"/>
        </w:rPr>
        <w:t>根据</w:t>
      </w:r>
      <w:bookmarkStart w:id="1" w:name="OLE_LINK4"/>
      <w:r>
        <w:rPr>
          <w:rFonts w:hint="eastAsia" w:ascii="仿宋" w:hAnsi="仿宋" w:eastAsia="仿宋"/>
          <w:sz w:val="32"/>
          <w:szCs w:val="32"/>
        </w:rPr>
        <w:t>湖南省旌旗环保科技有限公司</w:t>
      </w:r>
      <w:bookmarkEnd w:id="1"/>
      <w:r>
        <w:rPr>
          <w:rFonts w:hint="eastAsia" w:ascii="仿宋" w:hAnsi="仿宋" w:eastAsia="仿宋"/>
          <w:sz w:val="32"/>
          <w:szCs w:val="32"/>
        </w:rPr>
        <w:t>编制的《中国石化集团资产经营管理有限公司长岭分公司八字门垃圾填埋场生态治理工程项目</w:t>
      </w:r>
      <w:r>
        <w:rPr>
          <w:rFonts w:ascii="仿宋" w:hAnsi="仿宋" w:eastAsia="仿宋"/>
          <w:sz w:val="32"/>
          <w:szCs w:val="32"/>
        </w:rPr>
        <w:t>环境影响报告书</w:t>
      </w:r>
      <w:r>
        <w:rPr>
          <w:rFonts w:hint="eastAsia" w:ascii="仿宋" w:hAnsi="仿宋" w:eastAsia="仿宋"/>
          <w:sz w:val="32"/>
          <w:szCs w:val="32"/>
        </w:rPr>
        <w:t>（报批稿）》基本内容、结论和专家评审意见、云溪区环保分局预审意见，</w:t>
      </w:r>
      <w:r>
        <w:rPr>
          <w:rFonts w:hint="eastAsia" w:ascii="仿宋" w:hAnsi="仿宋" w:eastAsia="仿宋" w:cs="仿宋"/>
          <w:sz w:val="32"/>
          <w:szCs w:val="32"/>
        </w:rPr>
        <w:t>综合考虑，我局原则同意你</w:t>
      </w:r>
      <w:r>
        <w:rPr>
          <w:rFonts w:ascii="仿宋" w:hAnsi="仿宋" w:eastAsia="仿宋" w:cs="仿宋"/>
          <w:sz w:val="32"/>
          <w:szCs w:val="32"/>
        </w:rPr>
        <w:t>公</w:t>
      </w:r>
      <w:r>
        <w:rPr>
          <w:rFonts w:hint="eastAsia" w:ascii="仿宋" w:hAnsi="仿宋" w:eastAsia="仿宋" w:cs="仿宋"/>
          <w:sz w:val="32"/>
          <w:szCs w:val="32"/>
        </w:rPr>
        <w:t>司环境影响报告书中所列建设项目的性质、规模、工艺、地点和环境保护对策措施。</w:t>
      </w:r>
      <w:r>
        <w:rPr>
          <w:rFonts w:hint="eastAsia" w:ascii="仿宋" w:hAnsi="仿宋" w:eastAsia="仿宋"/>
          <w:sz w:val="32"/>
          <w:szCs w:val="32"/>
        </w:rPr>
        <w:t xml:space="preserve"> </w:t>
      </w:r>
    </w:p>
    <w:p>
      <w:pPr>
        <w:spacing w:line="480" w:lineRule="exact"/>
        <w:ind w:firstLine="640"/>
        <w:rPr>
          <w:rFonts w:hint="eastAsia" w:ascii="仿宋" w:hAnsi="仿宋" w:eastAsia="仿宋"/>
          <w:sz w:val="32"/>
          <w:szCs w:val="32"/>
        </w:rPr>
        <w:sectPr>
          <w:footerReference r:id="rId4" w:type="first"/>
          <w:footerReference r:id="rId3" w:type="default"/>
          <w:pgSz w:w="11906" w:h="16838"/>
          <w:pgMar w:top="1440" w:right="1588" w:bottom="1440" w:left="1644" w:header="851" w:footer="992" w:gutter="0"/>
          <w:pgNumType w:start="2"/>
          <w:cols w:space="425" w:num="1"/>
          <w:titlePg/>
          <w:docGrid w:type="lines" w:linePitch="326" w:charSpace="0"/>
        </w:sectPr>
      </w:pPr>
      <w:r>
        <w:rPr>
          <w:rFonts w:hint="eastAsia" w:ascii="仿宋" w:hAnsi="仿宋" w:eastAsia="仿宋"/>
          <w:sz w:val="32"/>
          <w:szCs w:val="32"/>
        </w:rPr>
        <w:t>二、认真落实专家及环评报告书提出的各项环保措施，项</w:t>
      </w:r>
    </w:p>
    <w:p>
      <w:pPr>
        <w:spacing w:line="480" w:lineRule="exact"/>
        <w:ind w:left="0" w:leftChars="0" w:firstLine="0" w:firstLineChars="0"/>
        <w:rPr>
          <w:rFonts w:ascii="仿宋" w:hAnsi="仿宋" w:eastAsia="仿宋"/>
          <w:sz w:val="32"/>
          <w:szCs w:val="32"/>
        </w:rPr>
      </w:pPr>
      <w:r>
        <w:rPr>
          <w:rFonts w:hint="eastAsia" w:ascii="仿宋" w:hAnsi="仿宋" w:eastAsia="仿宋"/>
          <w:sz w:val="32"/>
          <w:szCs w:val="32"/>
        </w:rPr>
        <w:t>目建设和运行管理中应着重注意以下问题：</w:t>
      </w:r>
    </w:p>
    <w:p>
      <w:pPr>
        <w:pStyle w:val="2"/>
        <w:spacing w:line="480" w:lineRule="exact"/>
        <w:ind w:firstLine="640"/>
        <w:rPr>
          <w:rFonts w:ascii="Times New Roman" w:hAnsi="Times New Roman" w:cs="Times New Roman"/>
          <w:sz w:val="28"/>
          <w:szCs w:val="28"/>
        </w:rPr>
      </w:pPr>
      <w:bookmarkStart w:id="2" w:name="OLE_LINK6"/>
      <w:r>
        <w:rPr>
          <w:rFonts w:hint="eastAsia" w:ascii="仿宋" w:hAnsi="仿宋" w:eastAsia="仿宋"/>
          <w:sz w:val="32"/>
          <w:szCs w:val="32"/>
        </w:rPr>
        <w:t>1、切实做好施工期环境保护工作。落实填埋库区垃圾堆体整形、渗滤液导流与截洪沟等开挖、垂直防渗系统施工，填埋气体导排收集的污染防治措施，尽量缩短施工期，合理安排高噪声设备的作业时间，加强土石运输污染控制，避免工程施工期噪声、扬尘和水土流失对环境影响，将工程扰民减小到最低限度。</w:t>
      </w:r>
      <w:r>
        <w:rPr>
          <w:rFonts w:ascii="仿宋" w:hAnsi="仿宋" w:eastAsia="仿宋"/>
          <w:sz w:val="32"/>
          <w:szCs w:val="32"/>
        </w:rPr>
        <w:t>及时恢复地</w:t>
      </w:r>
      <w:r>
        <w:rPr>
          <w:rFonts w:hint="eastAsia" w:ascii="仿宋" w:hAnsi="仿宋" w:eastAsia="仿宋"/>
          <w:sz w:val="32"/>
          <w:szCs w:val="32"/>
        </w:rPr>
        <w:t>面</w:t>
      </w:r>
      <w:r>
        <w:rPr>
          <w:rFonts w:ascii="仿宋" w:hAnsi="仿宋" w:eastAsia="仿宋"/>
          <w:sz w:val="32"/>
          <w:szCs w:val="32"/>
        </w:rPr>
        <w:t>植被</w:t>
      </w:r>
      <w:r>
        <w:rPr>
          <w:rFonts w:hint="eastAsia" w:ascii="仿宋" w:hAnsi="仿宋" w:eastAsia="仿宋"/>
          <w:sz w:val="32"/>
          <w:szCs w:val="32"/>
        </w:rPr>
        <w:t>，</w:t>
      </w:r>
      <w:r>
        <w:rPr>
          <w:rFonts w:ascii="仿宋" w:hAnsi="仿宋" w:eastAsia="仿宋"/>
          <w:sz w:val="32"/>
          <w:szCs w:val="32"/>
        </w:rPr>
        <w:t>防止水土流失</w:t>
      </w:r>
      <w:r>
        <w:rPr>
          <w:rFonts w:hint="eastAsia" w:ascii="仿宋" w:hAnsi="仿宋" w:eastAsia="仿宋"/>
          <w:sz w:val="32"/>
          <w:szCs w:val="32"/>
        </w:rPr>
        <w:t>，</w:t>
      </w:r>
      <w:r>
        <w:rPr>
          <w:rFonts w:ascii="仿宋" w:hAnsi="仿宋" w:eastAsia="仿宋"/>
          <w:sz w:val="32"/>
          <w:szCs w:val="32"/>
        </w:rPr>
        <w:t>减轻对生态环境的影响。</w:t>
      </w:r>
    </w:p>
    <w:p>
      <w:pPr>
        <w:pStyle w:val="2"/>
        <w:spacing w:line="480" w:lineRule="exact"/>
        <w:ind w:firstLine="640"/>
        <w:rPr>
          <w:rFonts w:ascii="仿宋" w:hAnsi="仿宋" w:eastAsia="仿宋"/>
          <w:sz w:val="32"/>
          <w:szCs w:val="32"/>
        </w:rPr>
      </w:pPr>
      <w:r>
        <w:rPr>
          <w:rFonts w:hint="eastAsia" w:ascii="仿宋" w:hAnsi="仿宋" w:eastAsia="仿宋"/>
          <w:sz w:val="32"/>
          <w:szCs w:val="32"/>
        </w:rPr>
        <w:t>2、废气污染防治工作。污水池加盖密闭，</w:t>
      </w:r>
      <w:r>
        <w:rPr>
          <w:rFonts w:ascii="仿宋" w:hAnsi="仿宋" w:eastAsia="仿宋"/>
          <w:sz w:val="32"/>
          <w:szCs w:val="32"/>
        </w:rPr>
        <w:t>填埋场气体</w:t>
      </w:r>
      <w:r>
        <w:rPr>
          <w:rFonts w:hint="eastAsia" w:ascii="仿宋" w:hAnsi="仿宋" w:eastAsia="仿宋"/>
          <w:sz w:val="32"/>
          <w:szCs w:val="32"/>
        </w:rPr>
        <w:t>燃烧装置</w:t>
      </w:r>
      <w:r>
        <w:rPr>
          <w:rFonts w:ascii="仿宋" w:hAnsi="仿宋" w:eastAsia="仿宋"/>
          <w:sz w:val="32"/>
          <w:szCs w:val="32"/>
        </w:rPr>
        <w:t>配备甲烷自动监测系统</w:t>
      </w:r>
      <w:r>
        <w:rPr>
          <w:rFonts w:hint="eastAsia" w:ascii="仿宋" w:hAnsi="仿宋" w:eastAsia="仿宋"/>
          <w:sz w:val="32"/>
          <w:szCs w:val="32"/>
        </w:rPr>
        <w:t>，</w:t>
      </w:r>
      <w:r>
        <w:rPr>
          <w:rFonts w:ascii="仿宋" w:hAnsi="仿宋" w:eastAsia="仿宋"/>
          <w:sz w:val="32"/>
          <w:szCs w:val="32"/>
        </w:rPr>
        <w:t>实现点火、监测等自动控制、采取有效除臭措施</w:t>
      </w:r>
      <w:r>
        <w:rPr>
          <w:rFonts w:hint="eastAsia" w:ascii="仿宋" w:hAnsi="仿宋" w:eastAsia="仿宋"/>
          <w:sz w:val="32"/>
          <w:szCs w:val="32"/>
        </w:rPr>
        <w:t>，</w:t>
      </w:r>
      <w:r>
        <w:rPr>
          <w:rFonts w:ascii="仿宋" w:hAnsi="仿宋" w:eastAsia="仿宋"/>
          <w:sz w:val="32"/>
          <w:szCs w:val="32"/>
        </w:rPr>
        <w:t>确保</w:t>
      </w:r>
      <w:r>
        <w:rPr>
          <w:rFonts w:hint="eastAsia" w:ascii="仿宋" w:hAnsi="仿宋" w:eastAsia="仿宋"/>
          <w:sz w:val="32"/>
          <w:szCs w:val="32"/>
        </w:rPr>
        <w:t>硫化氢、氨气、臭气浓度满足《恶臭污染物排放标准》（GB14554-93）标准要求。</w:t>
      </w:r>
    </w:p>
    <w:p>
      <w:pPr>
        <w:spacing w:line="480" w:lineRule="exact"/>
        <w:ind w:firstLine="640"/>
        <w:rPr>
          <w:rFonts w:ascii="仿宋" w:hAnsi="仿宋" w:eastAsia="仿宋"/>
          <w:sz w:val="32"/>
          <w:szCs w:val="32"/>
        </w:rPr>
      </w:pPr>
      <w:r>
        <w:rPr>
          <w:rFonts w:hint="eastAsia" w:ascii="仿宋" w:hAnsi="仿宋" w:eastAsia="仿宋"/>
          <w:sz w:val="32"/>
          <w:szCs w:val="32"/>
        </w:rPr>
        <w:t>3、废水污染防治工作。切实做好渗滤液的收集与处理工作，严格按“雨污分流、清污分流” 原则完善填埋库区周边截洪沟建设；对污水池进行加盖密封处理；渗滤液经管道收集后通过</w:t>
      </w:r>
      <w:r>
        <w:rPr>
          <w:rFonts w:ascii="仿宋" w:hAnsi="仿宋" w:eastAsia="仿宋"/>
          <w:sz w:val="32"/>
          <w:szCs w:val="32"/>
        </w:rPr>
        <w:t>密闭槽罐车运至</w:t>
      </w:r>
      <w:r>
        <w:rPr>
          <w:rFonts w:hint="eastAsia" w:ascii="仿宋" w:hAnsi="仿宋" w:eastAsia="仿宋"/>
          <w:sz w:val="32"/>
          <w:szCs w:val="32"/>
        </w:rPr>
        <w:t>中国石油化工股份有限公司长岭分公司污水处理场处理，严格落实渗滤液转运和接收台账管理，严禁非法向外环境排放渗滤液，</w:t>
      </w:r>
      <w:r>
        <w:rPr>
          <w:rFonts w:ascii="仿宋" w:hAnsi="仿宋" w:eastAsia="仿宋"/>
          <w:sz w:val="32"/>
          <w:szCs w:val="32"/>
        </w:rPr>
        <w:t>渗滤液收集设施发生故障应及时采取有效措施</w:t>
      </w:r>
      <w:r>
        <w:rPr>
          <w:rFonts w:hint="eastAsia" w:ascii="仿宋" w:hAnsi="仿宋" w:eastAsia="仿宋"/>
          <w:sz w:val="32"/>
          <w:szCs w:val="32"/>
        </w:rPr>
        <w:t>，</w:t>
      </w:r>
      <w:r>
        <w:rPr>
          <w:rFonts w:ascii="仿宋" w:hAnsi="仿宋" w:eastAsia="仿宋"/>
          <w:sz w:val="32"/>
          <w:szCs w:val="32"/>
        </w:rPr>
        <w:t>并做好收集管道的防爆措施。</w:t>
      </w:r>
    </w:p>
    <w:p>
      <w:pPr>
        <w:spacing w:line="480" w:lineRule="exact"/>
        <w:ind w:firstLine="640"/>
        <w:rPr>
          <w:rFonts w:ascii="仿宋" w:hAnsi="仿宋" w:eastAsia="仿宋"/>
          <w:sz w:val="32"/>
          <w:szCs w:val="32"/>
        </w:rPr>
      </w:pPr>
      <w:r>
        <w:rPr>
          <w:rFonts w:hint="eastAsia" w:ascii="仿宋" w:hAnsi="仿宋" w:eastAsia="仿宋"/>
          <w:sz w:val="32"/>
          <w:szCs w:val="32"/>
        </w:rPr>
        <w:t>按照分区防控的原则落实报告书提出的地下水污染防治措施，做好填埋区、污水池等区域的防渗工作，防止对地下水的污染。定期跟踪监测地下水水质,确保地下水环境安全。</w:t>
      </w:r>
    </w:p>
    <w:p>
      <w:pPr>
        <w:spacing w:line="480" w:lineRule="exact"/>
        <w:ind w:firstLine="640"/>
        <w:rPr>
          <w:rFonts w:ascii="仿宋" w:hAnsi="仿宋" w:eastAsia="仿宋"/>
          <w:sz w:val="32"/>
          <w:szCs w:val="32"/>
        </w:rPr>
      </w:pPr>
      <w:r>
        <w:rPr>
          <w:rFonts w:hint="eastAsia" w:ascii="仿宋" w:hAnsi="仿宋" w:eastAsia="仿宋"/>
          <w:sz w:val="32"/>
          <w:szCs w:val="32"/>
        </w:rPr>
        <w:t xml:space="preserve">4、噪声污染防治工作。选用低噪声的施工作业设备，降低噪声对周围环境影响。科学制定渗滤液槽车运输方案，合理选取运输时间、路线，加强运输车辆管理及维护，禁止噪声较强的机械在午间、夜间休息时间施工，减少噪声扰民。 </w:t>
      </w:r>
    </w:p>
    <w:p>
      <w:pPr>
        <w:spacing w:line="480" w:lineRule="exact"/>
        <w:ind w:firstLine="640"/>
        <w:rPr>
          <w:rFonts w:ascii="仿宋" w:hAnsi="仿宋" w:eastAsia="仿宋"/>
          <w:sz w:val="32"/>
          <w:szCs w:val="32"/>
        </w:rPr>
      </w:pPr>
      <w:r>
        <w:rPr>
          <w:rFonts w:hint="eastAsia" w:ascii="仿宋" w:hAnsi="仿宋" w:eastAsia="仿宋"/>
          <w:sz w:val="32"/>
          <w:szCs w:val="32"/>
        </w:rPr>
        <w:t>5、加强营运期风险防范</w:t>
      </w:r>
      <w:r>
        <w:rPr>
          <w:rFonts w:hint="eastAsia" w:ascii="仿宋" w:hAnsi="仿宋" w:eastAsia="仿宋" w:cs="Times New Roman"/>
          <w:sz w:val="32"/>
          <w:szCs w:val="32"/>
        </w:rPr>
        <w:t>。</w:t>
      </w:r>
      <w:r>
        <w:rPr>
          <w:rFonts w:hint="eastAsia" w:ascii="仿宋" w:hAnsi="仿宋" w:eastAsia="仿宋"/>
          <w:sz w:val="32"/>
          <w:szCs w:val="32"/>
        </w:rPr>
        <w:t>落实各项风险防范措施，加强设施设备的维护和管理；</w:t>
      </w:r>
      <w:r>
        <w:rPr>
          <w:rFonts w:ascii="仿宋" w:hAnsi="仿宋" w:eastAsia="仿宋"/>
          <w:sz w:val="32"/>
          <w:szCs w:val="32"/>
        </w:rPr>
        <w:t>项目施工过程中应注意防范甲烷爆炸的风险</w:t>
      </w:r>
      <w:r>
        <w:rPr>
          <w:rFonts w:hint="eastAsia" w:ascii="仿宋" w:hAnsi="仿宋" w:eastAsia="仿宋"/>
          <w:sz w:val="32"/>
          <w:szCs w:val="32"/>
        </w:rPr>
        <w:t>，</w:t>
      </w:r>
      <w:r>
        <w:rPr>
          <w:rFonts w:ascii="仿宋" w:hAnsi="仿宋" w:eastAsia="仿宋"/>
          <w:sz w:val="32"/>
          <w:szCs w:val="32"/>
        </w:rPr>
        <w:t>营运后应定期对相关设备进行检查、维护</w:t>
      </w:r>
      <w:r>
        <w:rPr>
          <w:rFonts w:hint="eastAsia" w:ascii="仿宋" w:hAnsi="仿宋" w:eastAsia="仿宋"/>
          <w:sz w:val="32"/>
          <w:szCs w:val="32"/>
        </w:rPr>
        <w:t>，</w:t>
      </w:r>
      <w:r>
        <w:rPr>
          <w:rFonts w:ascii="仿宋" w:hAnsi="仿宋" w:eastAsia="仿宋"/>
          <w:sz w:val="32"/>
          <w:szCs w:val="32"/>
        </w:rPr>
        <w:t>保持设施完好和有效运行</w:t>
      </w:r>
      <w:r>
        <w:rPr>
          <w:rFonts w:hint="eastAsia" w:ascii="仿宋" w:hAnsi="仿宋" w:eastAsia="仿宋"/>
          <w:sz w:val="32"/>
          <w:szCs w:val="32"/>
        </w:rPr>
        <w:t>，</w:t>
      </w:r>
      <w:r>
        <w:rPr>
          <w:rFonts w:ascii="仿宋" w:hAnsi="仿宋" w:eastAsia="仿宋"/>
          <w:sz w:val="32"/>
          <w:szCs w:val="32"/>
        </w:rPr>
        <w:t>尤其应保证导气系统畅通</w:t>
      </w:r>
      <w:r>
        <w:rPr>
          <w:rFonts w:hint="eastAsia" w:ascii="仿宋" w:hAnsi="仿宋" w:eastAsia="仿宋"/>
          <w:sz w:val="32"/>
          <w:szCs w:val="32"/>
        </w:rPr>
        <w:t>，</w:t>
      </w:r>
      <w:r>
        <w:rPr>
          <w:rFonts w:ascii="仿宋" w:hAnsi="仿宋" w:eastAsia="仿宋"/>
          <w:sz w:val="32"/>
          <w:szCs w:val="32"/>
        </w:rPr>
        <w:t>按时查阅监测系统的监测结果</w:t>
      </w:r>
      <w:r>
        <w:rPr>
          <w:rFonts w:hint="eastAsia" w:ascii="仿宋" w:hAnsi="仿宋" w:eastAsia="仿宋"/>
          <w:sz w:val="32"/>
          <w:szCs w:val="32"/>
        </w:rPr>
        <w:t>，</w:t>
      </w:r>
      <w:r>
        <w:rPr>
          <w:rFonts w:ascii="仿宋" w:hAnsi="仿宋" w:eastAsia="仿宋"/>
          <w:sz w:val="32"/>
          <w:szCs w:val="32"/>
        </w:rPr>
        <w:t>发现异常情况及时处理。</w:t>
      </w:r>
      <w:r>
        <w:rPr>
          <w:rFonts w:hint="eastAsia" w:ascii="仿宋" w:hAnsi="仿宋" w:eastAsia="仿宋"/>
          <w:sz w:val="32"/>
          <w:szCs w:val="32"/>
        </w:rPr>
        <w:t>严格按照《突发环境事件应急预案管理暂行办法》要求制定事故环境应急预案，储备风险救助物资并组织演练，杜绝环境风险事故发生。</w:t>
      </w:r>
    </w:p>
    <w:p>
      <w:pPr>
        <w:pStyle w:val="2"/>
        <w:spacing w:line="480" w:lineRule="exact"/>
        <w:ind w:firstLine="640"/>
        <w:rPr>
          <w:rFonts w:ascii="仿宋" w:hAnsi="仿宋" w:eastAsia="仿宋"/>
          <w:sz w:val="32"/>
          <w:szCs w:val="32"/>
        </w:rPr>
      </w:pPr>
      <w:bookmarkStart w:id="3" w:name="OLE_LINK1"/>
      <w:r>
        <w:rPr>
          <w:rFonts w:hint="eastAsia" w:ascii="仿宋" w:hAnsi="仿宋" w:eastAsia="仿宋"/>
          <w:sz w:val="32"/>
          <w:szCs w:val="32"/>
        </w:rPr>
        <w:t>6、加强工程后期环境管理。治理工程完工后，应配备专人负责环保工作，建立健全的污染防治设施运行管理台帐，确保各项污染防治设施正常运行，各类污染物稳定达标排放。</w:t>
      </w:r>
      <w:bookmarkEnd w:id="2"/>
      <w:r>
        <w:rPr>
          <w:rFonts w:ascii="仿宋" w:hAnsi="仿宋" w:eastAsia="仿宋"/>
          <w:sz w:val="32"/>
          <w:szCs w:val="32"/>
        </w:rPr>
        <w:t xml:space="preserve"> </w:t>
      </w:r>
    </w:p>
    <w:p>
      <w:pPr>
        <w:spacing w:line="480" w:lineRule="exact"/>
        <w:ind w:firstLine="640"/>
        <w:rPr>
          <w:rFonts w:ascii="仿宋" w:hAnsi="仿宋" w:eastAsia="仿宋"/>
          <w:sz w:val="32"/>
          <w:szCs w:val="32"/>
        </w:rPr>
      </w:pPr>
      <w:r>
        <w:rPr>
          <w:rFonts w:hint="eastAsia" w:ascii="仿宋" w:hAnsi="仿宋" w:eastAsia="仿宋"/>
          <w:sz w:val="32"/>
          <w:szCs w:val="32"/>
        </w:rPr>
        <w:t>三、你公司应收到本批复后15个工作日内，将批复及批准的环评报告文件送云溪区环保分局、湖南旌旗环保科技有限公司。</w:t>
      </w:r>
    </w:p>
    <w:p>
      <w:pPr>
        <w:spacing w:line="480" w:lineRule="exact"/>
        <w:ind w:firstLine="640"/>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cs="Times New Roman"/>
          <w:sz w:val="32"/>
          <w:szCs w:val="32"/>
        </w:rPr>
        <w:t>请</w:t>
      </w:r>
      <w:r>
        <w:rPr>
          <w:rFonts w:hint="eastAsia" w:ascii="仿宋" w:hAnsi="仿宋" w:eastAsia="仿宋"/>
          <w:sz w:val="32"/>
          <w:szCs w:val="32"/>
        </w:rPr>
        <w:t>云溪区环保分局</w:t>
      </w:r>
      <w:r>
        <w:rPr>
          <w:rFonts w:hint="eastAsia" w:ascii="仿宋" w:hAnsi="仿宋" w:eastAsia="仿宋" w:cs="Times New Roman"/>
          <w:sz w:val="32"/>
          <w:szCs w:val="32"/>
        </w:rPr>
        <w:t>负责项目建设和运营期的日常环境监管。</w:t>
      </w:r>
    </w:p>
    <w:p>
      <w:pPr>
        <w:pStyle w:val="2"/>
        <w:spacing w:line="480" w:lineRule="exact"/>
        <w:ind w:firstLine="0" w:firstLineChars="0"/>
      </w:pPr>
    </w:p>
    <w:p>
      <w:pPr>
        <w:pStyle w:val="2"/>
        <w:spacing w:line="480" w:lineRule="exact"/>
        <w:ind w:firstLine="0" w:firstLineChars="0"/>
      </w:pPr>
    </w:p>
    <w:bookmarkEnd w:id="3"/>
    <w:p>
      <w:pPr>
        <w:pStyle w:val="2"/>
        <w:spacing w:line="480" w:lineRule="exact"/>
        <w:ind w:firstLine="640"/>
        <w:jc w:val="center"/>
        <w:rPr>
          <w:rFonts w:ascii="仿宋" w:hAnsi="仿宋" w:eastAsia="仿宋"/>
          <w:sz w:val="32"/>
          <w:szCs w:val="32"/>
        </w:rPr>
      </w:pPr>
      <w:r>
        <w:rPr>
          <w:rFonts w:hint="eastAsia" w:ascii="仿宋" w:hAnsi="仿宋" w:eastAsia="仿宋"/>
          <w:sz w:val="32"/>
          <w:szCs w:val="32"/>
        </w:rPr>
        <w:t xml:space="preserve">                       岳阳市生态环境局</w:t>
      </w:r>
    </w:p>
    <w:p>
      <w:pPr>
        <w:pStyle w:val="2"/>
        <w:spacing w:line="480" w:lineRule="exact"/>
        <w:ind w:firstLine="640"/>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25</w:t>
      </w:r>
      <w:r>
        <w:rPr>
          <w:rFonts w:ascii="仿宋" w:hAnsi="仿宋" w:eastAsia="仿宋"/>
          <w:sz w:val="32"/>
          <w:szCs w:val="32"/>
        </w:rPr>
        <w:t>日</w:t>
      </w:r>
    </w:p>
    <w:p>
      <w:pPr>
        <w:pStyle w:val="2"/>
        <w:spacing w:line="480" w:lineRule="exact"/>
        <w:ind w:firstLine="0" w:firstLineChars="0"/>
        <w:rPr>
          <w:rFonts w:ascii="仿宋" w:hAnsi="仿宋" w:eastAsia="仿宋"/>
          <w:sz w:val="32"/>
          <w:szCs w:val="32"/>
        </w:rPr>
      </w:pPr>
    </w:p>
    <w:p>
      <w:pPr>
        <w:pStyle w:val="2"/>
        <w:spacing w:line="480" w:lineRule="exact"/>
        <w:ind w:firstLine="640"/>
        <w:jc w:val="center"/>
        <w:rPr>
          <w:rFonts w:ascii="仿宋" w:hAnsi="仿宋" w:eastAsia="仿宋"/>
          <w:sz w:val="32"/>
          <w:szCs w:val="32"/>
        </w:rPr>
      </w:pPr>
    </w:p>
    <w:tbl>
      <w:tblPr>
        <w:tblStyle w:val="16"/>
        <w:tblpPr w:leftFromText="180" w:rightFromText="180" w:vertAnchor="text" w:horzAnchor="page" w:tblpX="1683" w:tblpY="4769"/>
        <w:tblW w:w="903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033" w:type="dxa"/>
            <w:noWrap/>
          </w:tcPr>
          <w:p>
            <w:pPr>
              <w:spacing w:line="480" w:lineRule="exact"/>
              <w:ind w:firstLine="640"/>
              <w:rPr>
                <w:rFonts w:ascii="仿宋" w:hAnsi="仿宋" w:eastAsia="仿宋"/>
                <w:sz w:val="32"/>
                <w:szCs w:val="32"/>
              </w:rPr>
            </w:pPr>
            <w:r>
              <w:rPr>
                <w:rFonts w:hint="eastAsia" w:ascii="仿宋" w:hAnsi="仿宋" w:eastAsia="仿宋"/>
                <w:sz w:val="32"/>
                <w:szCs w:val="32"/>
              </w:rPr>
              <w:t>抄送：云溪区环保分局,湖南旌旗环保科技有限公司</w:t>
            </w:r>
          </w:p>
        </w:tc>
      </w:tr>
    </w:tbl>
    <w:p>
      <w:pPr>
        <w:pStyle w:val="2"/>
        <w:spacing w:line="480" w:lineRule="exact"/>
        <w:ind w:firstLine="0" w:firstLineChars="0"/>
        <w:rPr>
          <w:rFonts w:ascii="Times New Roman" w:hAnsi="Times New Roman" w:cs="Times New Roman"/>
          <w:sz w:val="28"/>
          <w:szCs w:val="28"/>
        </w:rPr>
      </w:pPr>
    </w:p>
    <w:sectPr>
      <w:footerReference r:id="rId6" w:type="first"/>
      <w:footerReference r:id="rId5" w:type="default"/>
      <w:pgSz w:w="11906" w:h="16838"/>
      <w:pgMar w:top="1440" w:right="1588" w:bottom="1440" w:left="1644" w:header="851" w:footer="992" w:gutter="0"/>
      <w:pgNumType w:fmt="decimal" w:start="2"/>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4099" o:spid="_x0000_s1026"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4100" o:spid="_x0000_s1025"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1027" o:spid="_x0000_s102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3992"/>
        <w:tab w:val="clear" w:pos="4153"/>
      </w:tabs>
      <w:ind w:firstLine="360"/>
    </w:pPr>
    <w:r>
      <w:rPr>
        <w:sz w:val="18"/>
      </w:rPr>
      <w:pict>
        <v:shape id="_x0000_s1029" o:spid="_x0000_s1029" o:spt="202" type="#_x0000_t202" style="position:absolute;left:0pt;margin-top:0pt;height:144pt;width:144pt;mso-position-horizontal:center;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1028" o:spid="_x0000_s102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pStyle w:val="3"/>
      <w:lvlText w:val="%1"/>
      <w:lvlJc w:val="left"/>
      <w:pPr>
        <w:ind w:left="2559" w:hanging="432"/>
      </w:pPr>
    </w:lvl>
    <w:lvl w:ilvl="1" w:tentative="0">
      <w:start w:val="1"/>
      <w:numFmt w:val="decimal"/>
      <w:pStyle w:val="5"/>
      <w:lvlText w:val="%1.%2"/>
      <w:lvlJc w:val="left"/>
      <w:pPr>
        <w:ind w:left="859" w:hanging="576"/>
      </w:pPr>
      <w:rPr>
        <w:rFonts w:hint="default"/>
      </w:rPr>
    </w:lvl>
    <w:lvl w:ilvl="2" w:tentative="0">
      <w:start w:val="1"/>
      <w:numFmt w:val="decimal"/>
      <w:lvlText w:val="%1.%2.%3"/>
      <w:lvlJc w:val="left"/>
      <w:pPr>
        <w:ind w:left="862" w:hanging="720"/>
      </w:pPr>
    </w:lvl>
    <w:lvl w:ilvl="3" w:tentative="0">
      <w:start w:val="1"/>
      <w:numFmt w:val="decimal"/>
      <w:pStyle w:val="7"/>
      <w:lvlText w:val="%1.%2.%3.%4"/>
      <w:lvlJc w:val="left"/>
      <w:pPr>
        <w:ind w:left="2141"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246E3"/>
    <w:rsid w:val="00643409"/>
    <w:rsid w:val="00C246E3"/>
    <w:rsid w:val="4DE21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等线" w:hAnsi="等线" w:eastAsia="宋体" w:cs="宋体"/>
      <w:kern w:val="2"/>
      <w:sz w:val="24"/>
      <w:szCs w:val="24"/>
      <w:lang w:val="en-US" w:eastAsia="zh-CN" w:bidi="ar-SA"/>
    </w:rPr>
  </w:style>
  <w:style w:type="paragraph" w:styleId="3">
    <w:name w:val="heading 1"/>
    <w:basedOn w:val="1"/>
    <w:next w:val="4"/>
    <w:link w:val="21"/>
    <w:qFormat/>
    <w:uiPriority w:val="9"/>
    <w:pPr>
      <w:keepNext/>
      <w:keepLines/>
      <w:numPr>
        <w:ilvl w:val="0"/>
        <w:numId w:val="1"/>
      </w:numPr>
      <w:tabs>
        <w:tab w:val="left" w:pos="0"/>
      </w:tabs>
      <w:adjustRightInd w:val="0"/>
      <w:snapToGrid w:val="0"/>
      <w:ind w:firstLine="0" w:firstLineChars="0"/>
      <w:outlineLvl w:val="0"/>
    </w:pPr>
    <w:rPr>
      <w:rFonts w:ascii="Times New Roman" w:hAnsi="Times New Roman" w:eastAsia="黑体" w:cs="Times New Roman"/>
      <w:bCs/>
      <w:kern w:val="44"/>
      <w:sz w:val="32"/>
      <w:szCs w:val="44"/>
      <w:lang w:val="zh-CN"/>
    </w:rPr>
  </w:style>
  <w:style w:type="paragraph" w:styleId="5">
    <w:name w:val="heading 2"/>
    <w:basedOn w:val="1"/>
    <w:next w:val="1"/>
    <w:link w:val="19"/>
    <w:semiHidden/>
    <w:unhideWhenUsed/>
    <w:qFormat/>
    <w:uiPriority w:val="9"/>
    <w:pPr>
      <w:keepNext/>
      <w:keepLines/>
      <w:numPr>
        <w:ilvl w:val="1"/>
        <w:numId w:val="1"/>
      </w:numPr>
      <w:ind w:firstLine="0" w:firstLineChars="0"/>
      <w:outlineLvl w:val="1"/>
    </w:pPr>
    <w:rPr>
      <w:rFonts w:ascii="Arial" w:hAnsi="Arial" w:eastAsia="黑体"/>
      <w:b/>
      <w:bCs/>
      <w:sz w:val="30"/>
      <w:szCs w:val="32"/>
    </w:rPr>
  </w:style>
  <w:style w:type="paragraph" w:styleId="6">
    <w:name w:val="heading 3"/>
    <w:basedOn w:val="1"/>
    <w:next w:val="1"/>
    <w:link w:val="20"/>
    <w:semiHidden/>
    <w:unhideWhenUsed/>
    <w:qFormat/>
    <w:uiPriority w:val="9"/>
    <w:pPr>
      <w:keepNext/>
      <w:keepLines/>
      <w:tabs>
        <w:tab w:val="left" w:pos="-3680"/>
      </w:tabs>
      <w:adjustRightInd w:val="0"/>
      <w:snapToGrid w:val="0"/>
      <w:spacing w:beforeLines="50" w:afterLines="50"/>
      <w:ind w:firstLine="0"/>
      <w:jc w:val="left"/>
      <w:outlineLvl w:val="2"/>
    </w:pPr>
    <w:rPr>
      <w:rFonts w:ascii="Times New Roman" w:hAnsi="Times New Roman" w:cs="Times New Roman"/>
      <w:b/>
      <w:bCs/>
      <w:szCs w:val="32"/>
    </w:rPr>
  </w:style>
  <w:style w:type="paragraph" w:styleId="7">
    <w:name w:val="heading 4"/>
    <w:basedOn w:val="1"/>
    <w:next w:val="1"/>
    <w:link w:val="18"/>
    <w:semiHidden/>
    <w:unhideWhenUsed/>
    <w:qFormat/>
    <w:uiPriority w:val="9"/>
    <w:pPr>
      <w:keepNext/>
      <w:keepLines/>
      <w:numPr>
        <w:ilvl w:val="3"/>
        <w:numId w:val="1"/>
      </w:numPr>
      <w:ind w:firstLine="0" w:firstLineChars="0"/>
      <w:outlineLvl w:val="3"/>
    </w:pPr>
    <w:rPr>
      <w:rFonts w:ascii="Arial" w:hAnsi="Arial"/>
      <w:b/>
      <w:bCs/>
      <w:szCs w:val="28"/>
    </w:rPr>
  </w:style>
  <w:style w:type="paragraph" w:styleId="8">
    <w:name w:val="heading 5"/>
    <w:basedOn w:val="1"/>
    <w:next w:val="1"/>
    <w:semiHidden/>
    <w:unhideWhenUsed/>
    <w:qFormat/>
    <w:uiPriority w:val="9"/>
    <w:pPr>
      <w:keepNext/>
      <w:keepLines/>
      <w:numPr>
        <w:ilvl w:val="4"/>
        <w:numId w:val="1"/>
      </w:numPr>
      <w:ind w:firstLine="0" w:firstLineChars="0"/>
      <w:outlineLvl w:val="4"/>
    </w:pPr>
    <w:rPr>
      <w:rFonts w:ascii="Times New Roman" w:hAnsi="Times New Roman"/>
      <w:b/>
      <w:sz w:val="21"/>
    </w:rPr>
  </w:style>
  <w:style w:type="paragraph" w:styleId="9">
    <w:name w:val="heading 6"/>
    <w:basedOn w:val="1"/>
    <w:next w:val="1"/>
    <w:semiHidden/>
    <w:unhideWhenUsed/>
    <w:qFormat/>
    <w:uiPriority w:val="9"/>
    <w:pPr>
      <w:keepNext/>
      <w:keepLines/>
      <w:numPr>
        <w:ilvl w:val="5"/>
        <w:numId w:val="1"/>
      </w:numPr>
      <w:spacing w:line="317" w:lineRule="auto"/>
      <w:ind w:firstLine="0" w:firstLineChars="0"/>
      <w:outlineLvl w:val="5"/>
    </w:pPr>
    <w:rPr>
      <w:rFonts w:ascii="Arial" w:hAnsi="Arial" w:eastAsia="黑体"/>
      <w:b/>
    </w:rPr>
  </w:style>
  <w:style w:type="paragraph" w:styleId="10">
    <w:name w:val="heading 7"/>
    <w:basedOn w:val="1"/>
    <w:next w:val="1"/>
    <w:qFormat/>
    <w:uiPriority w:val="0"/>
    <w:pPr>
      <w:keepNext/>
      <w:keepLines/>
      <w:numPr>
        <w:ilvl w:val="6"/>
        <w:numId w:val="1"/>
      </w:numPr>
      <w:spacing w:line="317" w:lineRule="auto"/>
      <w:ind w:firstLine="0" w:firstLineChars="0"/>
      <w:outlineLvl w:val="6"/>
    </w:pPr>
    <w:rPr>
      <w:b/>
    </w:rPr>
  </w:style>
  <w:style w:type="paragraph" w:styleId="11">
    <w:name w:val="heading 8"/>
    <w:basedOn w:val="1"/>
    <w:next w:val="1"/>
    <w:qFormat/>
    <w:uiPriority w:val="0"/>
    <w:pPr>
      <w:keepNext/>
      <w:keepLines/>
      <w:numPr>
        <w:ilvl w:val="7"/>
        <w:numId w:val="1"/>
      </w:numPr>
      <w:spacing w:line="317" w:lineRule="auto"/>
      <w:ind w:firstLine="0" w:firstLineChars="0"/>
      <w:outlineLvl w:val="7"/>
    </w:pPr>
    <w:rPr>
      <w:rFonts w:ascii="Arial" w:hAnsi="Arial" w:eastAsia="黑体"/>
    </w:rPr>
  </w:style>
  <w:style w:type="paragraph" w:styleId="12">
    <w:name w:val="heading 9"/>
    <w:basedOn w:val="1"/>
    <w:next w:val="1"/>
    <w:qFormat/>
    <w:uiPriority w:val="0"/>
    <w:pPr>
      <w:keepNext/>
      <w:keepLines/>
      <w:numPr>
        <w:ilvl w:val="8"/>
        <w:numId w:val="1"/>
      </w:numPr>
      <w:spacing w:line="317" w:lineRule="auto"/>
      <w:ind w:firstLine="0" w:firstLineChars="0"/>
      <w:outlineLvl w:val="8"/>
    </w:pPr>
    <w:rPr>
      <w:rFonts w:ascii="Arial" w:hAnsi="Arial" w:eastAsia="黑体"/>
      <w:sz w:val="21"/>
    </w:rPr>
  </w:style>
  <w:style w:type="character" w:default="1" w:styleId="17">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Body Text First Indent"/>
    <w:basedOn w:val="2"/>
    <w:qFormat/>
    <w:uiPriority w:val="0"/>
    <w:pPr>
      <w:adjustRightInd w:val="0"/>
      <w:snapToGrid w:val="0"/>
      <w:ind w:firstLine="200"/>
      <w:jc w:val="left"/>
    </w:pPr>
    <w:rPr>
      <w:rFonts w:ascii="Times New Roman" w:hAnsi="Times New Roman"/>
    </w:rPr>
  </w:style>
  <w:style w:type="paragraph" w:styleId="13">
    <w:name w:val="Date"/>
    <w:basedOn w:val="1"/>
    <w:next w:val="1"/>
    <w:link w:val="27"/>
    <w:qFormat/>
    <w:uiPriority w:val="0"/>
    <w:pPr>
      <w:ind w:left="100" w:leftChars="2500"/>
    </w:pPr>
  </w:style>
  <w:style w:type="paragraph" w:styleId="14">
    <w:name w:val="footer"/>
    <w:basedOn w:val="1"/>
    <w:link w:val="28"/>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8">
    <w:name w:val="标题 4 字符"/>
    <w:link w:val="7"/>
    <w:qFormat/>
    <w:uiPriority w:val="0"/>
    <w:rPr>
      <w:rFonts w:ascii="Arial" w:hAnsi="Arial" w:eastAsia="宋体"/>
      <w:b/>
      <w:kern w:val="20"/>
      <w:sz w:val="21"/>
    </w:rPr>
  </w:style>
  <w:style w:type="character" w:customStyle="1" w:styleId="19">
    <w:name w:val="标题 2 字符"/>
    <w:link w:val="5"/>
    <w:qFormat/>
    <w:uiPriority w:val="0"/>
    <w:rPr>
      <w:rFonts w:ascii="Arial" w:hAnsi="Arial" w:eastAsia="黑体"/>
      <w:b/>
      <w:bCs/>
      <w:kern w:val="2"/>
      <w:sz w:val="30"/>
    </w:rPr>
  </w:style>
  <w:style w:type="character" w:customStyle="1" w:styleId="20">
    <w:name w:val="标题 3 字符"/>
    <w:link w:val="6"/>
    <w:qFormat/>
    <w:uiPriority w:val="0"/>
    <w:rPr>
      <w:rFonts w:ascii="Times New Roman" w:hAnsi="Times New Roman" w:eastAsia="宋体" w:cs="Times New Roman"/>
      <w:b/>
      <w:bCs/>
      <w:kern w:val="2"/>
      <w:sz w:val="28"/>
      <w:szCs w:val="32"/>
      <w:lang w:val="en-US" w:eastAsia="zh-CN" w:bidi="ar-SA"/>
    </w:rPr>
  </w:style>
  <w:style w:type="character" w:customStyle="1" w:styleId="21">
    <w:name w:val="标题 1 字符"/>
    <w:basedOn w:val="17"/>
    <w:link w:val="3"/>
    <w:qFormat/>
    <w:uiPriority w:val="9"/>
    <w:rPr>
      <w:rFonts w:ascii="Times New Roman" w:hAnsi="Times New Roman" w:eastAsia="黑体" w:cs="Times New Roman"/>
      <w:bCs/>
      <w:kern w:val="44"/>
      <w:sz w:val="32"/>
      <w:szCs w:val="44"/>
      <w:lang w:val="zh-CN"/>
    </w:rPr>
  </w:style>
  <w:style w:type="character" w:customStyle="1" w:styleId="22">
    <w:name w:val="表格正文"/>
    <w:qFormat/>
    <w:uiPriority w:val="0"/>
    <w:rPr>
      <w:rFonts w:hint="eastAsia" w:ascii="宋体" w:hAnsi="宋体" w:eastAsia="宋体" w:cs="宋体"/>
      <w:color w:val="000000"/>
      <w:sz w:val="21"/>
      <w:szCs w:val="20"/>
      <w:u w:val="none"/>
    </w:rPr>
  </w:style>
  <w:style w:type="paragraph" w:customStyle="1" w:styleId="23">
    <w:name w:val="1-表格正文"/>
    <w:basedOn w:val="1"/>
    <w:qFormat/>
    <w:uiPriority w:val="0"/>
    <w:pPr>
      <w:spacing w:line="240" w:lineRule="auto"/>
      <w:ind w:firstLine="0" w:firstLineChars="0"/>
    </w:pPr>
    <w:rPr>
      <w:sz w:val="21"/>
    </w:rPr>
  </w:style>
  <w:style w:type="paragraph" w:customStyle="1" w:styleId="24">
    <w:name w:val="15"/>
    <w:basedOn w:val="1"/>
    <w:qFormat/>
    <w:uiPriority w:val="0"/>
    <w:pPr>
      <w:widowControl/>
      <w:snapToGrid w:val="0"/>
      <w:spacing w:before="100" w:beforeAutospacing="1" w:after="100" w:afterAutospacing="1"/>
    </w:pPr>
    <w:rPr>
      <w:kern w:val="0"/>
      <w:sz w:val="21"/>
      <w:szCs w:val="21"/>
    </w:rPr>
  </w:style>
  <w:style w:type="paragraph" w:customStyle="1" w:styleId="25">
    <w:name w:val="p0"/>
    <w:basedOn w:val="1"/>
    <w:qFormat/>
    <w:uiPriority w:val="0"/>
    <w:pPr>
      <w:widowControl/>
      <w:ind w:firstLine="0" w:firstLineChars="0"/>
    </w:pPr>
    <w:rPr>
      <w:sz w:val="32"/>
      <w:szCs w:val="32"/>
    </w:rPr>
  </w:style>
  <w:style w:type="paragraph" w:customStyle="1" w:styleId="26">
    <w:name w:val="WPS Plain"/>
    <w:qFormat/>
    <w:uiPriority w:val="0"/>
    <w:rPr>
      <w:rFonts w:ascii="Times New Roman" w:hAnsi="Times New Roman" w:eastAsia="宋体" w:cs="Times New Roman"/>
      <w:lang w:val="en-US" w:eastAsia="zh-CN" w:bidi="ar-SA"/>
    </w:rPr>
  </w:style>
  <w:style w:type="character" w:customStyle="1" w:styleId="27">
    <w:name w:val="日期 字符"/>
    <w:basedOn w:val="17"/>
    <w:link w:val="13"/>
    <w:qFormat/>
    <w:uiPriority w:val="0"/>
    <w:rPr>
      <w:rFonts w:ascii="等线" w:hAnsi="等线" w:eastAsia="宋体"/>
      <w:kern w:val="2"/>
      <w:sz w:val="24"/>
      <w:szCs w:val="24"/>
    </w:rPr>
  </w:style>
  <w:style w:type="character" w:customStyle="1" w:styleId="28">
    <w:name w:val="页脚 字符"/>
    <w:basedOn w:val="17"/>
    <w:link w:val="14"/>
    <w:qFormat/>
    <w:uiPriority w:val="99"/>
    <w:rPr>
      <w:rFonts w:ascii="等线" w:hAnsi="等线" w:eastAsia="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Info spid="_x0000_s1027"/>
    <customShpInfo spid="_x0000_s102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1539</Words>
  <Characters>116</Characters>
  <Lines>5</Lines>
  <Paragraphs>19</Paragraphs>
  <TotalTime>20</TotalTime>
  <ScaleCrop>false</ScaleCrop>
  <LinksUpToDate>false</LinksUpToDate>
  <CharactersWithSpaces>1636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2019-06-11T08:02:00Z</dcterms:created>
  <dc:creator>Administrator</dc:creator>
  <cp:lastModifiedBy>admin</cp:lastModifiedBy>
  <cp:lastPrinted>2019-09-26T01:49:08Z</cp:lastPrinted>
  <dcterms:modified xsi:type="dcterms:W3CDTF">2019-09-26T02:03:02Z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