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line="500" w:lineRule="exact"/>
        <w:ind w:firstLine="0"/>
        <w:rPr>
          <w:rFonts w:ascii="仿宋" w:hAnsi="仿宋" w:eastAsia="仿宋" w:cs="仿宋"/>
          <w:sz w:val="32"/>
          <w:szCs w:val="32"/>
          <w:lang w:eastAsia="zh-CN"/>
        </w:rPr>
      </w:pPr>
      <w:bookmarkStart w:id="0" w:name="OLE_LINK4"/>
    </w:p>
    <w:p>
      <w:pPr>
        <w:pStyle w:val="2"/>
        <w:rPr>
          <w:rFonts w:ascii="仿宋" w:hAnsi="仿宋" w:eastAsia="仿宋" w:cs="仿宋"/>
          <w:sz w:val="32"/>
          <w:szCs w:val="32"/>
          <w:lang w:eastAsia="zh-CN"/>
        </w:rPr>
      </w:pPr>
    </w:p>
    <w:p>
      <w:pPr>
        <w:pStyle w:val="2"/>
        <w:rPr>
          <w:rFonts w:ascii="仿宋" w:hAnsi="仿宋" w:eastAsia="仿宋" w:cs="仿宋"/>
          <w:sz w:val="32"/>
          <w:szCs w:val="32"/>
          <w:lang w:eastAsia="zh-CN"/>
        </w:rPr>
      </w:pPr>
    </w:p>
    <w:p>
      <w:pPr>
        <w:pStyle w:val="2"/>
        <w:rPr>
          <w:rFonts w:ascii="仿宋" w:hAnsi="仿宋" w:eastAsia="仿宋" w:cs="仿宋"/>
          <w:sz w:val="32"/>
          <w:szCs w:val="32"/>
          <w:lang w:eastAsia="zh-CN"/>
        </w:rPr>
      </w:pPr>
    </w:p>
    <w:p>
      <w:pPr>
        <w:widowControl w:val="0"/>
        <w:overflowPunct w:val="0"/>
        <w:spacing w:line="500" w:lineRule="exact"/>
        <w:ind w:firstLine="0"/>
        <w:jc w:val="right"/>
        <w:rPr>
          <w:rFonts w:ascii="仿宋" w:hAnsi="仿宋" w:eastAsia="仿宋" w:cs="仿宋"/>
          <w:sz w:val="32"/>
          <w:szCs w:val="32"/>
          <w:lang w:eastAsia="zh-CN"/>
        </w:rPr>
      </w:pPr>
      <w:bookmarkStart w:id="3" w:name="_GoBack"/>
      <w:r>
        <w:rPr>
          <w:rFonts w:hint="eastAsia" w:ascii="仿宋" w:hAnsi="仿宋" w:eastAsia="仿宋" w:cs="仿宋"/>
          <w:sz w:val="32"/>
          <w:szCs w:val="32"/>
          <w:lang w:eastAsia="zh-CN"/>
        </w:rPr>
        <w:t>岳环评 [2019]</w:t>
      </w:r>
      <w:r>
        <w:rPr>
          <w:rFonts w:hint="eastAsia" w:ascii="仿宋" w:hAnsi="仿宋" w:eastAsia="仿宋" w:cs="仿宋"/>
          <w:sz w:val="32"/>
          <w:szCs w:val="32"/>
          <w:lang w:val="en-US" w:eastAsia="zh-CN"/>
        </w:rPr>
        <w:t>135</w:t>
      </w:r>
      <w:r>
        <w:rPr>
          <w:rFonts w:hint="eastAsia" w:ascii="仿宋" w:hAnsi="仿宋" w:eastAsia="仿宋" w:cs="仿宋"/>
          <w:sz w:val="32"/>
          <w:szCs w:val="32"/>
          <w:lang w:eastAsia="zh-CN"/>
        </w:rPr>
        <w:t>号</w:t>
      </w:r>
      <w:bookmarkEnd w:id="3"/>
    </w:p>
    <w:p>
      <w:pPr>
        <w:widowControl w:val="0"/>
        <w:overflowPunct w:val="0"/>
        <w:spacing w:line="500" w:lineRule="exact"/>
        <w:ind w:firstLine="0"/>
        <w:jc w:val="center"/>
        <w:rPr>
          <w:rFonts w:ascii="宋体" w:hAnsi="宋体"/>
          <w:b/>
          <w:bCs/>
          <w:sz w:val="36"/>
          <w:szCs w:val="36"/>
          <w:lang w:eastAsia="zh-CN"/>
        </w:rPr>
      </w:pPr>
      <w:r>
        <w:rPr>
          <w:rFonts w:hint="eastAsia" w:ascii="宋体" w:hAnsi="宋体"/>
          <w:b/>
          <w:bCs/>
          <w:sz w:val="36"/>
          <w:szCs w:val="36"/>
          <w:lang w:eastAsia="zh-CN"/>
        </w:rPr>
        <w:t>关于中国石油化工股份有限公司长岭分公司液氨装车安全隐患治理项目环境影响报告书的批复</w:t>
      </w:r>
      <w:bookmarkEnd w:id="0"/>
    </w:p>
    <w:p>
      <w:pPr>
        <w:widowControl w:val="0"/>
        <w:overflowPunct w:val="0"/>
        <w:spacing w:line="500" w:lineRule="exact"/>
        <w:ind w:firstLine="0"/>
        <w:rPr>
          <w:rFonts w:ascii="仿宋" w:hAnsi="仿宋" w:eastAsia="仿宋" w:cs="仿宋"/>
          <w:sz w:val="32"/>
          <w:szCs w:val="32"/>
          <w:lang w:eastAsia="zh-CN"/>
        </w:rPr>
      </w:pPr>
    </w:p>
    <w:p>
      <w:pPr>
        <w:widowControl w:val="0"/>
        <w:overflowPunct w:val="0"/>
        <w:spacing w:line="500" w:lineRule="exact"/>
        <w:ind w:firstLine="0"/>
        <w:rPr>
          <w:rFonts w:ascii="仿宋" w:hAnsi="仿宋" w:eastAsia="仿宋" w:cs="仿宋"/>
          <w:sz w:val="32"/>
          <w:szCs w:val="32"/>
          <w:lang w:eastAsia="zh-CN"/>
        </w:rPr>
      </w:pPr>
      <w:r>
        <w:rPr>
          <w:rFonts w:hint="eastAsia" w:ascii="仿宋" w:hAnsi="仿宋" w:eastAsia="仿宋" w:cs="仿宋"/>
          <w:sz w:val="32"/>
          <w:szCs w:val="32"/>
          <w:lang w:eastAsia="zh-CN"/>
        </w:rPr>
        <w:t>中国石油化工股份有限公司长岭分公司：</w:t>
      </w:r>
    </w:p>
    <w:p>
      <w:pPr>
        <w:widowControl w:val="0"/>
        <w:overflowPunct w:val="0"/>
        <w:spacing w:line="50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你公司《关于申请办理中国石油化工股份有限公司长岭分公司液氨装车安全隐患治理项目环境影响报告书审批手续的报告》、云溪区环保分局的预审意见及有关附件收悉。经研究，批复如下：</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一、</w:t>
      </w:r>
      <w:bookmarkStart w:id="1" w:name="OLE_LINK2"/>
      <w:bookmarkStart w:id="2" w:name="OLE_LINK7"/>
      <w:r>
        <w:rPr>
          <w:rFonts w:hint="eastAsia" w:ascii="仿宋" w:hAnsi="仿宋" w:eastAsia="仿宋" w:cs="仿宋"/>
          <w:sz w:val="32"/>
          <w:szCs w:val="32"/>
          <w:lang w:eastAsia="zh-CN"/>
        </w:rPr>
        <w:t>中国石油化工股份有限公司长岭分公司为解决场内液氨运输安全隐患，拟投资237.66万元建设液氨装车安全隐患治理项目，将液氨运输由厂内汽车运输改为通过管道输送至兴长集团液化气站后，再装车外运。项目主要建设内容为：新增1990m从液氨罐区至液化气站的DN80液相管道，新建1950m液化气站至液氨罐区DN50装车气返回管道，新建1280m液化气站至炼油二部DN50氨水输送管道，液化气站新增液氨装车泵，将现有液氨罐区泵棚延长，增设自动控制系统，其他储运、公用和环保工程利用现有工程。</w:t>
      </w:r>
      <w:bookmarkEnd w:id="1"/>
      <w:bookmarkEnd w:id="2"/>
      <w:r>
        <w:rPr>
          <w:rFonts w:hint="eastAsia" w:ascii="仿宋" w:hAnsi="仿宋" w:eastAsia="仿宋" w:cs="仿宋"/>
          <w:sz w:val="32"/>
          <w:szCs w:val="32"/>
          <w:lang w:eastAsia="zh-CN"/>
        </w:rPr>
        <w:t>根据湖南旌旗环保科技有限公司编制的《中国石油化工股份有限公司长岭分公司液氨装车安全隐患治理项目环境影响报告书（报批稿）》基本内容、结论、专家评审意见、云溪区环保分局预审意见，综合考虑，我局原则同意你公司环境影响报告书中所列建设项目的性质、规模、工艺、地点和环境保护对策措施。</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二、认真落实专家及环境影响报告书中提出的各项污染防治措施，并应着重注意以下问题：</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1、废水污染防治工作。严格按照“雨污分流、清污分流”的要求，规范管理厂区雨污管网，确保项目区废水得到有效收集。项目废水经公司污水处理厂处理达到《石油炼制工业污染物排放标准》（GB31570-2015）要求后排入长江。</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按照分区防控的原则落实报告书提出地下水污染防治措施，做好装车区、罐区等区域的防雨、防渗工作，加强涉污区域的生产管理，避免造成地下水污染；根据《环境影响评价技术导则地下水环境》(HJ610-2016)要求，跟踪监测地下水质情况，确保地下水环境安全。</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2、废气污染防治工作。严格控制项目废气的污染，采用加强日常监管，定期对机泵、阀门、法兰等进行维护和管理，最大限度减少装车、储运过程中的废气无组织排放，厂界氨满足《恶臭污染物排放标准(GB 14554-93)》表1恶臭污染物厂界无组织监控浓度限值。</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3、噪声污染防治工作。采用低噪声设备，合理安排工作时间，对产生噪声的</w:t>
      </w:r>
      <w:r>
        <w:rPr>
          <w:rFonts w:hint="eastAsia" w:ascii="仿宋" w:hAnsi="仿宋" w:cs="仿宋"/>
          <w:sz w:val="32"/>
          <w:szCs w:val="32"/>
          <w:lang w:eastAsia="zh-CN"/>
        </w:rPr>
        <w:t>装</w:t>
      </w:r>
      <w:r>
        <w:rPr>
          <w:rFonts w:hint="eastAsia" w:ascii="仿宋" w:hAnsi="仿宋" w:eastAsia="仿宋" w:cs="仿宋"/>
          <w:sz w:val="32"/>
          <w:szCs w:val="32"/>
          <w:lang w:eastAsia="zh-CN"/>
        </w:rPr>
        <w:t>车泵采取隔声、减震措施，确保厂界噪声达到《工业企业厂界环境噪声排放标准》(GB12348-2008)中的3类标准要求。</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4、固体废物防治工作。按“无害化、减量化、资源化”原则，做好固体废物的分类收集和综合利用，并建立固体废物产生、储存、处置管理台账；按《危险废物贮存污染控制标准（GB18597-2001）》和2013年修改单标准要求开展危险废物的贮存和运输工作，废机油、废润滑油等危险废物应存放在危险废物暂存场，定期交有资质的单位处理，并落实危险废物转移联单制度；按《一般工业固体废物贮存、处置场污染控制标准（GB18599-2001）》和2013年修改单标准要求管理一般固废。</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5、加强营运期风险防范。落实各项风险防范措施，防止风险事故的发生。加强设备维护和管理；危险化学品储罐周围设置围堰，事故废水汇入企业现有事故池暂存；严格按照《突发环境事件应急管理办法》制定风险事故应急措施，储备风险救助物资并组织演练，杜绝环境风险事故发生。</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6、加强环境管理，建立健全污染防治设施运行管理台帐，设专门的环保机构及环保人员，确保各项污染防治设施的正常运行，各类污染物稳定达标排放。</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三、你公司应收到本批复后15个工作日内，将批复及批准的环评报告文件送云溪区环保分局、湖南岳阳绿色化工产业园管委会、湖南旌旗环保科技有限公司。</w:t>
      </w:r>
    </w:p>
    <w:p>
      <w:pPr>
        <w:widowControl w:val="0"/>
        <w:overflowPunct w:val="0"/>
        <w:spacing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四、请云溪区环保分局负责项目建设和运营期的日常环境监管。</w:t>
      </w:r>
    </w:p>
    <w:p>
      <w:pPr>
        <w:widowControl w:val="0"/>
        <w:overflowPunct w:val="0"/>
        <w:spacing w:line="500" w:lineRule="exact"/>
        <w:ind w:firstLine="640" w:firstLineChars="200"/>
        <w:jc w:val="both"/>
        <w:rPr>
          <w:rFonts w:ascii="仿宋" w:hAnsi="仿宋" w:eastAsia="仿宋" w:cs="仿宋"/>
          <w:sz w:val="32"/>
          <w:szCs w:val="32"/>
          <w:lang w:eastAsia="zh-CN"/>
        </w:rPr>
      </w:pPr>
    </w:p>
    <w:p>
      <w:pPr>
        <w:pStyle w:val="2"/>
        <w:rPr>
          <w:rFonts w:ascii="仿宋" w:hAnsi="仿宋" w:eastAsia="仿宋" w:cs="仿宋"/>
          <w:sz w:val="32"/>
          <w:szCs w:val="32"/>
          <w:lang w:eastAsia="zh-CN"/>
        </w:rPr>
      </w:pPr>
    </w:p>
    <w:p>
      <w:pPr>
        <w:pStyle w:val="2"/>
        <w:ind w:firstLine="0"/>
        <w:rPr>
          <w:rFonts w:ascii="仿宋" w:hAnsi="仿宋" w:eastAsia="仿宋" w:cs="仿宋"/>
          <w:sz w:val="32"/>
          <w:szCs w:val="32"/>
          <w:lang w:eastAsia="zh-CN"/>
        </w:rPr>
      </w:pPr>
    </w:p>
    <w:p>
      <w:pPr>
        <w:widowControl w:val="0"/>
        <w:overflowPunct w:val="0"/>
        <w:spacing w:line="500" w:lineRule="exact"/>
        <w:ind w:firstLine="4800" w:firstLineChars="1500"/>
        <w:jc w:val="both"/>
        <w:rPr>
          <w:rFonts w:ascii="仿宋" w:hAnsi="仿宋" w:eastAsia="仿宋" w:cs="仿宋"/>
          <w:sz w:val="32"/>
          <w:szCs w:val="32"/>
          <w:lang w:eastAsia="zh-CN"/>
        </w:rPr>
      </w:pPr>
      <w:r>
        <w:rPr>
          <w:rFonts w:hint="eastAsia" w:ascii="仿宋" w:hAnsi="仿宋" w:eastAsia="仿宋" w:cs="仿宋"/>
          <w:sz w:val="32"/>
          <w:szCs w:val="32"/>
          <w:lang w:eastAsia="zh-CN"/>
        </w:rPr>
        <w:t>岳阳市生态环境局</w:t>
      </w:r>
    </w:p>
    <w:p>
      <w:pPr>
        <w:widowControl w:val="0"/>
        <w:overflowPunct w:val="0"/>
        <w:spacing w:line="500" w:lineRule="exact"/>
        <w:ind w:firstLine="4841" w:firstLineChars="1513"/>
        <w:rPr>
          <w:rFonts w:ascii="仿宋" w:hAnsi="仿宋" w:eastAsia="仿宋" w:cs="仿宋"/>
          <w:sz w:val="32"/>
          <w:szCs w:val="32"/>
          <w:lang w:eastAsia="zh-CN"/>
        </w:rPr>
      </w:pPr>
      <w:r>
        <w:rPr>
          <w:rFonts w:hint="eastAsia" w:ascii="仿宋" w:hAnsi="仿宋" w:eastAsia="仿宋" w:cs="仿宋"/>
          <w:sz w:val="32"/>
          <w:szCs w:val="32"/>
          <w:lang w:eastAsia="zh-CN"/>
        </w:rPr>
        <w:t>2019年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日</w:t>
      </w:r>
    </w:p>
    <w:tbl>
      <w:tblPr>
        <w:tblStyle w:val="9"/>
        <w:tblpPr w:leftFromText="180" w:rightFromText="180" w:vertAnchor="text" w:horzAnchor="page" w:tblpX="1799" w:tblpY="2235"/>
        <w:tblOverlap w:val="never"/>
        <w:tblW w:w="874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48" w:type="dxa"/>
          </w:tcPr>
          <w:p>
            <w:pPr>
              <w:widowControl w:val="0"/>
              <w:overflowPunct w:val="0"/>
              <w:spacing w:line="460" w:lineRule="exact"/>
              <w:ind w:left="829" w:hanging="828" w:hangingChars="259"/>
              <w:jc w:val="both"/>
              <w:rPr>
                <w:rFonts w:ascii="仿宋" w:hAnsi="仿宋" w:eastAsia="仿宋" w:cs="仿宋"/>
                <w:sz w:val="32"/>
                <w:szCs w:val="32"/>
                <w:lang w:eastAsia="zh-CN"/>
              </w:rPr>
            </w:pPr>
            <w:r>
              <w:rPr>
                <w:rFonts w:hint="eastAsia" w:ascii="仿宋" w:hAnsi="仿宋" w:eastAsia="仿宋" w:cs="仿宋"/>
                <w:sz w:val="32"/>
                <w:szCs w:val="32"/>
                <w:lang w:eastAsia="zh-CN"/>
              </w:rPr>
              <w:t>抄送:云溪区环保分局、湖南岳阳绿色化工产业园管委会、</w:t>
            </w:r>
            <w:r>
              <w:rPr>
                <w:rFonts w:hint="eastAsia" w:ascii="仿宋" w:hAnsi="仿宋" w:eastAsia="仿宋" w:cs="仿宋"/>
                <w:bCs/>
                <w:color w:val="000000"/>
                <w:sz w:val="32"/>
                <w:szCs w:val="32"/>
                <w:lang w:eastAsia="zh-CN" w:bidi="ar-SA"/>
              </w:rPr>
              <w:t>湖南旌旗环保科技有限公司</w:t>
            </w:r>
          </w:p>
        </w:tc>
      </w:tr>
    </w:tbl>
    <w:p>
      <w:pPr>
        <w:widowControl w:val="0"/>
        <w:overflowPunct w:val="0"/>
        <w:spacing w:line="500" w:lineRule="exact"/>
        <w:ind w:firstLine="0"/>
        <w:rPr>
          <w:rFonts w:ascii="仿宋" w:hAnsi="仿宋" w:eastAsia="仿宋" w:cs="仿宋"/>
          <w:sz w:val="32"/>
          <w:szCs w:val="32"/>
          <w:lang w:eastAsia="zh-CN"/>
        </w:rPr>
      </w:pPr>
    </w:p>
    <w:sectPr>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6D"/>
    <w:rsid w:val="001B136D"/>
    <w:rsid w:val="00D22C38"/>
    <w:rsid w:val="23A612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3"/>
    <w:basedOn w:val="1"/>
    <w:next w:val="1"/>
    <w:semiHidden/>
    <w:unhideWhenUsed/>
    <w:qFormat/>
    <w:uiPriority w:val="9"/>
    <w:pPr>
      <w:outlineLvl w:val="2"/>
    </w:pPr>
    <w:rPr>
      <w:rFonts w:hint="eastAsia" w:ascii="宋体" w:hAnsi="宋体"/>
      <w:sz w:val="27"/>
      <w:szCs w:val="27"/>
      <w:lang w:eastAsia="zh-CN"/>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cs="Times New Roman"/>
      <w:sz w:val="20"/>
      <w:szCs w:val="20"/>
    </w:rPr>
  </w:style>
  <w:style w:type="paragraph" w:styleId="4">
    <w:name w:val="Document Map"/>
    <w:basedOn w:val="1"/>
    <w:link w:val="13"/>
    <w:qFormat/>
    <w:uiPriority w:val="99"/>
    <w:rPr>
      <w:rFonts w:ascii="宋体"/>
      <w:sz w:val="18"/>
      <w:szCs w:val="18"/>
    </w:rPr>
  </w:style>
  <w:style w:type="paragraph" w:styleId="5">
    <w:name w:val="Date"/>
    <w:basedOn w:val="1"/>
    <w:next w:val="1"/>
    <w:link w:val="15"/>
    <w:qFormat/>
    <w:uiPriority w:val="99"/>
    <w:pPr>
      <w:ind w:left="100" w:leftChars="2500"/>
    </w:pPr>
  </w:style>
  <w:style w:type="paragraph" w:styleId="6">
    <w:name w:val="footer"/>
    <w:basedOn w:val="1"/>
    <w:link w:val="12"/>
    <w:qFormat/>
    <w:uiPriority w:val="99"/>
    <w:pPr>
      <w:tabs>
        <w:tab w:val="center" w:pos="4153"/>
        <w:tab w:val="right" w:pos="8306"/>
      </w:tabs>
      <w:snapToGrid w:val="0"/>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lang w:eastAsia="zh-CN"/>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文档结构图 字符"/>
    <w:basedOn w:val="10"/>
    <w:link w:val="4"/>
    <w:qFormat/>
    <w:uiPriority w:val="99"/>
    <w:rPr>
      <w:rFonts w:ascii="宋体" w:eastAsia="宋体"/>
      <w:kern w:val="0"/>
      <w:sz w:val="18"/>
      <w:szCs w:val="18"/>
      <w:lang w:eastAsia="en-US" w:bidi="en-US"/>
    </w:rPr>
  </w:style>
  <w:style w:type="paragraph" w:customStyle="1" w:styleId="14">
    <w:name w:val="WPS Plain"/>
    <w:qFormat/>
    <w:uiPriority w:val="0"/>
    <w:rPr>
      <w:rFonts w:ascii="Times New Roman" w:hAnsi="Times New Roman" w:eastAsia="宋体" w:cs="Times New Roman"/>
      <w:lang w:val="en-US" w:eastAsia="zh-CN" w:bidi="ar-SA"/>
    </w:rPr>
  </w:style>
  <w:style w:type="character" w:customStyle="1" w:styleId="15">
    <w:name w:val="日期 字符"/>
    <w:basedOn w:val="10"/>
    <w:link w:val="5"/>
    <w:qFormat/>
    <w:uiPriority w:val="99"/>
    <w:rPr>
      <w:kern w:val="0"/>
      <w:sz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243</Words>
  <Characters>1386</Characters>
  <Lines>11</Lines>
  <Paragraphs>3</Paragraphs>
  <TotalTime>28</TotalTime>
  <ScaleCrop>false</ScaleCrop>
  <LinksUpToDate>false</LinksUpToDate>
  <CharactersWithSpaces>1626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2018-02-08T08:39:00Z</dcterms:created>
  <dc:creator>微软用户</dc:creator>
  <cp:lastModifiedBy>admin</cp:lastModifiedBy>
  <cp:lastPrinted>2019-09-05T02:51:28Z</cp:lastPrinted>
  <dcterms:modified xsi:type="dcterms:W3CDTF">2019-09-05T02:58:35Z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